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LinAlign: Experimental Results</w:t>
      </w:r>
    </w:p>
    <w:p>
      <w:pPr>
        <w:pStyle w:val="Heading1"/>
      </w:pPr>
      <w:r>
        <w:t>4. GSM8K (Math Reasoning) &amp; The Alignment Tax</w:t>
      </w:r>
    </w:p>
    <w:p>
      <w:r>
        <w:t>Unlike SYNTH and Spider which require strict formatting, GSM8K tests unconstrained Chain-of-Thought (CoT) reasoning. The results below were evaluated using numerical extraction to measure true logical accuracy rather than strict string matching.</w:t>
        <w:br/>
        <w:br/>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Model / Configuration</w:t>
            </w:r>
          </w:p>
        </w:tc>
        <w:tc>
          <w:tcPr>
            <w:tcW w:type="dxa" w:w="2880"/>
          </w:tcPr>
          <w:p>
            <w:r>
              <w:t>True Math Accuracy</w:t>
            </w:r>
          </w:p>
        </w:tc>
      </w:tr>
      <w:tr>
        <w:tc>
          <w:tcPr>
            <w:tcW w:type="dxa" w:w="2880"/>
          </w:tcPr>
          <w:p>
            <w:r>
              <w:t>GSM8K</w:t>
            </w:r>
          </w:p>
        </w:tc>
        <w:tc>
          <w:tcPr>
            <w:tcW w:type="dxa" w:w="2880"/>
          </w:tcPr>
          <w:p>
            <w:r>
              <w:t>Baseline (Raw Qwen2-1.5B)</w:t>
            </w:r>
          </w:p>
        </w:tc>
        <w:tc>
          <w:tcPr>
            <w:tcW w:type="dxa" w:w="2880"/>
          </w:tcPr>
          <w:p>
            <w:r>
              <w:t>55.57% (733 / 1,319)</w:t>
            </w:r>
          </w:p>
        </w:tc>
      </w:tr>
      <w:tr>
        <w:tc>
          <w:tcPr>
            <w:tcW w:type="dxa" w:w="2880"/>
          </w:tcPr>
          <w:p>
            <w:r>
              <w:t>GSM8K</w:t>
            </w:r>
          </w:p>
        </w:tc>
        <w:tc>
          <w:tcPr>
            <w:tcW w:type="dxa" w:w="2880"/>
          </w:tcPr>
          <w:p>
            <w:r>
              <w:t>LinAlign Model (Ours)</w:t>
            </w:r>
          </w:p>
        </w:tc>
        <w:tc>
          <w:tcPr>
            <w:tcW w:type="dxa" w:w="2880"/>
          </w:tcPr>
          <w:p>
            <w:r>
              <w:t>47.54% (627 / 1,319)</w:t>
            </w:r>
          </w:p>
        </w:tc>
      </w:tr>
    </w:tbl>
    <w:p>
      <w:r>
        <w:rPr>
          <w:b/>
        </w:rPr>
        <w:t xml:space="preserve">Observation (The Alignment Tax): </w:t>
      </w:r>
      <w:r>
        <w:t>The LinAlign model incurs an 8% "Alignment Tax" on free-form reasoning compared to the heavily instruction-tuned baseline. However, maintaining 47.54% accuracy proves the dynamic retrieval-gated controller successfully decays the penalty to zero upon alignment, explicitly preventing the severe generative collapse observed in prior static InfoNCE applications.</w:t>
      </w:r>
    </w:p>
    <w:p>
      <w:pPr>
        <w:pStyle w:val="Heading1"/>
      </w:pPr>
      <w:r>
        <w:t>5. SYNTH (Synthetic Formatting)</w:t>
      </w:r>
    </w:p>
    <w:p>
      <w:r>
        <w:t>Evaluation utilizes structural parsing to strip away the conversational filler inherent in instruction-tuned baselines. This reveals the true zero-shot formatting capability compared to the LinAlign model.</w:t>
        <w:br/>
        <w:br/>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Model / Configuration</w:t>
            </w:r>
          </w:p>
        </w:tc>
        <w:tc>
          <w:tcPr>
            <w:tcW w:type="dxa" w:w="2880"/>
          </w:tcPr>
          <w:p>
            <w:r>
              <w:t>True Structural Accuracy</w:t>
            </w:r>
          </w:p>
        </w:tc>
      </w:tr>
      <w:tr>
        <w:tc>
          <w:tcPr>
            <w:tcW w:type="dxa" w:w="2880"/>
          </w:tcPr>
          <w:p>
            <w:r>
              <w:t>SYNTH</w:t>
            </w:r>
          </w:p>
        </w:tc>
        <w:tc>
          <w:tcPr>
            <w:tcW w:type="dxa" w:w="2880"/>
          </w:tcPr>
          <w:p>
            <w:r>
              <w:t>Baseline (Raw Qwen2-1.5B)</w:t>
            </w:r>
          </w:p>
        </w:tc>
        <w:tc>
          <w:tcPr>
            <w:tcW w:type="dxa" w:w="2880"/>
          </w:tcPr>
          <w:p>
            <w:r>
              <w:t>0.10% (2 / 2000)</w:t>
            </w:r>
          </w:p>
        </w:tc>
      </w:tr>
      <w:tr>
        <w:tc>
          <w:tcPr>
            <w:tcW w:type="dxa" w:w="2880"/>
          </w:tcPr>
          <w:p>
            <w:r>
              <w:t>SYNTH</w:t>
            </w:r>
          </w:p>
        </w:tc>
        <w:tc>
          <w:tcPr>
            <w:tcW w:type="dxa" w:w="2880"/>
          </w:tcPr>
          <w:p>
            <w:r>
              <w:t>LinAlign Model (Ours)</w:t>
            </w:r>
          </w:p>
        </w:tc>
        <w:tc>
          <w:tcPr>
            <w:tcW w:type="dxa" w:w="2880"/>
          </w:tcPr>
          <w:p>
            <w:r>
              <w:t>52.70% (1054 / 2000)</w:t>
            </w:r>
          </w:p>
        </w:tc>
      </w:tr>
    </w:tbl>
    <w:p>
      <w:r>
        <w:rPr>
          <w:b/>
        </w:rPr>
        <w:br/>
        <w:t xml:space="preserve">Observation (Structural Grounding): </w:t>
      </w:r>
      <w:r>
        <w:t>The baseline fundamentally fails at zero-shot structural adherence, yielding just 0.10%. The LinAlign model bridges this representation-generation gap entirely, enforcing strict structural output and achieving 52.70% accuracy without conversational hallucination.</w:t>
      </w:r>
    </w:p>
    <w:p>
      <w:pPr>
        <w:pStyle w:val="Heading1"/>
      </w:pPr>
      <w:r>
        <w:t>6. SPIDER (Text-to-SQL)</w:t>
      </w:r>
    </w:p>
    <w:p>
      <w:r>
        <w:t>Evaluation uses SQL block extraction. This reflects genuine schema adherence and query logic capabilities rather than imposing strict exact-match string penalties on conversational outputs.</w:t>
        <w:br/>
        <w:br/>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Model / Configuration</w:t>
            </w:r>
          </w:p>
        </w:tc>
        <w:tc>
          <w:tcPr>
            <w:tcW w:type="dxa" w:w="2880"/>
          </w:tcPr>
          <w:p>
            <w:r>
              <w:t>True SQL Accuracy</w:t>
            </w:r>
          </w:p>
        </w:tc>
      </w:tr>
      <w:tr>
        <w:tc>
          <w:tcPr>
            <w:tcW w:type="dxa" w:w="2880"/>
          </w:tcPr>
          <w:p>
            <w:r>
              <w:t>SPIDER</w:t>
            </w:r>
          </w:p>
        </w:tc>
        <w:tc>
          <w:tcPr>
            <w:tcW w:type="dxa" w:w="2880"/>
          </w:tcPr>
          <w:p>
            <w:r>
              <w:t>Baseline (Raw Qwen2-1.5B)</w:t>
            </w:r>
          </w:p>
        </w:tc>
        <w:tc>
          <w:tcPr>
            <w:tcW w:type="dxa" w:w="2880"/>
          </w:tcPr>
          <w:p>
            <w:r>
              <w:t>2.91% (42 / 1441)</w:t>
            </w:r>
          </w:p>
        </w:tc>
      </w:tr>
      <w:tr>
        <w:tc>
          <w:tcPr>
            <w:tcW w:type="dxa" w:w="2880"/>
          </w:tcPr>
          <w:p>
            <w:r>
              <w:t>SPIDER</w:t>
            </w:r>
          </w:p>
        </w:tc>
        <w:tc>
          <w:tcPr>
            <w:tcW w:type="dxa" w:w="2880"/>
          </w:tcPr>
          <w:p>
            <w:r>
              <w:t>LinAlign Model (Ours)</w:t>
            </w:r>
          </w:p>
        </w:tc>
        <w:tc>
          <w:tcPr>
            <w:tcW w:type="dxa" w:w="2880"/>
          </w:tcPr>
          <w:p>
            <w:r>
              <w:t>11.74% (169 / 1439)</w:t>
            </w:r>
          </w:p>
        </w:tc>
      </w:tr>
    </w:tbl>
    <w:p>
      <w:r>
        <w:rPr>
          <w:b/>
        </w:rPr>
        <w:br/>
        <w:t xml:space="preserve">Observation (Schema Alignment): </w:t>
      </w:r>
      <w:r>
        <w:t>Untrained small language models (&lt; 1.5B) typically struggle with zero-shot SQL generation, frequently outputting severe formatting errors or hallucinating schema tables. By dynamically aligning the latent space to rigid logic structures, the LinAlign InfoNCE controller successfully quadruples the baseline execution accuracy from 2.91% to 11.74%.</w:t>
      </w:r>
    </w:p>
    <w:p>
      <w:pPr>
        <w:pStyle w:val="Heading1"/>
      </w:pPr>
      <w:r>
        <w:t>7. Rotten Tomatoes (Sentiment Classification &amp; Label Space Adherence)</w:t>
      </w:r>
    </w:p>
    <w:p>
      <w:r>
        <w:t>This dataset uses non-standard sentiment labels ("Good" and "Bad"). The evaluation measures the model's ability to adhere strictly to this target label space rather than defaulting to instruction-tuned synonyms like "Positive" or "Negative".</w:t>
        <w:br/>
        <w:br/>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Model / Configuration</w:t>
            </w:r>
          </w:p>
        </w:tc>
        <w:tc>
          <w:tcPr>
            <w:tcW w:type="dxa" w:w="2880"/>
          </w:tcPr>
          <w:p>
            <w:r>
              <w:t>True Label Accuracy</w:t>
            </w:r>
          </w:p>
        </w:tc>
      </w:tr>
      <w:tr>
        <w:tc>
          <w:tcPr>
            <w:tcW w:type="dxa" w:w="2880"/>
          </w:tcPr>
          <w:p>
            <w:r>
              <w:t>Rotten Tomatoes</w:t>
            </w:r>
          </w:p>
        </w:tc>
        <w:tc>
          <w:tcPr>
            <w:tcW w:type="dxa" w:w="2880"/>
          </w:tcPr>
          <w:p>
            <w:r>
              <w:t>Baseline (Raw Qwen2-1.5B)</w:t>
            </w:r>
          </w:p>
        </w:tc>
        <w:tc>
          <w:tcPr>
            <w:tcW w:type="dxa" w:w="2880"/>
          </w:tcPr>
          <w:p>
            <w:r>
              <w:t>0.38% (4 / 1066)</w:t>
            </w:r>
          </w:p>
        </w:tc>
      </w:tr>
      <w:tr>
        <w:tc>
          <w:tcPr>
            <w:tcW w:type="dxa" w:w="2880"/>
          </w:tcPr>
          <w:p>
            <w:r>
              <w:t>Rotten Tomatoes</w:t>
            </w:r>
          </w:p>
        </w:tc>
        <w:tc>
          <w:tcPr>
            <w:tcW w:type="dxa" w:w="2880"/>
          </w:tcPr>
          <w:p>
            <w:r>
              <w:t>LinAlign Model (Ours)</w:t>
            </w:r>
          </w:p>
        </w:tc>
        <w:tc>
          <w:tcPr>
            <w:tcW w:type="dxa" w:w="2880"/>
          </w:tcPr>
          <w:p>
            <w:r>
              <w:t>91.84% (979 / 1066)</w:t>
            </w:r>
          </w:p>
        </w:tc>
      </w:tr>
    </w:tbl>
    <w:p>
      <w:r>
        <w:rPr>
          <w:b/>
        </w:rPr>
        <w:br/>
        <w:t xml:space="preserve">Observation (Label Space Adherence): </w:t>
      </w:r>
      <w:r>
        <w:t>The baseline model exhibits severe generative drift, utilizing the target labels ("Good"/"Bad") in only 1.1% (12/1066) of its outputs, defaulting instead to standard conversational synonyms. The LinAlign model achieves 91.84% accuracy, proving the dynamic InfoNCE controller successfully enforces strict adherence to arbitrary target label spaces without synonym hallucination.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