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Al Ras Steel Leads Tracker CRM</w:t>
      </w:r>
    </w:p>
    <w:p>
      <w:r>
        <w:rPr>
          <w:b/>
        </w:rPr>
        <w:t>Adversarial Review Summary, Improvement Points, and Pending Implementation Backlog</w:t>
      </w:r>
    </w:p>
    <w:p>
      <w:r>
        <w:rPr>
          <w:color w:val="555555"/>
        </w:rPr>
        <w:t>Prepared: 13 June 2026 | Source reviewed: attached CRM brief and current project at C:\Users\Glory\Documents\argleadstracker</w:t>
      </w:r>
    </w:p>
    <w:p>
      <w:pPr>
        <w:pStyle w:val="Heading1"/>
      </w:pPr>
      <w:r>
        <w:rPr>
          <w:rFonts w:ascii="Calibri" w:hAnsi="Calibri"/>
          <w:color w:val="2E74B5"/>
        </w:rPr>
        <w:t>Executive Summary</w:t>
      </w:r>
    </w:p>
    <w:p>
      <w:r>
        <w:t>The current ARG Leads Tracker is operational and the local test suite passes. Production health also reports Supabase, Google Places, Hunter, and OpenAI transcription enabled on Vercel. However, the attached blueprint sets a stricter target than the current implementation in several areas: immutable activity history, full offline-first PMR workflows, PMR-to-activity linkage, configuration governance, advanced relationship health scoring, and production push/market intelligence integrations.</w:t>
      </w:r>
    </w:p>
    <w:p>
      <w:r>
        <w:t>The most urgent decision is whether the activity log should follow the brief as an immutable business record, or follow the later requested edit/delete workflow. These two requirements conflict. If the brief is final, activity corrections should be logged as new correction entries rather than modifying or removing past entries.</w:t>
      </w:r>
    </w:p>
    <w:p>
      <w:pPr>
        <w:pStyle w:val="Heading1"/>
      </w:pPr>
      <w:r>
        <w:rPr>
          <w:rFonts w:ascii="Calibri" w:hAnsi="Calibri"/>
          <w:color w:val="2E74B5"/>
        </w:rPr>
        <w:t>Verification Completed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1F4D78"/>
          </w:tcPr>
          <w:p>
            <w:pPr>
              <w:spacing w:after="40"/>
            </w:pPr>
            <w:r/>
            <w:r>
              <w:rPr>
                <w:rFonts w:ascii="Calibri" w:hAnsi="Calibri"/>
                <w:b/>
                <w:color w:val="FFFFFF"/>
                <w:sz w:val="18"/>
              </w:rPr>
              <w:t>Check</w:t>
            </w:r>
          </w:p>
        </w:tc>
        <w:tc>
          <w:tcPr>
            <w:tcW w:type="dxa" w:w="1440"/>
            <w:shd w:fill="1F4D78"/>
          </w:tcPr>
          <w:p>
            <w:pPr>
              <w:spacing w:after="40"/>
            </w:pPr>
            <w:r/>
            <w:r>
              <w:rPr>
                <w:rFonts w:ascii="Calibri" w:hAnsi="Calibri"/>
                <w:b/>
                <w:color w:val="FFFFFF"/>
                <w:sz w:val="18"/>
              </w:rPr>
              <w:t>Result</w:t>
            </w:r>
          </w:p>
        </w:tc>
        <w:tc>
          <w:tcPr>
            <w:tcW w:type="dxa" w:w="5472"/>
            <w:shd w:fill="1F4D78"/>
          </w:tcPr>
          <w:p>
            <w:pPr>
              <w:spacing w:after="40"/>
            </w:pPr>
            <w:r/>
            <w:r>
              <w:rPr>
                <w:rFonts w:ascii="Calibri" w:hAnsi="Calibri"/>
                <w:b/>
                <w:color w:val="FFFFFF"/>
                <w:sz w:val="18"/>
              </w:rPr>
              <w:t>Evidence / Notes</w:t>
            </w:r>
          </w:p>
        </w:tc>
      </w:tr>
      <w:tr>
        <w:tc>
          <w:tcPr>
            <w:tcW w:type="dxa" w:w="2448"/>
            <w:vAlign w:val="top"/>
          </w:tcPr>
          <w:p>
            <w:pPr>
              <w:spacing w:after="40"/>
            </w:pPr>
            <w:r/>
            <w:r>
              <w:rPr>
                <w:rFonts w:ascii="Calibri" w:hAnsi="Calibri"/>
                <w:b w:val="0"/>
                <w:sz w:val="18"/>
              </w:rPr>
              <w:t>Local syntax check</w:t>
            </w:r>
          </w:p>
        </w:tc>
        <w:tc>
          <w:tcPr>
            <w:tcW w:type="dxa" w:w="1440"/>
            <w:vAlign w:val="top"/>
          </w:tcPr>
          <w:p>
            <w:pPr>
              <w:spacing w:after="40"/>
            </w:pPr>
            <w:r/>
            <w:r>
              <w:rPr>
                <w:rFonts w:ascii="Calibri" w:hAnsi="Calibri"/>
                <w:b w:val="0"/>
                <w:sz w:val="18"/>
              </w:rPr>
              <w:t>Passed</w:t>
            </w:r>
          </w:p>
        </w:tc>
        <w:tc>
          <w:tcPr>
            <w:tcW w:type="dxa" w:w="5472"/>
            <w:vAlign w:val="top"/>
          </w:tcPr>
          <w:p>
            <w:pPr>
              <w:spacing w:after="40"/>
            </w:pPr>
            <w:r/>
            <w:r>
              <w:rPr>
                <w:rFonts w:ascii="Calibri" w:hAnsi="Calibri"/>
                <w:b w:val="0"/>
                <w:sz w:val="18"/>
              </w:rPr>
              <w:t>npm run check</w:t>
            </w:r>
          </w:p>
        </w:tc>
      </w:tr>
      <w:tr>
        <w:tc>
          <w:tcPr>
            <w:tcW w:type="dxa" w:w="2448"/>
            <w:vAlign w:val="top"/>
          </w:tcPr>
          <w:p>
            <w:pPr>
              <w:spacing w:after="40"/>
            </w:pPr>
            <w:r/>
            <w:r>
              <w:rPr>
                <w:rFonts w:ascii="Calibri" w:hAnsi="Calibri"/>
                <w:b w:val="0"/>
                <w:sz w:val="18"/>
              </w:rPr>
              <w:t>Automated tests</w:t>
            </w:r>
          </w:p>
        </w:tc>
        <w:tc>
          <w:tcPr>
            <w:tcW w:type="dxa" w:w="1440"/>
            <w:vAlign w:val="top"/>
          </w:tcPr>
          <w:p>
            <w:pPr>
              <w:spacing w:after="40"/>
            </w:pPr>
            <w:r/>
            <w:r>
              <w:rPr>
                <w:rFonts w:ascii="Calibri" w:hAnsi="Calibri"/>
                <w:b w:val="0"/>
                <w:sz w:val="18"/>
              </w:rPr>
              <w:t>Passed</w:t>
            </w:r>
          </w:p>
        </w:tc>
        <w:tc>
          <w:tcPr>
            <w:tcW w:type="dxa" w:w="5472"/>
            <w:vAlign w:val="top"/>
          </w:tcPr>
          <w:p>
            <w:pPr>
              <w:spacing w:after="40"/>
            </w:pPr>
            <w:r/>
            <w:r>
              <w:rPr>
                <w:rFonts w:ascii="Calibri" w:hAnsi="Calibri"/>
                <w:b w:val="0"/>
                <w:sz w:val="18"/>
              </w:rPr>
              <w:t>npm test; enrichment, PMR voice, role access, permissions, integrations, PWA shell</w:t>
            </w:r>
          </w:p>
        </w:tc>
      </w:tr>
      <w:tr>
        <w:tc>
          <w:tcPr>
            <w:tcW w:type="dxa" w:w="2448"/>
            <w:vAlign w:val="top"/>
          </w:tcPr>
          <w:p>
            <w:pPr>
              <w:spacing w:after="40"/>
            </w:pPr>
            <w:r/>
            <w:r>
              <w:rPr>
                <w:rFonts w:ascii="Calibri" w:hAnsi="Calibri"/>
                <w:b w:val="0"/>
                <w:sz w:val="18"/>
              </w:rPr>
              <w:t>Build command</w:t>
            </w:r>
          </w:p>
        </w:tc>
        <w:tc>
          <w:tcPr>
            <w:tcW w:type="dxa" w:w="1440"/>
            <w:vAlign w:val="top"/>
          </w:tcPr>
          <w:p>
            <w:pPr>
              <w:spacing w:after="40"/>
            </w:pPr>
            <w:r/>
            <w:r>
              <w:rPr>
                <w:rFonts w:ascii="Calibri" w:hAnsi="Calibri"/>
                <w:b w:val="0"/>
                <w:sz w:val="18"/>
              </w:rPr>
              <w:t>Passed</w:t>
            </w:r>
          </w:p>
        </w:tc>
        <w:tc>
          <w:tcPr>
            <w:tcW w:type="dxa" w:w="5472"/>
            <w:vAlign w:val="top"/>
          </w:tcPr>
          <w:p>
            <w:pPr>
              <w:spacing w:after="40"/>
            </w:pPr>
            <w:r/>
            <w:r>
              <w:rPr>
                <w:rFonts w:ascii="Calibri" w:hAnsi="Calibri"/>
                <w:b w:val="0"/>
                <w:sz w:val="18"/>
              </w:rPr>
              <w:t>npm run build; no asset compilation required</w:t>
            </w:r>
          </w:p>
        </w:tc>
      </w:tr>
      <w:tr>
        <w:tc>
          <w:tcPr>
            <w:tcW w:type="dxa" w:w="2448"/>
            <w:vAlign w:val="top"/>
          </w:tcPr>
          <w:p>
            <w:pPr>
              <w:spacing w:after="40"/>
            </w:pPr>
            <w:r/>
            <w:r>
              <w:rPr>
                <w:rFonts w:ascii="Calibri" w:hAnsi="Calibri"/>
                <w:b w:val="0"/>
                <w:sz w:val="18"/>
              </w:rPr>
              <w:t>Local HTTP smoke</w:t>
            </w:r>
          </w:p>
        </w:tc>
        <w:tc>
          <w:tcPr>
            <w:tcW w:type="dxa" w:w="1440"/>
            <w:vAlign w:val="top"/>
          </w:tcPr>
          <w:p>
            <w:pPr>
              <w:spacing w:after="40"/>
            </w:pPr>
            <w:r/>
            <w:r>
              <w:rPr>
                <w:rFonts w:ascii="Calibri" w:hAnsi="Calibri"/>
                <w:b w:val="0"/>
                <w:sz w:val="18"/>
              </w:rPr>
              <w:t>Passed</w:t>
            </w:r>
          </w:p>
        </w:tc>
        <w:tc>
          <w:tcPr>
            <w:tcW w:type="dxa" w:w="5472"/>
            <w:vAlign w:val="top"/>
          </w:tcPr>
          <w:p>
            <w:pPr>
              <w:spacing w:after="40"/>
            </w:pPr>
            <w:r/>
            <w:r>
              <w:rPr>
                <w:rFonts w:ascii="Calibri" w:hAnsi="Calibri"/>
                <w:b w:val="0"/>
                <w:sz w:val="18"/>
              </w:rPr>
              <w:t>App shell 200, /api/health OK, manifest standalone, service worker 200</w:t>
            </w:r>
          </w:p>
        </w:tc>
      </w:tr>
      <w:tr>
        <w:tc>
          <w:tcPr>
            <w:tcW w:type="dxa" w:w="2448"/>
            <w:vAlign w:val="top"/>
          </w:tcPr>
          <w:p>
            <w:pPr>
              <w:spacing w:after="40"/>
            </w:pPr>
            <w:r/>
            <w:r>
              <w:rPr>
                <w:rFonts w:ascii="Calibri" w:hAnsi="Calibri"/>
                <w:b w:val="0"/>
                <w:sz w:val="18"/>
              </w:rPr>
              <w:t>Live Vercel health</w:t>
            </w:r>
          </w:p>
        </w:tc>
        <w:tc>
          <w:tcPr>
            <w:tcW w:type="dxa" w:w="1440"/>
            <w:vAlign w:val="top"/>
          </w:tcPr>
          <w:p>
            <w:pPr>
              <w:spacing w:after="40"/>
            </w:pPr>
            <w:r/>
            <w:r>
              <w:rPr>
                <w:rFonts w:ascii="Calibri" w:hAnsi="Calibri"/>
                <w:b w:val="0"/>
                <w:sz w:val="18"/>
              </w:rPr>
              <w:t>Passed</w:t>
            </w:r>
          </w:p>
        </w:tc>
        <w:tc>
          <w:tcPr>
            <w:tcW w:type="dxa" w:w="5472"/>
            <w:vAlign w:val="top"/>
          </w:tcPr>
          <w:p>
            <w:pPr>
              <w:spacing w:after="40"/>
            </w:pPr>
            <w:r/>
            <w:r>
              <w:rPr>
                <w:rFonts w:ascii="Calibri" w:hAnsi="Calibri"/>
                <w:b w:val="0"/>
                <w:sz w:val="18"/>
              </w:rPr>
              <w:t>Supabase, admin service access, Google Places, Hunter, and transcription all reported enabled</w:t>
            </w:r>
          </w:p>
        </w:tc>
      </w:tr>
      <w:tr>
        <w:tc>
          <w:tcPr>
            <w:tcW w:type="dxa" w:w="2448"/>
            <w:vAlign w:val="top"/>
          </w:tcPr>
          <w:p>
            <w:pPr>
              <w:spacing w:after="40"/>
            </w:pPr>
            <w:r/>
            <w:r>
              <w:rPr>
                <w:rFonts w:ascii="Calibri" w:hAnsi="Calibri"/>
                <w:b w:val="0"/>
                <w:sz w:val="18"/>
              </w:rPr>
              <w:t>Rendered browser automation</w:t>
            </w:r>
          </w:p>
        </w:tc>
        <w:tc>
          <w:tcPr>
            <w:tcW w:type="dxa" w:w="1440"/>
            <w:vAlign w:val="top"/>
          </w:tcPr>
          <w:p>
            <w:pPr>
              <w:spacing w:after="40"/>
            </w:pPr>
            <w:r/>
            <w:r>
              <w:rPr>
                <w:rFonts w:ascii="Calibri" w:hAnsi="Calibri"/>
                <w:b w:val="0"/>
                <w:sz w:val="18"/>
              </w:rPr>
              <w:t>Not completed</w:t>
            </w:r>
          </w:p>
        </w:tc>
        <w:tc>
          <w:tcPr>
            <w:tcW w:type="dxa" w:w="5472"/>
            <w:vAlign w:val="top"/>
          </w:tcPr>
          <w:p>
            <w:pPr>
              <w:spacing w:after="40"/>
            </w:pPr>
            <w:r/>
            <w:r>
              <w:rPr>
                <w:rFonts w:ascii="Calibri" w:hAnsi="Calibri"/>
                <w:b w:val="0"/>
                <w:sz w:val="18"/>
              </w:rPr>
              <w:t>Callable Browser controls were not exposed in the current tool session; reviewed via tests and HTTP checks</w:t>
            </w:r>
          </w:p>
        </w:tc>
      </w:tr>
    </w:tbl>
    <w:p/>
    <w:p>
      <w:pPr>
        <w:pStyle w:val="Heading1"/>
      </w:pPr>
      <w:r>
        <w:rPr>
          <w:rFonts w:ascii="Calibri" w:hAnsi="Calibri"/>
          <w:color w:val="2E74B5"/>
        </w:rPr>
        <w:t>Priority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fill="1F4D78"/>
          </w:tcPr>
          <w:p>
            <w:pPr>
              <w:spacing w:after="40"/>
            </w:pPr>
            <w:r/>
            <w:r>
              <w:rPr>
                <w:rFonts w:ascii="Calibri" w:hAnsi="Calibri"/>
                <w:b/>
                <w:color w:val="FFFFFF"/>
                <w:sz w:val="18"/>
              </w:rPr>
              <w:t>Priority</w:t>
            </w:r>
          </w:p>
        </w:tc>
        <w:tc>
          <w:tcPr>
            <w:tcW w:type="dxa" w:w="2160"/>
            <w:shd w:fill="1F4D78"/>
          </w:tcPr>
          <w:p>
            <w:pPr>
              <w:spacing w:after="40"/>
            </w:pPr>
            <w:r/>
            <w:r>
              <w:rPr>
                <w:rFonts w:ascii="Calibri" w:hAnsi="Calibri"/>
                <w:b/>
                <w:color w:val="FFFFFF"/>
                <w:sz w:val="18"/>
              </w:rPr>
              <w:t>Finding</w:t>
            </w:r>
          </w:p>
        </w:tc>
        <w:tc>
          <w:tcPr>
            <w:tcW w:type="dxa" w:w="2880"/>
            <w:shd w:fill="1F4D78"/>
          </w:tcPr>
          <w:p>
            <w:pPr>
              <w:spacing w:after="40"/>
            </w:pPr>
            <w:r/>
            <w:r>
              <w:rPr>
                <w:rFonts w:ascii="Calibri" w:hAnsi="Calibri"/>
                <w:b/>
                <w:color w:val="FFFFFF"/>
                <w:sz w:val="18"/>
              </w:rPr>
              <w:t>Why It Matters</w:t>
            </w:r>
          </w:p>
        </w:tc>
        <w:tc>
          <w:tcPr>
            <w:tcW w:type="dxa" w:w="3456"/>
            <w:shd w:fill="1F4D78"/>
          </w:tcPr>
          <w:p>
            <w:pPr>
              <w:spacing w:after="40"/>
            </w:pPr>
            <w:r/>
            <w:r>
              <w:rPr>
                <w:rFonts w:ascii="Calibri" w:hAnsi="Calibri"/>
                <w:b/>
                <w:color w:val="FFFFFF"/>
                <w:sz w:val="18"/>
              </w:rPr>
              <w:t>Recommended Fix</w:t>
            </w:r>
          </w:p>
        </w:tc>
      </w:tr>
      <w:tr>
        <w:tc>
          <w:tcPr>
            <w:tcW w:type="dxa" w:w="864"/>
            <w:vAlign w:val="top"/>
          </w:tcPr>
          <w:p>
            <w:pPr>
              <w:spacing w:after="40"/>
            </w:pPr>
            <w:r/>
            <w:r>
              <w:rPr>
                <w:rFonts w:ascii="Calibri" w:hAnsi="Calibri"/>
                <w:b w:val="0"/>
                <w:sz w:val="18"/>
              </w:rPr>
              <w:t>P1</w:t>
            </w:r>
          </w:p>
        </w:tc>
        <w:tc>
          <w:tcPr>
            <w:tcW w:type="dxa" w:w="2160"/>
            <w:vAlign w:val="top"/>
          </w:tcPr>
          <w:p>
            <w:pPr>
              <w:spacing w:after="40"/>
            </w:pPr>
            <w:r/>
            <w:r>
              <w:rPr>
                <w:rFonts w:ascii="Calibri" w:hAnsi="Calibri"/>
                <w:b w:val="0"/>
                <w:sz w:val="18"/>
              </w:rPr>
              <w:t>Activity log is editable/deletable</w:t>
            </w:r>
          </w:p>
        </w:tc>
        <w:tc>
          <w:tcPr>
            <w:tcW w:type="dxa" w:w="2880"/>
            <w:vAlign w:val="top"/>
          </w:tcPr>
          <w:p>
            <w:pPr>
              <w:spacing w:after="40"/>
            </w:pPr>
            <w:r/>
            <w:r>
              <w:rPr>
                <w:rFonts w:ascii="Calibri" w:hAnsi="Calibri"/>
                <w:b w:val="0"/>
                <w:sz w:val="18"/>
              </w:rPr>
              <w:t>Brief requires append-only activity memory: no editing or deleting past entries. Current server and UI support activity edit/delete or request-delete.</w:t>
            </w:r>
          </w:p>
        </w:tc>
        <w:tc>
          <w:tcPr>
            <w:tcW w:type="dxa" w:w="3456"/>
            <w:vAlign w:val="top"/>
          </w:tcPr>
          <w:p>
            <w:pPr>
              <w:spacing w:after="40"/>
            </w:pPr>
            <w:r/>
            <w:r>
              <w:rPr>
                <w:rFonts w:ascii="Calibri" w:hAnsi="Calibri"/>
                <w:b w:val="0"/>
                <w:sz w:val="18"/>
              </w:rPr>
              <w:t>Replace edits/deletes with append-only correction and delete-request audit entries; preserve original entries permanently.</w:t>
            </w:r>
          </w:p>
        </w:tc>
      </w:tr>
      <w:tr>
        <w:tc>
          <w:tcPr>
            <w:tcW w:type="dxa" w:w="864"/>
            <w:vAlign w:val="top"/>
          </w:tcPr>
          <w:p>
            <w:pPr>
              <w:spacing w:after="40"/>
            </w:pPr>
            <w:r/>
            <w:r>
              <w:rPr>
                <w:rFonts w:ascii="Calibri" w:hAnsi="Calibri"/>
                <w:b w:val="0"/>
                <w:sz w:val="18"/>
              </w:rPr>
              <w:t>P1</w:t>
            </w:r>
          </w:p>
        </w:tc>
        <w:tc>
          <w:tcPr>
            <w:tcW w:type="dxa" w:w="2160"/>
            <w:vAlign w:val="top"/>
          </w:tcPr>
          <w:p>
            <w:pPr>
              <w:spacing w:after="40"/>
            </w:pPr>
            <w:r/>
            <w:r>
              <w:rPr>
                <w:rFonts w:ascii="Calibri" w:hAnsi="Calibri"/>
                <w:b w:val="0"/>
                <w:sz w:val="18"/>
              </w:rPr>
              <w:t>Offline-first is partial</w:t>
            </w:r>
          </w:p>
        </w:tc>
        <w:tc>
          <w:tcPr>
            <w:tcW w:type="dxa" w:w="2880"/>
            <w:vAlign w:val="top"/>
          </w:tcPr>
          <w:p>
            <w:pPr>
              <w:spacing w:after="40"/>
            </w:pPr>
            <w:r/>
            <w:r>
              <w:rPr>
                <w:rFonts w:ascii="Calibri" w:hAnsi="Calibri"/>
                <w:b w:val="0"/>
                <w:sz w:val="18"/>
              </w:rPr>
              <w:t>PWA shell and Quick Log outbox exist, but /api calls are network-only and PMR voice upload/PMR save require connectivity.</w:t>
            </w:r>
          </w:p>
        </w:tc>
        <w:tc>
          <w:tcPr>
            <w:tcW w:type="dxa" w:w="3456"/>
            <w:vAlign w:val="top"/>
          </w:tcPr>
          <w:p>
            <w:pPr>
              <w:spacing w:after="40"/>
            </w:pPr>
            <w:r/>
            <w:r>
              <w:rPr>
                <w:rFonts w:ascii="Calibri" w:hAnsi="Calibri"/>
                <w:b w:val="0"/>
                <w:sz w:val="18"/>
              </w:rPr>
              <w:t>Cache company records in IndexedDB and queue PMR, voice notes, lead updates, and activities for later sync.</w:t>
            </w:r>
          </w:p>
        </w:tc>
      </w:tr>
      <w:tr>
        <w:tc>
          <w:tcPr>
            <w:tcW w:type="dxa" w:w="864"/>
            <w:vAlign w:val="top"/>
          </w:tcPr>
          <w:p>
            <w:pPr>
              <w:spacing w:after="40"/>
            </w:pPr>
            <w:r/>
            <w:r>
              <w:rPr>
                <w:rFonts w:ascii="Calibri" w:hAnsi="Calibri"/>
                <w:b w:val="0"/>
                <w:sz w:val="18"/>
              </w:rPr>
              <w:t>P1</w:t>
            </w:r>
          </w:p>
        </w:tc>
        <w:tc>
          <w:tcPr>
            <w:tcW w:type="dxa" w:w="2160"/>
            <w:vAlign w:val="top"/>
          </w:tcPr>
          <w:p>
            <w:pPr>
              <w:spacing w:after="40"/>
            </w:pPr>
            <w:r/>
            <w:r>
              <w:rPr>
                <w:rFonts w:ascii="Calibri" w:hAnsi="Calibri"/>
                <w:b w:val="0"/>
                <w:sz w:val="18"/>
              </w:rPr>
              <w:t>PMR is not reliably linked to a specific activity</w:t>
            </w:r>
          </w:p>
        </w:tc>
        <w:tc>
          <w:tcPr>
            <w:tcW w:type="dxa" w:w="2880"/>
            <w:vAlign w:val="top"/>
          </w:tcPr>
          <w:p>
            <w:pPr>
              <w:spacing w:after="40"/>
            </w:pPr>
            <w:r/>
            <w:r>
              <w:rPr>
                <w:rFonts w:ascii="Calibri" w:hAnsi="Calibri"/>
                <w:b w:val="0"/>
                <w:sz w:val="18"/>
              </w:rPr>
              <w:t>PMR has an activity_id field, but the form does not select or create the activity first; server creates an activity after PMR save.</w:t>
            </w:r>
          </w:p>
        </w:tc>
        <w:tc>
          <w:tcPr>
            <w:tcW w:type="dxa" w:w="3456"/>
            <w:vAlign w:val="top"/>
          </w:tcPr>
          <w:p>
            <w:pPr>
              <w:spacing w:after="40"/>
            </w:pPr>
            <w:r/>
            <w:r>
              <w:rPr>
                <w:rFonts w:ascii="Calibri" w:hAnsi="Calibri"/>
                <w:b w:val="0"/>
                <w:sz w:val="18"/>
              </w:rPr>
              <w:t>Create/select the visit activity before PMR save, then persist its activity_id into the PMR record.</w:t>
            </w:r>
          </w:p>
        </w:tc>
      </w:tr>
      <w:tr>
        <w:tc>
          <w:tcPr>
            <w:tcW w:type="dxa" w:w="864"/>
            <w:vAlign w:val="top"/>
          </w:tcPr>
          <w:p>
            <w:pPr>
              <w:spacing w:after="40"/>
            </w:pPr>
            <w:r/>
            <w:r>
              <w:rPr>
                <w:rFonts w:ascii="Calibri" w:hAnsi="Calibri"/>
                <w:b w:val="0"/>
                <w:sz w:val="18"/>
              </w:rPr>
              <w:t>P2</w:t>
            </w:r>
          </w:p>
        </w:tc>
        <w:tc>
          <w:tcPr>
            <w:tcW w:type="dxa" w:w="2160"/>
            <w:vAlign w:val="top"/>
          </w:tcPr>
          <w:p>
            <w:pPr>
              <w:spacing w:after="40"/>
            </w:pPr>
            <w:r/>
            <w:r>
              <w:rPr>
                <w:rFonts w:ascii="Calibri" w:hAnsi="Calibri"/>
                <w:b w:val="0"/>
                <w:sz w:val="18"/>
              </w:rPr>
              <w:t>Relationship health scoring is too basic</w:t>
            </w:r>
          </w:p>
        </w:tc>
        <w:tc>
          <w:tcPr>
            <w:tcW w:type="dxa" w:w="2880"/>
            <w:vAlign w:val="top"/>
          </w:tcPr>
          <w:p>
            <w:pPr>
              <w:spacing w:after="40"/>
            </w:pPr>
            <w:r/>
            <w:r>
              <w:rPr>
                <w:rFonts w:ascii="Calibri" w:hAnsi="Calibri"/>
                <w:b w:val="0"/>
                <w:sz w:val="18"/>
              </w:rPr>
              <w:t>Current score mainly uses days since last activity. Brief requires activity trend, engagement quality, stage velocity, and last PMR heat scores.</w:t>
            </w:r>
          </w:p>
        </w:tc>
        <w:tc>
          <w:tcPr>
            <w:tcW w:type="dxa" w:w="3456"/>
            <w:vAlign w:val="top"/>
          </w:tcPr>
          <w:p>
            <w:pPr>
              <w:spacing w:after="40"/>
            </w:pPr>
            <w:r/>
            <w:r>
              <w:rPr>
                <w:rFonts w:ascii="Calibri" w:hAnsi="Calibri"/>
                <w:b w:val="0"/>
                <w:sz w:val="18"/>
              </w:rPr>
              <w:t>Expand scoring engine and store/explain the weighted factors.</w:t>
            </w:r>
          </w:p>
        </w:tc>
      </w:tr>
      <w:tr>
        <w:tc>
          <w:tcPr>
            <w:tcW w:type="dxa" w:w="864"/>
            <w:vAlign w:val="top"/>
          </w:tcPr>
          <w:p>
            <w:pPr>
              <w:spacing w:after="40"/>
            </w:pPr>
            <w:r/>
            <w:r>
              <w:rPr>
                <w:rFonts w:ascii="Calibri" w:hAnsi="Calibri"/>
                <w:b w:val="0"/>
                <w:sz w:val="18"/>
              </w:rPr>
              <w:t>P2</w:t>
            </w:r>
          </w:p>
        </w:tc>
        <w:tc>
          <w:tcPr>
            <w:tcW w:type="dxa" w:w="2160"/>
            <w:vAlign w:val="top"/>
          </w:tcPr>
          <w:p>
            <w:pPr>
              <w:spacing w:after="40"/>
            </w:pPr>
            <w:r/>
            <w:r>
              <w:rPr>
                <w:rFonts w:ascii="Calibri" w:hAnsi="Calibri"/>
                <w:b w:val="0"/>
                <w:sz w:val="18"/>
              </w:rPr>
              <w:t>Configuration Agent missing</w:t>
            </w:r>
          </w:p>
        </w:tc>
        <w:tc>
          <w:tcPr>
            <w:tcW w:type="dxa" w:w="2880"/>
            <w:vAlign w:val="top"/>
          </w:tcPr>
          <w:p>
            <w:pPr>
              <w:spacing w:after="40"/>
            </w:pPr>
            <w:r/>
            <w:r>
              <w:rPr>
                <w:rFonts w:ascii="Calibri" w:hAnsi="Calibri"/>
                <w:b w:val="0"/>
                <w:sz w:val="18"/>
              </w:rPr>
              <w:t>Rules are hardcoded. Brief requires plain-language configuration changes, confirmation before writes, audit log, and impact preview.</w:t>
            </w:r>
          </w:p>
        </w:tc>
        <w:tc>
          <w:tcPr>
            <w:tcW w:type="dxa" w:w="3456"/>
            <w:vAlign w:val="top"/>
          </w:tcPr>
          <w:p>
            <w:pPr>
              <w:spacing w:after="40"/>
            </w:pPr>
            <w:r/>
            <w:r>
              <w:rPr>
                <w:rFonts w:ascii="Calibri" w:hAnsi="Calibri"/>
                <w:b w:val="0"/>
                <w:sz w:val="18"/>
              </w:rPr>
              <w:t>Add configuration tables, audit table, confirmed write flow, and admin-only UI/agent path.</w:t>
            </w:r>
          </w:p>
        </w:tc>
      </w:tr>
      <w:tr>
        <w:tc>
          <w:tcPr>
            <w:tcW w:type="dxa" w:w="864"/>
            <w:vAlign w:val="top"/>
          </w:tcPr>
          <w:p>
            <w:pPr>
              <w:spacing w:after="40"/>
            </w:pPr>
            <w:r/>
            <w:r>
              <w:rPr>
                <w:rFonts w:ascii="Calibri" w:hAnsi="Calibri"/>
                <w:b w:val="0"/>
                <w:sz w:val="18"/>
              </w:rPr>
              <w:t>P2</w:t>
            </w:r>
          </w:p>
        </w:tc>
        <w:tc>
          <w:tcPr>
            <w:tcW w:type="dxa" w:w="2160"/>
            <w:vAlign w:val="top"/>
          </w:tcPr>
          <w:p>
            <w:pPr>
              <w:spacing w:after="40"/>
            </w:pPr>
            <w:r/>
            <w:r>
              <w:rPr>
                <w:rFonts w:ascii="Calibri" w:hAnsi="Calibri"/>
                <w:b w:val="0"/>
                <w:sz w:val="18"/>
              </w:rPr>
              <w:t>Push notifications are scaffolded only</w:t>
            </w:r>
          </w:p>
        </w:tc>
        <w:tc>
          <w:tcPr>
            <w:tcW w:type="dxa" w:w="2880"/>
            <w:vAlign w:val="top"/>
          </w:tcPr>
          <w:p>
            <w:pPr>
              <w:spacing w:after="40"/>
            </w:pPr>
            <w:r/>
            <w:r>
              <w:rPr>
                <w:rFonts w:ascii="Calibri" w:hAnsi="Calibri"/>
                <w:b w:val="0"/>
                <w:sz w:val="18"/>
              </w:rPr>
              <w:t>FCM service worker exists, but full Firebase project config, VAPID key, token registration, and server senders are not implemented.</w:t>
            </w:r>
          </w:p>
        </w:tc>
        <w:tc>
          <w:tcPr>
            <w:tcW w:type="dxa" w:w="3456"/>
            <w:vAlign w:val="top"/>
          </w:tcPr>
          <w:p>
            <w:pPr>
              <w:spacing w:after="40"/>
            </w:pPr>
            <w:r/>
            <w:r>
              <w:rPr>
                <w:rFonts w:ascii="Calibri" w:hAnsi="Calibri"/>
                <w:b w:val="0"/>
                <w:sz w:val="18"/>
              </w:rPr>
              <w:t>Configure push provider and scheduled overdue/Monday digest senders.</w:t>
            </w:r>
          </w:p>
        </w:tc>
      </w:tr>
      <w:tr>
        <w:tc>
          <w:tcPr>
            <w:tcW w:type="dxa" w:w="864"/>
            <w:vAlign w:val="top"/>
          </w:tcPr>
          <w:p>
            <w:pPr>
              <w:spacing w:after="40"/>
            </w:pPr>
            <w:r/>
            <w:r>
              <w:rPr>
                <w:rFonts w:ascii="Calibri" w:hAnsi="Calibri"/>
                <w:b w:val="0"/>
                <w:sz w:val="18"/>
              </w:rPr>
              <w:t>P2</w:t>
            </w:r>
          </w:p>
        </w:tc>
        <w:tc>
          <w:tcPr>
            <w:tcW w:type="dxa" w:w="2160"/>
            <w:vAlign w:val="top"/>
          </w:tcPr>
          <w:p>
            <w:pPr>
              <w:spacing w:after="40"/>
            </w:pPr>
            <w:r/>
            <w:r>
              <w:rPr>
                <w:rFonts w:ascii="Calibri" w:hAnsi="Calibri"/>
                <w:b w:val="0"/>
                <w:sz w:val="18"/>
              </w:rPr>
              <w:t>Market intelligence and ERP remain placeholders</w:t>
            </w:r>
          </w:p>
        </w:tc>
        <w:tc>
          <w:tcPr>
            <w:tcW w:type="dxa" w:w="2880"/>
            <w:vAlign w:val="top"/>
          </w:tcPr>
          <w:p>
            <w:pPr>
              <w:spacing w:after="40"/>
            </w:pPr>
            <w:r/>
            <w:r>
              <w:rPr>
                <w:rFonts w:ascii="Calibri" w:hAnsi="Calibri"/>
                <w:b w:val="0"/>
                <w:sz w:val="18"/>
              </w:rPr>
              <w:t>Zawya feed requires keys/URL; ERP lookup is a stub until ERP API and quotation format are confirmed.</w:t>
            </w:r>
          </w:p>
        </w:tc>
        <w:tc>
          <w:tcPr>
            <w:tcW w:type="dxa" w:w="3456"/>
            <w:vAlign w:val="top"/>
          </w:tcPr>
          <w:p>
            <w:pPr>
              <w:spacing w:after="40"/>
            </w:pPr>
            <w:r/>
            <w:r>
              <w:rPr>
                <w:rFonts w:ascii="Calibri" w:hAnsi="Calibri"/>
                <w:b w:val="0"/>
                <w:sz w:val="18"/>
              </w:rPr>
              <w:t>Configure provider credentials and replace ERP stub with real read-only lookup.</w:t>
            </w:r>
          </w:p>
        </w:tc>
      </w:tr>
    </w:tbl>
    <w:p/>
    <w:p>
      <w:pPr>
        <w:pStyle w:val="Heading1"/>
      </w:pPr>
      <w:r>
        <w:rPr>
          <w:rFonts w:ascii="Calibri" w:hAnsi="Calibri"/>
          <w:color w:val="2E74B5"/>
        </w:rPr>
        <w:t>Configuration Still Needed</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1F4D78"/>
          </w:tcPr>
          <w:p>
            <w:pPr>
              <w:spacing w:after="40"/>
            </w:pPr>
            <w:r/>
            <w:r>
              <w:rPr>
                <w:rFonts w:ascii="Calibri" w:hAnsi="Calibri"/>
                <w:b/>
                <w:color w:val="FFFFFF"/>
                <w:sz w:val="18"/>
              </w:rPr>
              <w:t>Area</w:t>
            </w:r>
          </w:p>
        </w:tc>
        <w:tc>
          <w:tcPr>
            <w:tcW w:type="dxa" w:w="2448"/>
            <w:shd w:fill="1F4D78"/>
          </w:tcPr>
          <w:p>
            <w:pPr>
              <w:spacing w:after="40"/>
            </w:pPr>
            <w:r/>
            <w:r>
              <w:rPr>
                <w:rFonts w:ascii="Calibri" w:hAnsi="Calibri"/>
                <w:b/>
                <w:color w:val="FFFFFF"/>
                <w:sz w:val="18"/>
              </w:rPr>
              <w:t>Current Status</w:t>
            </w:r>
          </w:p>
        </w:tc>
        <w:tc>
          <w:tcPr>
            <w:tcW w:type="dxa" w:w="4896"/>
            <w:shd w:fill="1F4D78"/>
          </w:tcPr>
          <w:p>
            <w:pPr>
              <w:spacing w:after="40"/>
            </w:pPr>
            <w:r/>
            <w:r>
              <w:rPr>
                <w:rFonts w:ascii="Calibri" w:hAnsi="Calibri"/>
                <w:b/>
                <w:color w:val="FFFFFF"/>
                <w:sz w:val="18"/>
              </w:rPr>
              <w:t>Action Required</w:t>
            </w:r>
          </w:p>
        </w:tc>
      </w:tr>
      <w:tr>
        <w:tc>
          <w:tcPr>
            <w:tcW w:type="dxa" w:w="2016"/>
            <w:vAlign w:val="top"/>
          </w:tcPr>
          <w:p>
            <w:pPr>
              <w:spacing w:after="40"/>
            </w:pPr>
            <w:r/>
            <w:r>
              <w:rPr>
                <w:rFonts w:ascii="Calibri" w:hAnsi="Calibri"/>
                <w:b w:val="0"/>
                <w:sz w:val="18"/>
              </w:rPr>
              <w:t>Supabase</w:t>
            </w:r>
          </w:p>
        </w:tc>
        <w:tc>
          <w:tcPr>
            <w:tcW w:type="dxa" w:w="2448"/>
            <w:vAlign w:val="top"/>
          </w:tcPr>
          <w:p>
            <w:pPr>
              <w:spacing w:after="40"/>
            </w:pPr>
            <w:r/>
            <w:r>
              <w:rPr>
                <w:rFonts w:ascii="Calibri" w:hAnsi="Calibri"/>
                <w:b w:val="0"/>
                <w:sz w:val="18"/>
              </w:rPr>
              <w:t>Production reports enabled</w:t>
            </w:r>
          </w:p>
        </w:tc>
        <w:tc>
          <w:tcPr>
            <w:tcW w:type="dxa" w:w="4896"/>
            <w:vAlign w:val="top"/>
          </w:tcPr>
          <w:p>
            <w:pPr>
              <w:spacing w:after="40"/>
            </w:pPr>
            <w:r/>
            <w:r>
              <w:rPr>
                <w:rFonts w:ascii="Calibri" w:hAnsi="Calibri"/>
                <w:b w:val="0"/>
                <w:sz w:val="18"/>
              </w:rPr>
              <w:t>Keep NEXT_PUBLIC_SUPABASE_URL, NEXT_PUBLIC_SUPABASE_ANON_KEY, and SUPABASE_SERVICE_ROLE_KEY in Vercel. Confirm all migrations are applied in the live Supabase project.</w:t>
            </w:r>
          </w:p>
        </w:tc>
      </w:tr>
      <w:tr>
        <w:tc>
          <w:tcPr>
            <w:tcW w:type="dxa" w:w="2016"/>
            <w:vAlign w:val="top"/>
          </w:tcPr>
          <w:p>
            <w:pPr>
              <w:spacing w:after="40"/>
            </w:pPr>
            <w:r/>
            <w:r>
              <w:rPr>
                <w:rFonts w:ascii="Calibri" w:hAnsi="Calibri"/>
                <w:b w:val="0"/>
                <w:sz w:val="18"/>
              </w:rPr>
              <w:t>Google Places</w:t>
            </w:r>
          </w:p>
        </w:tc>
        <w:tc>
          <w:tcPr>
            <w:tcW w:type="dxa" w:w="2448"/>
            <w:vAlign w:val="top"/>
          </w:tcPr>
          <w:p>
            <w:pPr>
              <w:spacing w:after="40"/>
            </w:pPr>
            <w:r/>
            <w:r>
              <w:rPr>
                <w:rFonts w:ascii="Calibri" w:hAnsi="Calibri"/>
                <w:b w:val="0"/>
                <w:sz w:val="18"/>
              </w:rPr>
              <w:t>Production reports enabled</w:t>
            </w:r>
          </w:p>
        </w:tc>
        <w:tc>
          <w:tcPr>
            <w:tcW w:type="dxa" w:w="4896"/>
            <w:vAlign w:val="top"/>
          </w:tcPr>
          <w:p>
            <w:pPr>
              <w:spacing w:after="40"/>
            </w:pPr>
            <w:r/>
            <w:r>
              <w:rPr>
                <w:rFonts w:ascii="Calibri" w:hAnsi="Calibri"/>
                <w:b w:val="0"/>
                <w:sz w:val="18"/>
              </w:rPr>
              <w:t>Keep GOOGLE_PLACES_API_KEY server-side only. Confirm Places API (New) is enabled and restricted to the Vercel backend.</w:t>
            </w:r>
          </w:p>
        </w:tc>
      </w:tr>
      <w:tr>
        <w:tc>
          <w:tcPr>
            <w:tcW w:type="dxa" w:w="2016"/>
            <w:vAlign w:val="top"/>
          </w:tcPr>
          <w:p>
            <w:pPr>
              <w:spacing w:after="40"/>
            </w:pPr>
            <w:r/>
            <w:r>
              <w:rPr>
                <w:rFonts w:ascii="Calibri" w:hAnsi="Calibri"/>
                <w:b w:val="0"/>
                <w:sz w:val="18"/>
              </w:rPr>
              <w:t>Hunter</w:t>
            </w:r>
          </w:p>
        </w:tc>
        <w:tc>
          <w:tcPr>
            <w:tcW w:type="dxa" w:w="2448"/>
            <w:vAlign w:val="top"/>
          </w:tcPr>
          <w:p>
            <w:pPr>
              <w:spacing w:after="40"/>
            </w:pPr>
            <w:r/>
            <w:r>
              <w:rPr>
                <w:rFonts w:ascii="Calibri" w:hAnsi="Calibri"/>
                <w:b w:val="0"/>
                <w:sz w:val="18"/>
              </w:rPr>
              <w:t>Production reports enabled; missing locally</w:t>
            </w:r>
          </w:p>
        </w:tc>
        <w:tc>
          <w:tcPr>
            <w:tcW w:type="dxa" w:w="4896"/>
            <w:vAlign w:val="top"/>
          </w:tcPr>
          <w:p>
            <w:pPr>
              <w:spacing w:after="40"/>
            </w:pPr>
            <w:r/>
            <w:r>
              <w:rPr>
                <w:rFonts w:ascii="Calibri" w:hAnsi="Calibri"/>
                <w:b w:val="0"/>
                <w:sz w:val="18"/>
              </w:rPr>
              <w:t>Add HUNTER_API_KEY locally if local Hunter tests are needed. Vercel health reports Hunter enabled.</w:t>
            </w:r>
          </w:p>
        </w:tc>
      </w:tr>
      <w:tr>
        <w:tc>
          <w:tcPr>
            <w:tcW w:type="dxa" w:w="2016"/>
            <w:vAlign w:val="top"/>
          </w:tcPr>
          <w:p>
            <w:pPr>
              <w:spacing w:after="40"/>
            </w:pPr>
            <w:r/>
            <w:r>
              <w:rPr>
                <w:rFonts w:ascii="Calibri" w:hAnsi="Calibri"/>
                <w:b w:val="0"/>
                <w:sz w:val="18"/>
              </w:rPr>
              <w:t>OpenAI Whisper / transcription</w:t>
            </w:r>
          </w:p>
        </w:tc>
        <w:tc>
          <w:tcPr>
            <w:tcW w:type="dxa" w:w="2448"/>
            <w:vAlign w:val="top"/>
          </w:tcPr>
          <w:p>
            <w:pPr>
              <w:spacing w:after="40"/>
            </w:pPr>
            <w:r/>
            <w:r>
              <w:rPr>
                <w:rFonts w:ascii="Calibri" w:hAnsi="Calibri"/>
                <w:b w:val="0"/>
                <w:sz w:val="18"/>
              </w:rPr>
              <w:t>Production reports enabled</w:t>
            </w:r>
          </w:p>
        </w:tc>
        <w:tc>
          <w:tcPr>
            <w:tcW w:type="dxa" w:w="4896"/>
            <w:vAlign w:val="top"/>
          </w:tcPr>
          <w:p>
            <w:pPr>
              <w:spacing w:after="40"/>
            </w:pPr>
            <w:r/>
            <w:r>
              <w:rPr>
                <w:rFonts w:ascii="Calibri" w:hAnsi="Calibri"/>
                <w:b w:val="0"/>
                <w:sz w:val="18"/>
              </w:rPr>
              <w:t>OPENAI_API_KEY is present. Keep it server-side and rotate if ever exposed.</w:t>
            </w:r>
          </w:p>
        </w:tc>
      </w:tr>
      <w:tr>
        <w:tc>
          <w:tcPr>
            <w:tcW w:type="dxa" w:w="2016"/>
            <w:vAlign w:val="top"/>
          </w:tcPr>
          <w:p>
            <w:pPr>
              <w:spacing w:after="40"/>
            </w:pPr>
            <w:r/>
            <w:r>
              <w:rPr>
                <w:rFonts w:ascii="Calibri" w:hAnsi="Calibri"/>
                <w:b w:val="0"/>
                <w:sz w:val="18"/>
              </w:rPr>
              <w:t>Claude / Anthropic</w:t>
            </w:r>
          </w:p>
        </w:tc>
        <w:tc>
          <w:tcPr>
            <w:tcW w:type="dxa" w:w="2448"/>
            <w:vAlign w:val="top"/>
          </w:tcPr>
          <w:p>
            <w:pPr>
              <w:spacing w:after="40"/>
            </w:pPr>
            <w:r/>
            <w:r>
              <w:rPr>
                <w:rFonts w:ascii="Calibri" w:hAnsi="Calibri"/>
                <w:b w:val="0"/>
                <w:sz w:val="18"/>
              </w:rPr>
              <w:t>Missing locally; live not confirmed by health endpoint</w:t>
            </w:r>
          </w:p>
        </w:tc>
        <w:tc>
          <w:tcPr>
            <w:tcW w:type="dxa" w:w="4896"/>
            <w:vAlign w:val="top"/>
          </w:tcPr>
          <w:p>
            <w:pPr>
              <w:spacing w:after="40"/>
            </w:pPr>
            <w:r/>
            <w:r>
              <w:rPr>
                <w:rFonts w:ascii="Calibri" w:hAnsi="Calibri"/>
                <w:b w:val="0"/>
                <w:sz w:val="18"/>
              </w:rPr>
              <w:t>Set ANTHROPIC_API_KEY, ANTHROPIC_MODEL, ENABLE_CLAUDE_ENRICHMENT=true, and ENABLE_AI_AGENT=true for one-click AI and database agent features.</w:t>
            </w:r>
          </w:p>
        </w:tc>
      </w:tr>
      <w:tr>
        <w:tc>
          <w:tcPr>
            <w:tcW w:type="dxa" w:w="2016"/>
            <w:vAlign w:val="top"/>
          </w:tcPr>
          <w:p>
            <w:pPr>
              <w:spacing w:after="40"/>
            </w:pPr>
            <w:r/>
            <w:r>
              <w:rPr>
                <w:rFonts w:ascii="Calibri" w:hAnsi="Calibri"/>
                <w:b w:val="0"/>
                <w:sz w:val="18"/>
              </w:rPr>
              <w:t>Market intelligence</w:t>
            </w:r>
          </w:p>
        </w:tc>
        <w:tc>
          <w:tcPr>
            <w:tcW w:type="dxa" w:w="2448"/>
            <w:vAlign w:val="top"/>
          </w:tcPr>
          <w:p>
            <w:pPr>
              <w:spacing w:after="40"/>
            </w:pPr>
            <w:r/>
            <w:r>
              <w:rPr>
                <w:rFonts w:ascii="Calibri" w:hAnsi="Calibri"/>
                <w:b w:val="0"/>
                <w:sz w:val="18"/>
              </w:rPr>
              <w:t>Missing locally; likely pending provider setup</w:t>
            </w:r>
          </w:p>
        </w:tc>
        <w:tc>
          <w:tcPr>
            <w:tcW w:type="dxa" w:w="4896"/>
            <w:vAlign w:val="top"/>
          </w:tcPr>
          <w:p>
            <w:pPr>
              <w:spacing w:after="40"/>
            </w:pPr>
            <w:r/>
            <w:r>
              <w:rPr>
                <w:rFonts w:ascii="Calibri" w:hAnsi="Calibri"/>
                <w:b w:val="0"/>
                <w:sz w:val="18"/>
              </w:rPr>
              <w:t>Set ZAWYA_API_KEY and ZAWYA_API_URL after confirming the paid data source and feed shape.</w:t>
            </w:r>
          </w:p>
        </w:tc>
      </w:tr>
      <w:tr>
        <w:tc>
          <w:tcPr>
            <w:tcW w:type="dxa" w:w="2016"/>
            <w:vAlign w:val="top"/>
          </w:tcPr>
          <w:p>
            <w:pPr>
              <w:spacing w:after="40"/>
            </w:pPr>
            <w:r/>
            <w:r>
              <w:rPr>
                <w:rFonts w:ascii="Calibri" w:hAnsi="Calibri"/>
                <w:b w:val="0"/>
                <w:sz w:val="18"/>
              </w:rPr>
              <w:t>ERP lookup</w:t>
            </w:r>
          </w:p>
        </w:tc>
        <w:tc>
          <w:tcPr>
            <w:tcW w:type="dxa" w:w="2448"/>
            <w:vAlign w:val="top"/>
          </w:tcPr>
          <w:p>
            <w:pPr>
              <w:spacing w:after="40"/>
            </w:pPr>
            <w:r/>
            <w:r>
              <w:rPr>
                <w:rFonts w:ascii="Calibri" w:hAnsi="Calibri"/>
                <w:b w:val="0"/>
                <w:sz w:val="18"/>
              </w:rPr>
              <w:t>Missing locally and implemented as stub</w:t>
            </w:r>
          </w:p>
        </w:tc>
        <w:tc>
          <w:tcPr>
            <w:tcW w:type="dxa" w:w="4896"/>
            <w:vAlign w:val="top"/>
          </w:tcPr>
          <w:p>
            <w:pPr>
              <w:spacing w:after="40"/>
            </w:pPr>
            <w:r/>
            <w:r>
              <w:rPr>
                <w:rFonts w:ascii="Calibri" w:hAnsi="Calibri"/>
                <w:b w:val="0"/>
                <w:sz w:val="18"/>
              </w:rPr>
              <w:t>Set ERP_API_BASE_URL and ERP_API_KEY only after the ERP system and quotation reference format are confirmed.</w:t>
            </w:r>
          </w:p>
        </w:tc>
      </w:tr>
      <w:tr>
        <w:tc>
          <w:tcPr>
            <w:tcW w:type="dxa" w:w="2016"/>
            <w:vAlign w:val="top"/>
          </w:tcPr>
          <w:p>
            <w:pPr>
              <w:spacing w:after="40"/>
            </w:pPr>
            <w:r/>
            <w:r>
              <w:rPr>
                <w:rFonts w:ascii="Calibri" w:hAnsi="Calibri"/>
                <w:b w:val="0"/>
                <w:sz w:val="18"/>
              </w:rPr>
              <w:t>Push notifications</w:t>
            </w:r>
          </w:p>
        </w:tc>
        <w:tc>
          <w:tcPr>
            <w:tcW w:type="dxa" w:w="2448"/>
            <w:vAlign w:val="top"/>
          </w:tcPr>
          <w:p>
            <w:pPr>
              <w:spacing w:after="40"/>
            </w:pPr>
            <w:r/>
            <w:r>
              <w:rPr>
                <w:rFonts w:ascii="Calibri" w:hAnsi="Calibri"/>
                <w:b w:val="0"/>
                <w:sz w:val="18"/>
              </w:rPr>
              <w:t>Scaffolded only</w:t>
            </w:r>
          </w:p>
        </w:tc>
        <w:tc>
          <w:tcPr>
            <w:tcW w:type="dxa" w:w="4896"/>
            <w:vAlign w:val="top"/>
          </w:tcPr>
          <w:p>
            <w:pPr>
              <w:spacing w:after="40"/>
            </w:pPr>
            <w:r/>
            <w:r>
              <w:rPr>
                <w:rFonts w:ascii="Calibri" w:hAnsi="Calibri"/>
                <w:b w:val="0"/>
                <w:sz w:val="18"/>
              </w:rPr>
              <w:t>Configure Firebase or another push provider, VAPID key, browser token registration, and server-side scheduled senders.</w:t>
            </w:r>
          </w:p>
        </w:tc>
      </w:tr>
      <w:tr>
        <w:tc>
          <w:tcPr>
            <w:tcW w:type="dxa" w:w="2016"/>
            <w:vAlign w:val="top"/>
          </w:tcPr>
          <w:p>
            <w:pPr>
              <w:spacing w:after="40"/>
            </w:pPr>
            <w:r/>
            <w:r>
              <w:rPr>
                <w:rFonts w:ascii="Calibri" w:hAnsi="Calibri"/>
                <w:b w:val="0"/>
                <w:sz w:val="18"/>
              </w:rPr>
              <w:t>Session security</w:t>
            </w:r>
          </w:p>
        </w:tc>
        <w:tc>
          <w:tcPr>
            <w:tcW w:type="dxa" w:w="2448"/>
            <w:vAlign w:val="top"/>
          </w:tcPr>
          <w:p>
            <w:pPr>
              <w:spacing w:after="40"/>
            </w:pPr>
            <w:r/>
            <w:r>
              <w:rPr>
                <w:rFonts w:ascii="Calibri" w:hAnsi="Calibri"/>
                <w:b w:val="0"/>
                <w:sz w:val="18"/>
              </w:rPr>
              <w:t>Configured locally</w:t>
            </w:r>
          </w:p>
        </w:tc>
        <w:tc>
          <w:tcPr>
            <w:tcW w:type="dxa" w:w="4896"/>
            <w:vAlign w:val="top"/>
          </w:tcPr>
          <w:p>
            <w:pPr>
              <w:spacing w:after="40"/>
            </w:pPr>
            <w:r/>
            <w:r>
              <w:rPr>
                <w:rFonts w:ascii="Calibri" w:hAnsi="Calibri"/>
                <w:b w:val="0"/>
                <w:sz w:val="18"/>
              </w:rPr>
              <w:t>APP_SESSION_SECRET exists locally; keep it stable and private in Vercel.</w:t>
            </w:r>
          </w:p>
        </w:tc>
      </w:tr>
    </w:tbl>
    <w:p/>
    <w:p>
      <w:pPr>
        <w:pStyle w:val="Heading1"/>
      </w:pPr>
      <w:r>
        <w:rPr>
          <w:rFonts w:ascii="Calibri" w:hAnsi="Calibri"/>
          <w:color w:val="2E74B5"/>
        </w:rPr>
        <w:t>Pending Implementation Backlog</w:t>
      </w:r>
    </w:p>
    <w:p>
      <w:pPr>
        <w:pStyle w:val="ListNumber"/>
        <w:spacing w:after="60"/>
      </w:pPr>
      <w:r>
        <w:t>Decide final governance rule for activity history: immutable brief rule versus requested edit/delete controls.</w:t>
      </w:r>
    </w:p>
    <w:p>
      <w:pPr>
        <w:pStyle w:val="ListNumber"/>
        <w:spacing w:after="60"/>
      </w:pPr>
      <w:r>
        <w:t>Remove or disable direct activity edit/delete if the brief is final; replace with correction activities and admin-visible delete requests.</w:t>
      </w:r>
    </w:p>
    <w:p>
      <w:pPr>
        <w:pStyle w:val="ListNumber"/>
        <w:spacing w:after="60"/>
      </w:pPr>
      <w:r>
        <w:t>Add PMR-to-activity linking so every PMR references the exact meeting or site-visit activity.</w:t>
      </w:r>
    </w:p>
    <w:p>
      <w:pPr>
        <w:pStyle w:val="ListNumber"/>
        <w:spacing w:after="60"/>
      </w:pPr>
      <w:r>
        <w:t>Complete offline-first architecture: cached companies, offline PMR draft/save, queued voice uploads, and conflict-safe sync.</w:t>
      </w:r>
    </w:p>
    <w:p>
      <w:pPr>
        <w:pStyle w:val="ListNumber"/>
        <w:spacing w:after="60"/>
      </w:pPr>
      <w:r>
        <w:t>Add full push notification workflow for overdue actions, follow-ups, Monday morning digest, and scheduled reminders.</w:t>
      </w:r>
    </w:p>
    <w:p>
      <w:pPr>
        <w:pStyle w:val="ListNumber"/>
        <w:spacing w:after="60"/>
      </w:pPr>
      <w:r>
        <w:t>Build Configuration Agent with admin/director permissions, confirmation-before-write, audit logging, and retrospective impact preview.</w:t>
      </w:r>
    </w:p>
    <w:p>
      <w:pPr>
        <w:pStyle w:val="ListNumber"/>
        <w:spacing w:after="60"/>
      </w:pPr>
      <w:r>
        <w:t>Upgrade Relationship Health Score to include activity cadence, trend, quality, stage velocity, PMR heat scores, and overdue reminders.</w:t>
      </w:r>
    </w:p>
    <w:p>
      <w:pPr>
        <w:pStyle w:val="ListNumber"/>
        <w:spacing w:after="60"/>
      </w:pPr>
      <w:r>
        <w:t>Wire live market intelligence provider feeds and match sector/geography/company mentions to visible accounts.</w:t>
      </w:r>
    </w:p>
    <w:p>
      <w:pPr>
        <w:pStyle w:val="ListNumber"/>
        <w:spacing w:after="60"/>
      </w:pPr>
      <w:r>
        <w:t>Replace ERP quotation stub with the real read-only quotation lookup once ERP details are confirmed.</w:t>
      </w:r>
    </w:p>
    <w:p>
      <w:pPr>
        <w:pStyle w:val="ListNumber"/>
        <w:spacing w:after="60"/>
      </w:pPr>
      <w:r>
        <w:t>Add end-to-end browser/mobile checks for iPhone SE, iPhone 15, Samsung Galaxy, iPad, and desktop after the next implementation pass.</w:t>
      </w:r>
    </w:p>
    <w:p>
      <w:pPr>
        <w:pStyle w:val="Heading1"/>
      </w:pPr>
      <w:r>
        <w:rPr>
          <w:rFonts w:ascii="Calibri" w:hAnsi="Calibri"/>
          <w:color w:val="2E74B5"/>
        </w:rPr>
        <w:t>Implementation Order Recommended</w:t>
      </w:r>
    </w:p>
    <w:p>
      <w:r>
        <w:t>Recommended order is based on risk and the attached brief. Governance and data integrity should come before advanced UI polish because later AI and reporting features depend on reliable historical records.</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1F4D78"/>
          </w:tcPr>
          <w:p>
            <w:pPr>
              <w:spacing w:after="40"/>
            </w:pPr>
            <w:r/>
            <w:r>
              <w:rPr>
                <w:rFonts w:ascii="Calibri" w:hAnsi="Calibri"/>
                <w:b/>
                <w:color w:val="FFFFFF"/>
                <w:sz w:val="18"/>
              </w:rPr>
              <w:t>Order</w:t>
            </w:r>
          </w:p>
        </w:tc>
        <w:tc>
          <w:tcPr>
            <w:tcW w:type="dxa" w:w="3456"/>
            <w:shd w:fill="1F4D78"/>
          </w:tcPr>
          <w:p>
            <w:pPr>
              <w:spacing w:after="40"/>
            </w:pPr>
            <w:r/>
            <w:r>
              <w:rPr>
                <w:rFonts w:ascii="Calibri" w:hAnsi="Calibri"/>
                <w:b/>
                <w:color w:val="FFFFFF"/>
                <w:sz w:val="18"/>
              </w:rPr>
              <w:t>Workstream</w:t>
            </w:r>
          </w:p>
        </w:tc>
        <w:tc>
          <w:tcPr>
            <w:tcW w:type="dxa" w:w="5040"/>
            <w:shd w:fill="1F4D78"/>
          </w:tcPr>
          <w:p>
            <w:pPr>
              <w:spacing w:after="40"/>
            </w:pPr>
            <w:r/>
            <w:r>
              <w:rPr>
                <w:rFonts w:ascii="Calibri" w:hAnsi="Calibri"/>
                <w:b/>
                <w:color w:val="FFFFFF"/>
                <w:sz w:val="18"/>
              </w:rPr>
              <w:t>Reason</w:t>
            </w:r>
          </w:p>
        </w:tc>
      </w:tr>
      <w:tr>
        <w:tc>
          <w:tcPr>
            <w:tcW w:type="dxa" w:w="864"/>
            <w:vAlign w:val="top"/>
          </w:tcPr>
          <w:p>
            <w:pPr>
              <w:spacing w:after="40"/>
            </w:pPr>
            <w:r/>
            <w:r>
              <w:rPr>
                <w:rFonts w:ascii="Calibri" w:hAnsi="Calibri"/>
                <w:b w:val="0"/>
                <w:sz w:val="18"/>
              </w:rPr>
              <w:t>1</w:t>
            </w:r>
          </w:p>
        </w:tc>
        <w:tc>
          <w:tcPr>
            <w:tcW w:type="dxa" w:w="3456"/>
            <w:vAlign w:val="top"/>
          </w:tcPr>
          <w:p>
            <w:pPr>
              <w:spacing w:after="40"/>
            </w:pPr>
            <w:r/>
            <w:r>
              <w:rPr>
                <w:rFonts w:ascii="Calibri" w:hAnsi="Calibri"/>
                <w:b w:val="0"/>
                <w:sz w:val="18"/>
              </w:rPr>
              <w:t>Activity immutability decision and correction workflow</w:t>
            </w:r>
          </w:p>
        </w:tc>
        <w:tc>
          <w:tcPr>
            <w:tcW w:type="dxa" w:w="5040"/>
            <w:vAlign w:val="top"/>
          </w:tcPr>
          <w:p>
            <w:pPr>
              <w:spacing w:after="40"/>
            </w:pPr>
            <w:r/>
            <w:r>
              <w:rPr>
                <w:rFonts w:ascii="Calibri" w:hAnsi="Calibri"/>
                <w:b w:val="0"/>
                <w:sz w:val="18"/>
              </w:rPr>
              <w:t>Protects CRM history and avoids future data trust issues.</w:t>
            </w:r>
          </w:p>
        </w:tc>
      </w:tr>
      <w:tr>
        <w:tc>
          <w:tcPr>
            <w:tcW w:type="dxa" w:w="864"/>
            <w:vAlign w:val="top"/>
          </w:tcPr>
          <w:p>
            <w:pPr>
              <w:spacing w:after="40"/>
            </w:pPr>
            <w:r/>
            <w:r>
              <w:rPr>
                <w:rFonts w:ascii="Calibri" w:hAnsi="Calibri"/>
                <w:b w:val="0"/>
                <w:sz w:val="18"/>
              </w:rPr>
              <w:t>2</w:t>
            </w:r>
          </w:p>
        </w:tc>
        <w:tc>
          <w:tcPr>
            <w:tcW w:type="dxa" w:w="3456"/>
            <w:vAlign w:val="top"/>
          </w:tcPr>
          <w:p>
            <w:pPr>
              <w:spacing w:after="40"/>
            </w:pPr>
            <w:r/>
            <w:r>
              <w:rPr>
                <w:rFonts w:ascii="Calibri" w:hAnsi="Calibri"/>
                <w:b w:val="0"/>
                <w:sz w:val="18"/>
              </w:rPr>
              <w:t>PMR activity linkage and structured PMR integrity</w:t>
            </w:r>
          </w:p>
        </w:tc>
        <w:tc>
          <w:tcPr>
            <w:tcW w:type="dxa" w:w="5040"/>
            <w:vAlign w:val="top"/>
          </w:tcPr>
          <w:p>
            <w:pPr>
              <w:spacing w:after="40"/>
            </w:pPr>
            <w:r/>
            <w:r>
              <w:rPr>
                <w:rFonts w:ascii="Calibri" w:hAnsi="Calibri"/>
                <w:b w:val="0"/>
                <w:sz w:val="18"/>
              </w:rPr>
              <w:t>Makes PMR intelligence queryable by company, visit, and salesperson.</w:t>
            </w:r>
          </w:p>
        </w:tc>
      </w:tr>
      <w:tr>
        <w:tc>
          <w:tcPr>
            <w:tcW w:type="dxa" w:w="864"/>
            <w:vAlign w:val="top"/>
          </w:tcPr>
          <w:p>
            <w:pPr>
              <w:spacing w:after="40"/>
            </w:pPr>
            <w:r/>
            <w:r>
              <w:rPr>
                <w:rFonts w:ascii="Calibri" w:hAnsi="Calibri"/>
                <w:b w:val="0"/>
                <w:sz w:val="18"/>
              </w:rPr>
              <w:t>3</w:t>
            </w:r>
          </w:p>
        </w:tc>
        <w:tc>
          <w:tcPr>
            <w:tcW w:type="dxa" w:w="3456"/>
            <w:vAlign w:val="top"/>
          </w:tcPr>
          <w:p>
            <w:pPr>
              <w:spacing w:after="40"/>
            </w:pPr>
            <w:r/>
            <w:r>
              <w:rPr>
                <w:rFonts w:ascii="Calibri" w:hAnsi="Calibri"/>
                <w:b w:val="0"/>
                <w:sz w:val="18"/>
              </w:rPr>
              <w:t>Offline-first company/activity/PMR sync</w:t>
            </w:r>
          </w:p>
        </w:tc>
        <w:tc>
          <w:tcPr>
            <w:tcW w:type="dxa" w:w="5040"/>
            <w:vAlign w:val="top"/>
          </w:tcPr>
          <w:p>
            <w:pPr>
              <w:spacing w:after="40"/>
            </w:pPr>
            <w:r/>
            <w:r>
              <w:rPr>
                <w:rFonts w:ascii="Calibri" w:hAnsi="Calibri"/>
                <w:b w:val="0"/>
                <w:sz w:val="18"/>
              </w:rPr>
              <w:t>Critical for salespeople working in poor connectivity zones.</w:t>
            </w:r>
          </w:p>
        </w:tc>
      </w:tr>
      <w:tr>
        <w:tc>
          <w:tcPr>
            <w:tcW w:type="dxa" w:w="864"/>
            <w:vAlign w:val="top"/>
          </w:tcPr>
          <w:p>
            <w:pPr>
              <w:spacing w:after="40"/>
            </w:pPr>
            <w:r/>
            <w:r>
              <w:rPr>
                <w:rFonts w:ascii="Calibri" w:hAnsi="Calibri"/>
                <w:b w:val="0"/>
                <w:sz w:val="18"/>
              </w:rPr>
              <w:t>4</w:t>
            </w:r>
          </w:p>
        </w:tc>
        <w:tc>
          <w:tcPr>
            <w:tcW w:type="dxa" w:w="3456"/>
            <w:vAlign w:val="top"/>
          </w:tcPr>
          <w:p>
            <w:pPr>
              <w:spacing w:after="40"/>
            </w:pPr>
            <w:r/>
            <w:r>
              <w:rPr>
                <w:rFonts w:ascii="Calibri" w:hAnsi="Calibri"/>
                <w:b w:val="0"/>
                <w:sz w:val="18"/>
              </w:rPr>
              <w:t>Relationship health scoring upgrade</w:t>
            </w:r>
          </w:p>
        </w:tc>
        <w:tc>
          <w:tcPr>
            <w:tcW w:type="dxa" w:w="5040"/>
            <w:vAlign w:val="top"/>
          </w:tcPr>
          <w:p>
            <w:pPr>
              <w:spacing w:after="40"/>
            </w:pPr>
            <w:r/>
            <w:r>
              <w:rPr>
                <w:rFonts w:ascii="Calibri" w:hAnsi="Calibri"/>
                <w:b w:val="0"/>
                <w:sz w:val="18"/>
              </w:rPr>
              <w:t>Improves dashboards, coaching prompts, and one-click AI relevance.</w:t>
            </w:r>
          </w:p>
        </w:tc>
      </w:tr>
      <w:tr>
        <w:tc>
          <w:tcPr>
            <w:tcW w:type="dxa" w:w="864"/>
            <w:vAlign w:val="top"/>
          </w:tcPr>
          <w:p>
            <w:pPr>
              <w:spacing w:after="40"/>
            </w:pPr>
            <w:r/>
            <w:r>
              <w:rPr>
                <w:rFonts w:ascii="Calibri" w:hAnsi="Calibri"/>
                <w:b w:val="0"/>
                <w:sz w:val="18"/>
              </w:rPr>
              <w:t>5</w:t>
            </w:r>
          </w:p>
        </w:tc>
        <w:tc>
          <w:tcPr>
            <w:tcW w:type="dxa" w:w="3456"/>
            <w:vAlign w:val="top"/>
          </w:tcPr>
          <w:p>
            <w:pPr>
              <w:spacing w:after="40"/>
            </w:pPr>
            <w:r/>
            <w:r>
              <w:rPr>
                <w:rFonts w:ascii="Calibri" w:hAnsi="Calibri"/>
                <w:b w:val="0"/>
                <w:sz w:val="18"/>
              </w:rPr>
              <w:t>Configuration Agent and audit log</w:t>
            </w:r>
          </w:p>
        </w:tc>
        <w:tc>
          <w:tcPr>
            <w:tcW w:type="dxa" w:w="5040"/>
            <w:vAlign w:val="top"/>
          </w:tcPr>
          <w:p>
            <w:pPr>
              <w:spacing w:after="40"/>
            </w:pPr>
            <w:r/>
            <w:r>
              <w:rPr>
                <w:rFonts w:ascii="Calibri" w:hAnsi="Calibri"/>
                <w:b w:val="0"/>
                <w:sz w:val="18"/>
              </w:rPr>
              <w:t>Allows operational rules to evolve safely without code changes.</w:t>
            </w:r>
          </w:p>
        </w:tc>
      </w:tr>
      <w:tr>
        <w:tc>
          <w:tcPr>
            <w:tcW w:type="dxa" w:w="864"/>
            <w:vAlign w:val="top"/>
          </w:tcPr>
          <w:p>
            <w:pPr>
              <w:spacing w:after="40"/>
            </w:pPr>
            <w:r/>
            <w:r>
              <w:rPr>
                <w:rFonts w:ascii="Calibri" w:hAnsi="Calibri"/>
                <w:b w:val="0"/>
                <w:sz w:val="18"/>
              </w:rPr>
              <w:t>6</w:t>
            </w:r>
          </w:p>
        </w:tc>
        <w:tc>
          <w:tcPr>
            <w:tcW w:type="dxa" w:w="3456"/>
            <w:vAlign w:val="top"/>
          </w:tcPr>
          <w:p>
            <w:pPr>
              <w:spacing w:after="40"/>
            </w:pPr>
            <w:r/>
            <w:r>
              <w:rPr>
                <w:rFonts w:ascii="Calibri" w:hAnsi="Calibri"/>
                <w:b w:val="0"/>
                <w:sz w:val="18"/>
              </w:rPr>
              <w:t>Push notifications, market intelligence, and ERP</w:t>
            </w:r>
          </w:p>
        </w:tc>
        <w:tc>
          <w:tcPr>
            <w:tcW w:type="dxa" w:w="5040"/>
            <w:vAlign w:val="top"/>
          </w:tcPr>
          <w:p>
            <w:pPr>
              <w:spacing w:after="40"/>
            </w:pPr>
            <w:r/>
            <w:r>
              <w:rPr>
                <w:rFonts w:ascii="Calibri" w:hAnsi="Calibri"/>
                <w:b w:val="0"/>
                <w:sz w:val="18"/>
              </w:rPr>
              <w:t>Requires external provider credentials and final business decisions.</w:t>
            </w:r>
          </w:p>
        </w:tc>
      </w:tr>
    </w:tbl>
    <w:p/>
    <w:p>
      <w:pPr>
        <w:pStyle w:val="Heading1"/>
      </w:pPr>
      <w:r>
        <w:rPr>
          <w:rFonts w:ascii="Calibri" w:hAnsi="Calibri"/>
          <w:color w:val="2E74B5"/>
        </w:rPr>
        <w:t>Notes for Management Decision</w:t>
      </w:r>
    </w:p>
    <w:p>
      <w:pPr>
        <w:pStyle w:val="ListBullet"/>
        <w:spacing w:after="60"/>
      </w:pPr>
      <w:r>
        <w:t>Confirm whether the activity log must be immutable. This is a direct conflict between the attached brief and later requested edit/delete features.</w:t>
      </w:r>
    </w:p>
    <w:p>
      <w:pPr>
        <w:pStyle w:val="ListBullet"/>
        <w:spacing w:after="60"/>
      </w:pPr>
      <w:r>
        <w:t>Confirm territory structure and ownership rules for all six salespeople across GCC markets.</w:t>
      </w:r>
    </w:p>
    <w:p>
      <w:pPr>
        <w:pStyle w:val="ListBullet"/>
        <w:spacing w:after="60"/>
      </w:pPr>
      <w:r>
        <w:t>Confirm ERP system, quotation reference format, and read-only API access details.</w:t>
      </w:r>
    </w:p>
    <w:p>
      <w:pPr>
        <w:pStyle w:val="ListBullet"/>
        <w:spacing w:after="60"/>
      </w:pPr>
      <w:r>
        <w:t>Confirm where raw PMR documents should live: Google Drive folder structure, Supabase Storage, or both.</w:t>
      </w:r>
    </w:p>
    <w:p>
      <w:pPr>
        <w:pStyle w:val="ListBullet"/>
        <w:spacing w:after="60"/>
      </w:pPr>
      <w:r>
        <w:t>Confirm whether push notifications should use Firebase Cloud Messaging or a non-Firebase provider.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Al Ras Steel Leads Tracker CRM - Adversarial Review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Ras Steel Leads Tracker CRM - Adversarial Review Summary</dc:title>
  <dc:subject>Adversarial review, improvements, and pending implementation items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