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F0B0" w14:textId="77777777" w:rsidR="00846858" w:rsidRPr="00A63F2F" w:rsidRDefault="00846858" w:rsidP="00846858">
      <w:pPr>
        <w:spacing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Technical Documentation: Multi-Tenant SaaS Infrastructure</w:t>
      </w:r>
    </w:p>
    <w:p w14:paraId="4360FEE1" w14:textId="77777777" w:rsidR="00846858" w:rsidRPr="00A63F2F" w:rsidRDefault="00846858" w:rsidP="00846858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Architecture Pattern: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Multi-Database Isolation (Isolated Schema)</w:t>
      </w:r>
    </w:p>
    <w:p w14:paraId="6702344D" w14:textId="77777777" w:rsidR="00846858" w:rsidRPr="00A63F2F" w:rsidRDefault="00534AE1" w:rsidP="0084685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34AE1">
        <w:rPr>
          <w:rFonts w:ascii="Calibri" w:eastAsia="Times New Roman" w:hAnsi="Calibri" w:cs="Calibri"/>
          <w:noProof/>
          <w:kern w:val="0"/>
        </w:rPr>
        <w:pict w14:anchorId="3A5631F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9D59F1" w14:textId="77777777" w:rsidR="00846858" w:rsidRPr="00A63F2F" w:rsidRDefault="00846858" w:rsidP="0084685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1. High-Level Architecture</w:t>
      </w:r>
    </w:p>
    <w:p w14:paraId="619068F0" w14:textId="77777777" w:rsidR="00846858" w:rsidRPr="00A63F2F" w:rsidRDefault="00846858" w:rsidP="00846858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 xml:space="preserve">This platform utilizes a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Database-per-Tenant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approach. Each client (tenant) is provisioned with a physically separate database. This strategy ensures maximum data privacy, simplifies individual backups, and allows for custom schema scaling per client.</w:t>
      </w:r>
    </w:p>
    <w:p w14:paraId="7C1698B9" w14:textId="77777777" w:rsidR="00846858" w:rsidRPr="00A63F2F" w:rsidRDefault="00846858" w:rsidP="0084685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Core Infrastructure Components:</w:t>
      </w:r>
    </w:p>
    <w:p w14:paraId="09EDF3BC" w14:textId="77777777" w:rsidR="00846858" w:rsidRPr="00A63F2F" w:rsidRDefault="00846858" w:rsidP="00846858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Central/Landlord Store: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The primary database responsible for managing the tenant lifecycle, domain mappings, and global system configurations.</w:t>
      </w:r>
    </w:p>
    <w:p w14:paraId="08AC36D0" w14:textId="77777777" w:rsidR="00846858" w:rsidRPr="00A63F2F" w:rsidRDefault="00846858" w:rsidP="00846858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Tenant Instances: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Dynamic databases generated automatically for every new organization.</w:t>
      </w:r>
    </w:p>
    <w:p w14:paraId="51BF6FED" w14:textId="77777777" w:rsidR="00846858" w:rsidRPr="00A63F2F" w:rsidRDefault="00846858" w:rsidP="00846858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Context Resolver: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Middleware that detects tenant identity based on the incoming request's </w:t>
      </w:r>
      <w:r w:rsidRPr="00A63F2F">
        <w:rPr>
          <w:rFonts w:ascii="Calibri" w:eastAsia="Times New Roman" w:hAnsi="Calibri" w:cs="Calibri"/>
          <w:i/>
          <w:iCs/>
          <w:kern w:val="0"/>
          <w14:ligatures w14:val="none"/>
        </w:rPr>
        <w:t>hostname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(Subdomain).</w:t>
      </w:r>
    </w:p>
    <w:p w14:paraId="3835B0F0" w14:textId="77777777" w:rsidR="00846858" w:rsidRPr="00A63F2F" w:rsidRDefault="00534AE1" w:rsidP="0084685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34AE1">
        <w:rPr>
          <w:rFonts w:ascii="Calibri" w:eastAsia="Times New Roman" w:hAnsi="Calibri" w:cs="Calibri"/>
          <w:noProof/>
          <w:kern w:val="0"/>
        </w:rPr>
        <w:pict w14:anchorId="230F6D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D1B8DB" w14:textId="77777777" w:rsidR="00846858" w:rsidRPr="00A63F2F" w:rsidRDefault="00846858" w:rsidP="0084685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2.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830"/>
        <w:gridCol w:w="6428"/>
      </w:tblGrid>
      <w:tr w:rsidR="00846858" w:rsidRPr="00A63F2F" w14:paraId="76676D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DA950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5305C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D3282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46858" w:rsidRPr="00A63F2F" w14:paraId="3ACBD9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09FE2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29876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Laravel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FCE57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Robust PHP Framework for enterprise logic.</w:t>
            </w:r>
          </w:p>
        </w:tc>
      </w:tr>
      <w:tr w:rsidR="00846858" w:rsidRPr="00A63F2F" w14:paraId="6F7D0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5A409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2B5CC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Vue 3 &amp; Inertia.js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54CB7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Reactive UI providing a Single Page Application (SPA) experience.</w:t>
            </w:r>
          </w:p>
        </w:tc>
      </w:tr>
      <w:tr w:rsidR="00846858" w:rsidRPr="00A63F2F" w14:paraId="3272A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3802E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93437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MySQL / MariaDB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4CABE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Relational Database Management System.</w:t>
            </w:r>
          </w:p>
        </w:tc>
      </w:tr>
      <w:tr w:rsidR="00846858" w:rsidRPr="00A63F2F" w14:paraId="352A0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D6BD5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Tenancy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ECE1B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Stancl/Tenancy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5A1BA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The engine responsible for dynamic DB switching &amp; migrations.</w:t>
            </w:r>
          </w:p>
        </w:tc>
      </w:tr>
      <w:tr w:rsidR="00846858" w:rsidRPr="00A63F2F" w14:paraId="4E262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D520B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UI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12FAF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Glassmorphism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F358D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Modern, premium interface with translucent aesthetic.</w:t>
            </w:r>
          </w:p>
        </w:tc>
      </w:tr>
    </w:tbl>
    <w:p w14:paraId="28DE65E3" w14:textId="77777777" w:rsidR="00846858" w:rsidRPr="00A63F2F" w:rsidRDefault="00534AE1" w:rsidP="0084685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34AE1">
        <w:rPr>
          <w:rFonts w:ascii="Calibri" w:eastAsia="Times New Roman" w:hAnsi="Calibri" w:cs="Calibri"/>
          <w:noProof/>
          <w:kern w:val="0"/>
        </w:rPr>
        <w:pict w14:anchorId="7E7708C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A11C42" w14:textId="77777777" w:rsidR="00846858" w:rsidRPr="00A63F2F" w:rsidRDefault="00846858" w:rsidP="0084685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</w:p>
    <w:p w14:paraId="75D15E3E" w14:textId="3FA9E9C4" w:rsidR="00846858" w:rsidRPr="00A63F2F" w:rsidRDefault="00846858" w:rsidP="0084685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3. </w:t>
      </w:r>
      <w:r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PERFORMANCE: TENANT-AWARE CACHING</w:t>
      </w:r>
    </w:p>
    <w:p w14:paraId="30229AF1" w14:textId="77777777" w:rsidR="00A63F2F" w:rsidRPr="00A63F2F" w:rsidRDefault="00A63F2F" w:rsidP="00A63F2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 xml:space="preserve">To achieve sub-millisecond latency and minimize SQL overhead, the system utilizes a centralized Redis server managed via the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Predis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client.</w:t>
      </w:r>
    </w:p>
    <w:p w14:paraId="3A9ECEDE" w14:textId="44C3E1F5" w:rsidR="00A63F2F" w:rsidRPr="00A63F2F" w:rsidRDefault="00A63F2F" w:rsidP="00A63F2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lastRenderedPageBreak/>
        <w:t>3</w:t>
      </w: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.1 Redis Infrastructure</w:t>
      </w:r>
    </w:p>
    <w:p w14:paraId="7972E0C7" w14:textId="77777777" w:rsidR="00A63F2F" w:rsidRPr="00A63F2F" w:rsidRDefault="00A63F2F" w:rsidP="00A63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Driver: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Redis (v7.x recommended) via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Predis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library.</w:t>
      </w:r>
    </w:p>
    <w:p w14:paraId="47263318" w14:textId="77777777" w:rsidR="00A63F2F" w:rsidRPr="00A63F2F" w:rsidRDefault="00A63F2F" w:rsidP="00A63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Tenant Separation: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Cache isolation is maintained through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Dynamic Key Prefixing</w:t>
      </w:r>
      <w:r w:rsidRPr="00A63F2F">
        <w:rPr>
          <w:rFonts w:ascii="Calibri" w:eastAsia="Times New Roman" w:hAnsi="Calibri" w:cs="Calibri"/>
          <w:kern w:val="0"/>
          <w14:ligatures w14:val="none"/>
        </w:rPr>
        <w:t>.</w:t>
      </w:r>
    </w:p>
    <w:p w14:paraId="1F8302DA" w14:textId="77777777" w:rsidR="00A63F2F" w:rsidRPr="00A63F2F" w:rsidRDefault="00A63F2F" w:rsidP="00A63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Logic: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Upon tenant initialization, the application dynamically updates the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cache.prefix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configuration.</w:t>
      </w:r>
    </w:p>
    <w:p w14:paraId="00112497" w14:textId="77777777" w:rsidR="00A63F2F" w:rsidRPr="00A63F2F" w:rsidRDefault="00A63F2F" w:rsidP="00A63F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i/>
          <w:iCs/>
          <w:kern w:val="0"/>
          <w14:ligatures w14:val="none"/>
        </w:rPr>
        <w:t>Prefix Format: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tenant_{tenant_id}:</w:t>
      </w:r>
    </w:p>
    <w:p w14:paraId="2CB55B98" w14:textId="77777777" w:rsidR="00A63F2F" w:rsidRPr="00A63F2F" w:rsidRDefault="00A63F2F" w:rsidP="00A63F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i/>
          <w:iCs/>
          <w:kern w:val="0"/>
          <w14:ligatures w14:val="none"/>
        </w:rPr>
        <w:t>Result: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This ensures Tenant A cannot access or overwrite the cached data of Tenant B in the shared Redis memory.</w:t>
      </w:r>
    </w:p>
    <w:p w14:paraId="4487AC8A" w14:textId="50D91041" w:rsidR="00A63F2F" w:rsidRPr="00A63F2F" w:rsidRDefault="00A63F2F" w:rsidP="00A63F2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3</w:t>
      </w: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.2 Intelligent Data Caching</w:t>
      </w:r>
    </w:p>
    <w:p w14:paraId="23F2F4D7" w14:textId="77777777" w:rsidR="00A63F2F" w:rsidRPr="00A63F2F" w:rsidRDefault="00A63F2F" w:rsidP="00A63F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Query Caching: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Frequently accessed resources (Products, Settings) are stored in RAM.</w:t>
      </w:r>
    </w:p>
    <w:p w14:paraId="3AA79341" w14:textId="77777777" w:rsidR="00A63F2F" w:rsidRPr="00A63F2F" w:rsidRDefault="00A63F2F" w:rsidP="00A63F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Rate Limiting: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Redis handles per-tenant request throttling to prevent API abuse and ensure system stability.</w:t>
      </w:r>
    </w:p>
    <w:p w14:paraId="7D7E1751" w14:textId="77777777" w:rsidR="00846858" w:rsidRPr="00A63F2F" w:rsidRDefault="00534AE1" w:rsidP="0084685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34AE1">
        <w:rPr>
          <w:rFonts w:ascii="Calibri" w:eastAsia="Times New Roman" w:hAnsi="Calibri" w:cs="Calibri"/>
          <w:noProof/>
          <w:kern w:val="0"/>
        </w:rPr>
        <w:pict w14:anchorId="60D78C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5168BF" w14:textId="776245AA" w:rsidR="00846858" w:rsidRPr="00A63F2F" w:rsidRDefault="00A63F2F" w:rsidP="0084685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4</w:t>
      </w:r>
      <w:r w:rsidR="00846858"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. SECURITY HARDENING &amp; DATA PROTECTION</w:t>
      </w:r>
    </w:p>
    <w:p w14:paraId="732C5DFF" w14:textId="77777777" w:rsidR="00846858" w:rsidRPr="00A63F2F" w:rsidRDefault="00846858" w:rsidP="0084685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>Security is implemented as a "Defense in Depth" strategy across all tenant databases.</w:t>
      </w:r>
    </w:p>
    <w:p w14:paraId="081EEE16" w14:textId="77777777" w:rsidR="00846858" w:rsidRPr="00A63F2F" w:rsidRDefault="00846858" w:rsidP="0084685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4.1 Protection Against SQL Injection</w:t>
      </w:r>
    </w:p>
    <w:p w14:paraId="25A06B6E" w14:textId="77777777" w:rsidR="00846858" w:rsidRPr="00A63F2F" w:rsidRDefault="00846858" w:rsidP="0084685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 xml:space="preserve">The system utilizes the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Laravel Eloquent ORM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and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Query Builder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, which natively use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PDO Parameter Binding</w:t>
      </w:r>
      <w:r w:rsidRPr="00A63F2F">
        <w:rPr>
          <w:rFonts w:ascii="Calibri" w:eastAsia="Times New Roman" w:hAnsi="Calibri" w:cs="Calibri"/>
          <w:kern w:val="0"/>
          <w14:ligatures w14:val="none"/>
        </w:rPr>
        <w:t>. This ensures that raw input is never directly concatenated into SQL queries.</w:t>
      </w:r>
    </w:p>
    <w:p w14:paraId="16461F99" w14:textId="77777777" w:rsidR="00846858" w:rsidRPr="00A63F2F" w:rsidRDefault="00846858" w:rsidP="0084685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4.2 Advanced Input Validation</w:t>
      </w:r>
    </w:p>
    <w:p w14:paraId="1B36F2BF" w14:textId="77777777" w:rsidR="00846858" w:rsidRPr="00A63F2F" w:rsidRDefault="00846858" w:rsidP="0084685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>Strict validation rules are applied at the Request layer before data reaches the controller.</w:t>
      </w:r>
    </w:p>
    <w:p w14:paraId="260B4BC6" w14:textId="77777777" w:rsidR="00846858" w:rsidRPr="00A63F2F" w:rsidRDefault="00846858" w:rsidP="00846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Type Hinting: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Ensuring numeric inputs for prices and stock.</w:t>
      </w:r>
    </w:p>
    <w:p w14:paraId="1A66C239" w14:textId="77777777" w:rsidR="00846858" w:rsidRPr="00A63F2F" w:rsidRDefault="00846858" w:rsidP="00846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Sanitization: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Stripping malicious HTML/scripts to prevent XSS (Cross-Site Scripting).</w:t>
      </w:r>
    </w:p>
    <w:p w14:paraId="7335CFA2" w14:textId="77777777" w:rsidR="00846858" w:rsidRPr="00A63F2F" w:rsidRDefault="00846858" w:rsidP="0084685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4.3 At-Rest Data Encryption</w:t>
      </w:r>
    </w:p>
    <w:p w14:paraId="726B6C44" w14:textId="77777777" w:rsidR="00846858" w:rsidRPr="00A63F2F" w:rsidRDefault="00846858" w:rsidP="0084685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 xml:space="preserve">Sensitive tenant information (such as API keys or private contact details) is encrypted using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AES-256-GCM</w:t>
      </w:r>
      <w:r w:rsidRPr="00A63F2F">
        <w:rPr>
          <w:rFonts w:ascii="Calibri" w:eastAsia="Times New Roman" w:hAnsi="Calibri" w:cs="Calibri"/>
          <w:kern w:val="0"/>
          <w14:ligatures w14:val="none"/>
        </w:rPr>
        <w:t>.</w:t>
      </w:r>
    </w:p>
    <w:p w14:paraId="1E2554A2" w14:textId="77777777" w:rsidR="00846858" w:rsidRPr="00A63F2F" w:rsidRDefault="00846858" w:rsidP="00846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Mechanism: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Encrypted using the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Crypt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facade with the system's unique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APP_KEY</w:t>
      </w:r>
      <w:r w:rsidRPr="00A63F2F">
        <w:rPr>
          <w:rFonts w:ascii="Calibri" w:eastAsia="Times New Roman" w:hAnsi="Calibri" w:cs="Calibri"/>
          <w:kern w:val="0"/>
          <w14:ligatures w14:val="none"/>
        </w:rPr>
        <w:t>.</w:t>
      </w:r>
    </w:p>
    <w:p w14:paraId="192C7BEF" w14:textId="77777777" w:rsidR="00846858" w:rsidRPr="00A63F2F" w:rsidRDefault="00846858" w:rsidP="00846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Isolation: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While the logic is central, the encrypted blobs are stored within the isolated tenant databases.</w:t>
      </w:r>
    </w:p>
    <w:p w14:paraId="071290E8" w14:textId="77777777" w:rsidR="00846858" w:rsidRPr="00A63F2F" w:rsidRDefault="00846858" w:rsidP="0084685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</w:p>
    <w:p w14:paraId="131416C9" w14:textId="77777777" w:rsidR="00846858" w:rsidRPr="00A63F2F" w:rsidRDefault="00846858" w:rsidP="0084685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</w:p>
    <w:p w14:paraId="76F77E84" w14:textId="7066461E" w:rsidR="00846858" w:rsidRPr="00A63F2F" w:rsidRDefault="00A63F2F" w:rsidP="0084685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5</w:t>
      </w:r>
      <w:r w:rsidR="00846858"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. Data &amp; Resource Isolation</w:t>
      </w:r>
    </w:p>
    <w:p w14:paraId="0FBD91FB" w14:textId="77777777" w:rsidR="00846858" w:rsidRPr="00A63F2F" w:rsidRDefault="00846858" w:rsidP="0084685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A. Database Isolation</w:t>
      </w:r>
    </w:p>
    <w:p w14:paraId="7695FF9B" w14:textId="77777777" w:rsidR="00846858" w:rsidRPr="00A63F2F" w:rsidRDefault="00846858" w:rsidP="00846858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 xml:space="preserve">Upon receiving an HTTP request, the system identifies the subdomain. If valid, the system terminates the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central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database connection and hot-swaps it with the specific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tenant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database connection.</w:t>
      </w:r>
    </w:p>
    <w:p w14:paraId="737BCAB3" w14:textId="77777777" w:rsidR="00846858" w:rsidRPr="00A63F2F" w:rsidRDefault="00846858" w:rsidP="0084685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B. Storage &amp; Asset Isolation</w:t>
      </w:r>
    </w:p>
    <w:p w14:paraId="6F1C3CB8" w14:textId="77777777" w:rsidR="00846858" w:rsidRPr="00A63F2F" w:rsidRDefault="00846858" w:rsidP="00846858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>To prevent cross-tenant asset access, each tenant is assigned a dedicated root directory within the storage path:</w:t>
      </w:r>
    </w:p>
    <w:p w14:paraId="29525D40" w14:textId="77777777" w:rsidR="00846858" w:rsidRPr="00A63F2F" w:rsidRDefault="00846858" w:rsidP="0084685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Directory Path: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storage/app/public/tenant_[id]/</w:t>
      </w:r>
    </w:p>
    <w:p w14:paraId="57D02435" w14:textId="77777777" w:rsidR="00846858" w:rsidRPr="00A63F2F" w:rsidRDefault="00846858" w:rsidP="0084685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Asset URL: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http://[subdomain].localhost/storage/[id]/...</w:t>
      </w:r>
    </w:p>
    <w:p w14:paraId="6709FBCA" w14:textId="77777777" w:rsidR="00846858" w:rsidRPr="00A63F2F" w:rsidRDefault="00534AE1" w:rsidP="0084685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34AE1">
        <w:rPr>
          <w:rFonts w:ascii="Calibri" w:eastAsia="Times New Roman" w:hAnsi="Calibri" w:cs="Calibri"/>
          <w:noProof/>
          <w:kern w:val="0"/>
        </w:rPr>
        <w:pict w14:anchorId="297E78B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0D5BDD" w14:textId="025E115C" w:rsidR="00846858" w:rsidRPr="00A63F2F" w:rsidRDefault="00A63F2F" w:rsidP="0084685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6</w:t>
      </w:r>
      <w:r w:rsidR="00846858"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. Key Logic &amp; Workflows</w:t>
      </w:r>
    </w:p>
    <w:p w14:paraId="6C89DAD7" w14:textId="77777777" w:rsidR="00846858" w:rsidRPr="00A63F2F" w:rsidRDefault="00846858" w:rsidP="0084685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 Tenant Provisioning (Deployment)</w:t>
      </w:r>
    </w:p>
    <w:p w14:paraId="7F9D54BA" w14:textId="77777777" w:rsidR="00846858" w:rsidRPr="00A63F2F" w:rsidRDefault="00846858" w:rsidP="00846858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>Admin enters the organization name and desired subdomain in the Central Dashboard.</w:t>
      </w:r>
    </w:p>
    <w:p w14:paraId="51C84FB1" w14:textId="77777777" w:rsidR="00846858" w:rsidRPr="00A63F2F" w:rsidRDefault="00846858" w:rsidP="00846858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 xml:space="preserve">The system validates subdomain availability against the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tenants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table.</w:t>
      </w:r>
    </w:p>
    <w:p w14:paraId="0CA61757" w14:textId="77777777" w:rsidR="00846858" w:rsidRPr="00A63F2F" w:rsidRDefault="00846858" w:rsidP="00846858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Database Creation: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An automated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CREATE DATABASE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command is executed.</w:t>
      </w:r>
    </w:p>
    <w:p w14:paraId="5ADA1682" w14:textId="77777777" w:rsidR="00846858" w:rsidRPr="00A63F2F" w:rsidRDefault="00846858" w:rsidP="00846858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Auto-Migration: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The entire tenant schema (products, orders, users) is migrated to the new database.</w:t>
      </w:r>
    </w:p>
    <w:p w14:paraId="7B9E5203" w14:textId="77777777" w:rsidR="00846858" w:rsidRPr="00A63F2F" w:rsidRDefault="00846858" w:rsidP="00846858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Domain Binding: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The subdomain is linked to the Tenant ID for future request resolution.</w:t>
      </w:r>
    </w:p>
    <w:p w14:paraId="03BD46AA" w14:textId="77777777" w:rsidR="00846858" w:rsidRPr="00A63F2F" w:rsidRDefault="00846858" w:rsidP="0084685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63F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🛡️</w:t>
      </w:r>
      <w:r w:rsidRPr="00A63F2F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 Cross-Tenant Security</w:t>
      </w:r>
    </w:p>
    <w:p w14:paraId="0F4C87C1" w14:textId="77777777" w:rsidR="00846858" w:rsidRPr="00A63F2F" w:rsidRDefault="00846858" w:rsidP="00846858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t xml:space="preserve">Authentication is strictly scoped to the tenant's database. A user registered in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Store A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does not exist in the database of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Store B</w:t>
      </w:r>
      <w:r w:rsidRPr="00A63F2F">
        <w:rPr>
          <w:rFonts w:ascii="Calibri" w:eastAsia="Times New Roman" w:hAnsi="Calibri" w:cs="Calibri"/>
          <w:kern w:val="0"/>
          <w14:ligatures w14:val="none"/>
        </w:rPr>
        <w:t>, eliminating any possibility of session hijacking or unauthorized cross-tenant access.</w:t>
      </w:r>
    </w:p>
    <w:p w14:paraId="0600C019" w14:textId="77777777" w:rsidR="00846858" w:rsidRPr="00A63F2F" w:rsidRDefault="00534AE1" w:rsidP="0084685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34AE1">
        <w:rPr>
          <w:rFonts w:ascii="Calibri" w:eastAsia="Times New Roman" w:hAnsi="Calibri" w:cs="Calibri"/>
          <w:noProof/>
          <w:kern w:val="0"/>
        </w:rPr>
        <w:pict w14:anchorId="2E2906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D62F69" w14:textId="5D4BA8FF" w:rsidR="00846858" w:rsidRPr="00A63F2F" w:rsidRDefault="00A63F2F" w:rsidP="0084685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7</w:t>
      </w:r>
      <w:r w:rsidR="00846858"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. Quality Assurance &amp; Testing</w:t>
      </w:r>
    </w:p>
    <w:p w14:paraId="64E5AF0D" w14:textId="77777777" w:rsidR="00846858" w:rsidRPr="00A63F2F" w:rsidRDefault="00846858" w:rsidP="00846858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kern w:val="0"/>
          <w14:ligatures w14:val="none"/>
        </w:rPr>
        <w:lastRenderedPageBreak/>
        <w:t xml:space="preserve">The infrastructure is guarded by an automated </w:t>
      </w: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Feature Test Suite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covering:</w:t>
      </w:r>
    </w:p>
    <w:p w14:paraId="5A7972BE" w14:textId="77777777" w:rsidR="00846858" w:rsidRPr="00A63F2F" w:rsidRDefault="00846858" w:rsidP="00846858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Data Integrity: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Validating mandatory fields like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store_name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during provisioning.</w:t>
      </w:r>
    </w:p>
    <w:p w14:paraId="0033C7E2" w14:textId="77777777" w:rsidR="00846858" w:rsidRPr="00A63F2F" w:rsidRDefault="00846858" w:rsidP="00846858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Database Isolation: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Ensuring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Product::all()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only retrieves records for the active tenant.</w:t>
      </w:r>
    </w:p>
    <w:p w14:paraId="5D87C8F2" w14:textId="77777777" w:rsidR="00846858" w:rsidRPr="00A63F2F" w:rsidRDefault="00846858" w:rsidP="00846858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Teardown Protocol: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Utilizing a custom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tearDown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method to drop physical databases after test cycles to maintain environment cleanliness.</w:t>
      </w:r>
    </w:p>
    <w:p w14:paraId="3D34CD53" w14:textId="77777777" w:rsidR="00846858" w:rsidRPr="00A63F2F" w:rsidRDefault="00534AE1" w:rsidP="0084685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34AE1">
        <w:rPr>
          <w:rFonts w:ascii="Calibri" w:eastAsia="Times New Roman" w:hAnsi="Calibri" w:cs="Calibri"/>
          <w:noProof/>
          <w:kern w:val="0"/>
        </w:rPr>
        <w:pict w14:anchorId="40F8B45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B5B01C" w14:textId="0937DB6C" w:rsidR="00846858" w:rsidRPr="00A63F2F" w:rsidRDefault="00A63F2F" w:rsidP="0084685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8</w:t>
      </w:r>
      <w:r w:rsidR="00846858" w:rsidRPr="00A63F2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. Maintenance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5485"/>
      </w:tblGrid>
      <w:tr w:rsidR="00846858" w:rsidRPr="00A63F2F" w14:paraId="1B4B87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1FC89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1EFDB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Utility</w:t>
            </w:r>
          </w:p>
        </w:tc>
      </w:tr>
      <w:tr w:rsidR="00846858" w:rsidRPr="00A63F2F" w14:paraId="5E8A4C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8B114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php artisan tenants:migrate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E25BA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Runs migrations across all existing tenant databases.</w:t>
            </w:r>
          </w:p>
        </w:tc>
      </w:tr>
      <w:tr w:rsidR="00846858" w:rsidRPr="00A63F2F" w14:paraId="3AF87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755B1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php artisan tenants:list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F60FD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Displays active tenants and their database connection status.</w:t>
            </w:r>
          </w:p>
        </w:tc>
      </w:tr>
      <w:tr w:rsidR="00846858" w:rsidRPr="00A63F2F" w14:paraId="01338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811AB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php artisan test --filter=TenantDataIsolationTest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AC77B" w14:textId="77777777" w:rsidR="00846858" w:rsidRPr="00A63F2F" w:rsidRDefault="00846858" w:rsidP="00846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63F2F">
              <w:rPr>
                <w:rFonts w:ascii="Calibri" w:eastAsia="Times New Roman" w:hAnsi="Calibri" w:cs="Calibri"/>
                <w:kern w:val="0"/>
                <w14:ligatures w14:val="none"/>
              </w:rPr>
              <w:t>Executes the cross-tenant security and isolation validation.</w:t>
            </w:r>
          </w:p>
        </w:tc>
      </w:tr>
    </w:tbl>
    <w:p w14:paraId="307EC692" w14:textId="77777777" w:rsidR="00846858" w:rsidRPr="00A63F2F" w:rsidRDefault="00534AE1" w:rsidP="0084685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34AE1">
        <w:rPr>
          <w:rFonts w:ascii="Calibri" w:eastAsia="Times New Roman" w:hAnsi="Calibri" w:cs="Calibri"/>
          <w:noProof/>
          <w:kern w:val="0"/>
        </w:rPr>
        <w:pict w14:anchorId="6A601D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94A669" w14:textId="77777777" w:rsidR="00846858" w:rsidRPr="00A63F2F" w:rsidRDefault="00846858" w:rsidP="00846858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63F2F">
        <w:rPr>
          <w:rFonts w:ascii="Calibri" w:eastAsia="Times New Roman" w:hAnsi="Calibri" w:cs="Calibri"/>
          <w:b/>
          <w:bCs/>
          <w:kern w:val="0"/>
          <w14:ligatures w14:val="none"/>
        </w:rPr>
        <w:t>Developer Note: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&gt; Always use </w:t>
      </w:r>
      <w:r w:rsidRPr="00A63F2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http://[subdomain].localhost:8000</w:t>
      </w:r>
      <w:r w:rsidRPr="00A63F2F">
        <w:rPr>
          <w:rFonts w:ascii="Calibri" w:eastAsia="Times New Roman" w:hAnsi="Calibri" w:cs="Calibri"/>
          <w:kern w:val="0"/>
          <w14:ligatures w14:val="none"/>
        </w:rPr>
        <w:t xml:space="preserve"> during local development to ensure the Tenancy middleware can correctly resolve the context.</w:t>
      </w:r>
    </w:p>
    <w:p w14:paraId="396F72E3" w14:textId="77777777" w:rsidR="001E677B" w:rsidRPr="00A63F2F" w:rsidRDefault="001E677B">
      <w:pPr>
        <w:rPr>
          <w:rFonts w:ascii="Calibri" w:hAnsi="Calibri" w:cs="Calibri"/>
        </w:rPr>
      </w:pPr>
    </w:p>
    <w:sectPr w:rsidR="001E677B" w:rsidRPr="00A63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2B8B"/>
    <w:multiLevelType w:val="multilevel"/>
    <w:tmpl w:val="533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E13BF"/>
    <w:multiLevelType w:val="multilevel"/>
    <w:tmpl w:val="910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C79C3"/>
    <w:multiLevelType w:val="multilevel"/>
    <w:tmpl w:val="EFA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83771"/>
    <w:multiLevelType w:val="multilevel"/>
    <w:tmpl w:val="53B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8453E"/>
    <w:multiLevelType w:val="multilevel"/>
    <w:tmpl w:val="329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115F5"/>
    <w:multiLevelType w:val="multilevel"/>
    <w:tmpl w:val="246A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E1FD9"/>
    <w:multiLevelType w:val="multilevel"/>
    <w:tmpl w:val="E48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06435"/>
    <w:multiLevelType w:val="multilevel"/>
    <w:tmpl w:val="1C6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F4BBA"/>
    <w:multiLevelType w:val="multilevel"/>
    <w:tmpl w:val="CD40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76FCE"/>
    <w:multiLevelType w:val="multilevel"/>
    <w:tmpl w:val="056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05441">
    <w:abstractNumId w:val="3"/>
  </w:num>
  <w:num w:numId="2" w16cid:durableId="178617221">
    <w:abstractNumId w:val="1"/>
  </w:num>
  <w:num w:numId="3" w16cid:durableId="513883930">
    <w:abstractNumId w:val="8"/>
  </w:num>
  <w:num w:numId="4" w16cid:durableId="1462764496">
    <w:abstractNumId w:val="0"/>
  </w:num>
  <w:num w:numId="5" w16cid:durableId="2025008232">
    <w:abstractNumId w:val="7"/>
  </w:num>
  <w:num w:numId="6" w16cid:durableId="1298805033">
    <w:abstractNumId w:val="4"/>
  </w:num>
  <w:num w:numId="7" w16cid:durableId="515466608">
    <w:abstractNumId w:val="2"/>
  </w:num>
  <w:num w:numId="8" w16cid:durableId="453868479">
    <w:abstractNumId w:val="5"/>
  </w:num>
  <w:num w:numId="9" w16cid:durableId="1717847717">
    <w:abstractNumId w:val="6"/>
  </w:num>
  <w:num w:numId="10" w16cid:durableId="107045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58"/>
    <w:rsid w:val="001E677B"/>
    <w:rsid w:val="00260BD6"/>
    <w:rsid w:val="00534AE1"/>
    <w:rsid w:val="00714B90"/>
    <w:rsid w:val="00846858"/>
    <w:rsid w:val="00A63F2F"/>
    <w:rsid w:val="00C4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F63A2"/>
  <w15:chartTrackingRefBased/>
  <w15:docId w15:val="{877B6BAA-D48A-4C4D-A5E5-D92E69E83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6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8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6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68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8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Alfrinaldi Taufik</dc:creator>
  <cp:keywords/>
  <dc:description/>
  <cp:lastModifiedBy>Alfrinaldi Taufik</cp:lastModifiedBy>
  <cp:revision>2</cp:revision>
  <dcterms:created xsi:type="dcterms:W3CDTF">2025-12-24T16:50:00Z</dcterms:created>
  <dcterms:modified xsi:type="dcterms:W3CDTF">2025-12-24T16:57:00Z</dcterms:modified>
</cp:coreProperties>
</file>