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Sample</w:t>
      </w:r>
    </w:p>
    <w:p>
      <w:r>
        <w:t>This sample verifies the Docling DOCX input path.</w:t>
      </w:r>
    </w:p>
    <w:p>
      <w:pPr>
        <w:pStyle w:val="Heading1"/>
      </w:pPr>
      <w:r>
        <w:t>Pipeline</w:t>
      </w:r>
    </w:p>
    <w:p>
      <w:pPr>
        <w:pStyle w:val="ListBullet"/>
      </w:pPr>
      <w:r>
        <w:t>Upload file</w:t>
      </w:r>
    </w:p>
    <w:p>
      <w:pPr>
        <w:pStyle w:val="ListBullet"/>
      </w:pPr>
      <w:r>
        <w:t>Convert with DocumentConverter</w:t>
      </w:r>
    </w:p>
    <w:p>
      <w:pPr>
        <w:pStyle w:val="ListBullet"/>
      </w:pPr>
      <w:r>
        <w:t>Normalize content</w:t>
      </w:r>
    </w:p>
    <w:p>
      <w:pPr>
        <w:pStyle w:val="ListBullet"/>
      </w:pPr>
      <w:r>
        <w:t>Write embedding_input.jsonl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Multi-format ingestion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  <w:tr>
        <w:tc>
          <w:tcPr>
            <w:tcW w:type="dxa" w:w="4320"/>
          </w:tcPr>
          <w:p>
            <w:r>
              <w:t>Pipeline routing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  <w:tr>
        <w:tc>
          <w:tcPr>
            <w:tcW w:type="dxa" w:w="4320"/>
          </w:tcPr>
          <w:p>
            <w:r>
              <w:t>Embedding output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