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Admin Law Lecture-20260824_153043-Meeting Recording</w:t>
      </w:r>
    </w:p>
    <w:p>
      <w:pPr>
        <w:spacing w:after="100"/>
      </w:pPr>
      <w:r>
        <w:rPr>
          <w:color w:val="605e5c"/>
          <w:sz w:val="3mm"/>
          <w:szCs w:val="3mm"/>
          <w:rFonts w:ascii="Segoe UI" w:cs="Segoe UI" w:eastAsia="Segoe UI" w:hAnsi="Segoe UI"/>
        </w:rPr>
        <w:t xml:space="preserve">August 24, 2026, 5:30AM</w:t>
      </w:r>
    </w:p>
    <w:p>
      <w:pPr>
        <w:spacing w:after="100"/>
      </w:pPr>
      <w:r>
        <w:rPr>
          <w:color w:val="605e5c"/>
          <w:sz w:val="3mm"/>
          <w:szCs w:val="3mm"/>
          <w:rFonts w:ascii="Segoe UI" w:cs="Segoe UI" w:eastAsia="Segoe UI" w:hAnsi="Segoe UI"/>
        </w:rPr>
        <w:t xml:space="preserve">1h 29m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Going week 6, standing.</w:t>
      </w:r>
      <w:r>
        <w:rPr>
          <w:color w:val="323130"/>
          <w:sz w:val="4.3mm"/>
          <w:szCs w:val="4.3mm"/>
          <w:rFonts w:ascii="Segoe UI" w:cs="Segoe UI" w:eastAsia="Segoe UI" w:hAnsi="Segoe UI"/>
        </w:rPr>
        <w:br/>
        <w:t xml:space="preserve">Now, just a little recap. So last week we started judicial review and we're sticking with judicial review now until the end of the course. What we started looking at last week were, what I called it, the limits to judicial review and this week is also the limits to judicial review.</w:t>
      </w:r>
      <w:r>
        <w:rPr>
          <w:color w:val="323130"/>
          <w:sz w:val="4.3mm"/>
          <w:szCs w:val="4.3mm"/>
          <w:rFonts w:ascii="Segoe UI" w:cs="Segoe UI" w:eastAsia="Segoe UI" w:hAnsi="Segoe UI"/>
        </w:rPr>
        <w:br/>
        <w:t xml:space="preserve">Last week we were looking at the question of a matter, which is even though, you know, we've set up the, we've set, we do have, we've got different types of judicial review. We've got ADGR Act review, we have constitutional law review and common law review, and</w:t>
      </w:r>
      <w:r>
        <w:rPr>
          <w:color w:val="323130"/>
          <w:sz w:val="4.3mm"/>
          <w:szCs w:val="4.3mm"/>
          <w:rFonts w:ascii="Segoe UI" w:cs="Segoe UI" w:eastAsia="Segoe UI" w:hAnsi="Segoe UI"/>
        </w:rPr>
        <w:br/>
        <w:t xml:space="preserve">Even so, with all of those different sorts, there are different rules about what can be heard, what can be reviewed under those frameworks. The most common framework to use is the Administrative Decisions Judicial Review Act, and we saw that even under there, you need to have</w:t>
      </w:r>
      <w:r>
        <w:rPr>
          <w:color w:val="323130"/>
          <w:sz w:val="4.3mm"/>
          <w:szCs w:val="4.3mm"/>
          <w:rFonts w:ascii="Segoe UI" w:cs="Segoe UI" w:eastAsia="Segoe UI" w:hAnsi="Segoe UI"/>
        </w:rPr>
        <w:br/>
        <w:t xml:space="preserve">a matter. There needs to be a matter, there needs to be a question of dispute and it has to be a matter that's justiciable. So there are some things that are not, are beyond the powers.</w:t>
      </w:r>
      <w:r>
        <w:rPr>
          <w:color w:val="323130"/>
          <w:sz w:val="4.3mm"/>
          <w:szCs w:val="4.3mm"/>
          <w:rFonts w:ascii="Segoe UI" w:cs="Segoe UI" w:eastAsia="Segoe UI" w:hAnsi="Segoe UI"/>
        </w:rPr>
        <w:br/>
        <w:t xml:space="preserve">of the courts to review. In the ADJR Act, there's a schedule to the legislation which actually sets out the things that are not to be reviewed. So it's quite clear there in the common law, we've got rules about what's not to be reviewed. For example, the prerogative powers.</w:t>
      </w:r>
      <w:r>
        <w:rPr>
          <w:color w:val="323130"/>
          <w:sz w:val="4.3mm"/>
          <w:szCs w:val="4.3mm"/>
          <w:rFonts w:ascii="Segoe UI" w:cs="Segoe UI" w:eastAsia="Segoe UI" w:hAnsi="Segoe UI"/>
        </w:rPr>
        <w:br/>
        <w:t xml:space="preserve">of the Crown. Okay, so before I start on this next tranche of what is standing, are there any questions from last week or anything that anybody would like to raise?</w:t>
      </w:r>
      <w:r>
        <w:rPr>
          <w:color w:val="323130"/>
          <w:sz w:val="4.3mm"/>
          <w:szCs w:val="4.3mm"/>
          <w:rFonts w:ascii="Segoe UI" w:cs="Segoe UI" w:eastAsia="Segoe UI" w:hAnsi="Segoe UI"/>
        </w:rPr>
        <w:br/>
        <w:t xml:space="preserve">Okay, I'm getting a no. That is very good.</w:t>
      </w:r>
      <w:r>
        <w:rPr>
          <w:color w:val="323130"/>
          <w:sz w:val="4.3mm"/>
          <w:szCs w:val="4.3mm"/>
          <w:rFonts w:ascii="Segoe UI" w:cs="Segoe UI" w:eastAsia="Segoe UI" w:hAnsi="Segoe UI"/>
        </w:rPr>
        <w:br/>
        <w:t xml:space="preserve">So this week, I've called it here standing in the program, it says limits to judicial review, comma standing. This is another way in which the opportunity to have things judicially reviewed by the courts is limited. So you have to have standing so you can apply to the court.</w:t>
      </w:r>
      <w:r>
        <w:rPr>
          <w:color w:val="323130"/>
          <w:sz w:val="4.3mm"/>
          <w:szCs w:val="4.3mm"/>
          <w:rFonts w:ascii="Segoe UI" w:cs="Segoe UI" w:eastAsia="Segoe UI" w:hAnsi="Segoe UI"/>
        </w:rPr>
        <w:br/>
        <w:t xml:space="preserve">you know, for your matter. So you've got a matter, the courts decided it's justiciable and then they go, okay, but do you have standing? And what does that mean? So it's kind of, in short, it's saying that not everybody has got the right to ask for judicial review of a decision.</w:t>
      </w:r>
      <w:r>
        <w:rPr>
          <w:color w:val="323130"/>
          <w:sz w:val="4.3mm"/>
          <w:szCs w:val="4.3mm"/>
          <w:rFonts w:ascii="Segoe UI" w:cs="Segoe UI" w:eastAsia="Segoe UI" w:hAnsi="Segoe UI"/>
        </w:rPr>
        <w:br/>
        <w:t xml:space="preserve">You have to have an interest in that decision, and.</w:t>
      </w:r>
      <w:r>
        <w:rPr>
          <w:color w:val="323130"/>
          <w:sz w:val="4.3mm"/>
          <w:szCs w:val="4.3mm"/>
          <w:rFonts w:ascii="Segoe UI" w:cs="Segoe UI" w:eastAsia="Segoe UI" w:hAnsi="Segoe UI"/>
        </w:rPr>
        <w:br/>
        <w:t xml:space="preserve">To have an interest in the decision is defined in certain ways under the different avenues of review that we looked at last week. In particular, what we'll look at is, so as first, you know, who can sue government decisions, like who has got a sufficient interest to sue.</w:t>
      </w:r>
      <w:r>
        <w:rPr>
          <w:color w:val="323130"/>
          <w:sz w:val="4.3mm"/>
          <w:szCs w:val="4.3mm"/>
          <w:rFonts w:ascii="Segoe UI" w:cs="Segoe UI" w:eastAsia="Segoe UI" w:hAnsi="Segoe UI"/>
        </w:rPr>
        <w:br/>
        <w:t xml:space="preserve">And we'll see that that has evolved over time.</w:t>
      </w:r>
      <w:r>
        <w:rPr>
          <w:color w:val="323130"/>
          <w:sz w:val="4.3mm"/>
          <w:szCs w:val="4.3mm"/>
          <w:rFonts w:ascii="Segoe UI" w:cs="Segoe UI" w:eastAsia="Segoe UI" w:hAnsi="Segoe UI"/>
        </w:rPr>
        <w:br/>
        <w:t xml:space="preserve">and has different, well, not different rules, but there's been a convergence of rules from the common law and the ADJR Act. And we have to think about, is it just individuals that can be, that can sue the government or can an organisation sue the government? This becomes particularly important when we're talking about public interest matters</w:t>
      </w:r>
      <w:r>
        <w:rPr>
          <w:color w:val="323130"/>
          <w:sz w:val="4.3mm"/>
          <w:szCs w:val="4.3mm"/>
          <w:rFonts w:ascii="Segoe UI" w:cs="Segoe UI" w:eastAsia="Segoe UI" w:hAnsi="Segoe UI"/>
        </w:rPr>
        <w:br/>
        <w:t xml:space="preserve">or, you know, sort of matters with far reaching policy implications for different kind of things. And this is because we are in the realm of government law, of holding governments to account and some of the decisions that the government make are going to be quite profound and can influence a whole range of things. So</w:t>
      </w:r>
      <w:r>
        <w:rPr>
          <w:color w:val="323130"/>
          <w:sz w:val="4.3mm"/>
          <w:szCs w:val="4.3mm"/>
          <w:rFonts w:ascii="Segoe UI" w:cs="Segoe UI" w:eastAsia="Segoe UI" w:hAnsi="Segoe UI"/>
        </w:rPr>
        <w:br/>
        <w:t xml:space="preserve">These are really questions about what?</w:t>
      </w:r>
      <w:r>
        <w:rPr>
          <w:color w:val="323130"/>
          <w:sz w:val="4.3mm"/>
          <w:szCs w:val="4.3mm"/>
          <w:rFonts w:ascii="Segoe UI" w:cs="Segoe UI" w:eastAsia="Segoe UI" w:hAnsi="Segoe UI"/>
        </w:rPr>
        <w:br/>
        <w:t xml:space="preserve">What can, you know, what can occur in this space?</w:t>
      </w:r>
      <w:r>
        <w:rPr>
          <w:color w:val="323130"/>
          <w:sz w:val="4.3mm"/>
          <w:szCs w:val="4.3mm"/>
          <w:rFonts w:ascii="Segoe UI" w:cs="Segoe UI" w:eastAsia="Segoe UI" w:hAnsi="Segoe UI"/>
        </w:rPr>
        <w:br/>
        <w:t xml:space="preserve">So first of all, I've used the word standing quite a number of times. What is standing? So basically standing is the right to commence an action before the courts. Sometimes you'll see it as the right to be heard. The Latin is locus standi.</w:t>
      </w:r>
      <w:r>
        <w:rPr>
          <w:color w:val="323130"/>
          <w:sz w:val="4.3mm"/>
          <w:szCs w:val="4.3mm"/>
          <w:rFonts w:ascii="Segoe UI" w:cs="Segoe UI" w:eastAsia="Segoe UI" w:hAnsi="Segoe UI"/>
        </w:rPr>
        <w:br/>
        <w:t xml:space="preserve">So you have to be recognised by the courts as someone that can bring an action. Now, in general, we recognise that anybody that is affected by a government decision should have some recourse to</w:t>
      </w:r>
      <w:r>
        <w:rPr>
          <w:color w:val="323130"/>
          <w:sz w:val="4.3mm"/>
          <w:szCs w:val="4.3mm"/>
          <w:rFonts w:ascii="Segoe UI" w:cs="Segoe UI" w:eastAsia="Segoe UI" w:hAnsi="Segoe UI"/>
        </w:rPr>
        <w:br/>
        <w:t xml:space="preserve">to the government to have that decision considered fresh or reviewed. Now remember what we've talked about for the last few weeks is merits review, which is the opportunity for the executive arm of government, which sets up for itself its own little review system so that it can have a look at reviewing decisions again.</w:t>
      </w:r>
      <w:r>
        <w:rPr>
          <w:color w:val="323130"/>
          <w:sz w:val="4.3mm"/>
          <w:szCs w:val="4.3mm"/>
          <w:rFonts w:ascii="Segoe UI" w:cs="Segoe UI" w:eastAsia="Segoe UI" w:hAnsi="Segoe UI"/>
        </w:rPr>
        <w:br/>
        <w:t xml:space="preserve">for its, as much for its own benefit and to ensure that there is confidence in government, that there is consistency in government decision makers, there's a number of benefits of having a kind of a review or feedback loop for the government.</w:t>
      </w:r>
      <w:r>
        <w:rPr>
          <w:color w:val="323130"/>
          <w:sz w:val="4.3mm"/>
          <w:szCs w:val="4.3mm"/>
          <w:rFonts w:ascii="Segoe UI" w:cs="Segoe UI" w:eastAsia="Segoe UI" w:hAnsi="Segoe UI"/>
        </w:rPr>
        <w:br/>
        <w:t xml:space="preserve">Now, now we're talking about judicial review in the courts. Judicial review has always been there, as we saw last week in the common law, has an opportunity to make sure that, I mean, originally the Crown, but then the government.</w:t>
      </w:r>
      <w:r>
        <w:rPr>
          <w:color w:val="323130"/>
          <w:sz w:val="4.3mm"/>
          <w:szCs w:val="4.3mm"/>
          <w:rFonts w:ascii="Segoe UI" w:cs="Segoe UI" w:eastAsia="Segoe UI" w:hAnsi="Segoe UI"/>
        </w:rPr>
        <w:br/>
        <w:t xml:space="preserve">doesn't overstep its mark. So you do have this opportunity for citizens and others to say to the courts, hold on there, the government is overstepping its mark. We really want it to be looked at. Why is that something that can happen?</w:t>
      </w:r>
      <w:r>
        <w:rPr>
          <w:color w:val="323130"/>
          <w:sz w:val="4.3mm"/>
          <w:szCs w:val="4.3mm"/>
          <w:rFonts w:ascii="Segoe UI" w:cs="Segoe UI" w:eastAsia="Segoe UI" w:hAnsi="Segoe UI"/>
        </w:rPr>
        <w:br/>
        <w:t xml:space="preserve">because of the separation of powers, because the role of the courts is to make sure that government and the executive act lawfully, act within the power that they have. So there is in a modern democratic system, there is not unlimited power.</w:t>
      </w:r>
      <w:r>
        <w:rPr>
          <w:color w:val="323130"/>
          <w:sz w:val="4.3mm"/>
          <w:szCs w:val="4.3mm"/>
          <w:rFonts w:ascii="Segoe UI" w:cs="Segoe UI" w:eastAsia="Segoe UI" w:hAnsi="Segoe UI"/>
        </w:rPr>
        <w:br/>
        <w:t xml:space="preserve">And the courts have the opportunity to oversee the decisions of government.</w:t>
      </w:r>
      <w:r>
        <w:rPr>
          <w:color w:val="323130"/>
          <w:sz w:val="4.3mm"/>
          <w:szCs w:val="4.3mm"/>
          <w:rFonts w:ascii="Segoe UI" w:cs="Segoe UI" w:eastAsia="Segoe UI" w:hAnsi="Segoe UI"/>
        </w:rPr>
        <w:br/>
        <w:t xml:space="preserve">Now, why then, if I'm saying it's so important that people have the opportunity to sort of challenge government decisions, to participate in what's going on, why then do we have this rule of standing, which is essentially a limit on the action by the</w:t>
      </w:r>
      <w:r>
        <w:rPr>
          <w:color w:val="323130"/>
          <w:sz w:val="4.3mm"/>
          <w:szCs w:val="4.3mm"/>
          <w:rFonts w:ascii="Segoe UI" w:cs="Segoe UI" w:eastAsia="Segoe UI" w:hAnsi="Segoe UI"/>
        </w:rPr>
        <w:br/>
        <w:t xml:space="preserve">by the courts. It's saying, oh yeah, hang on. Yeah, we really like, we really like people to challenge the decisions, but not everybody, you know, no, hang on, we can't, we have to have limits around this. Now, Justice Graham in Hussein, the Secretary of the Department of Immigration and Multicultural Affairs, explained this to us.</w:t>
      </w:r>
      <w:r>
        <w:rPr>
          <w:color w:val="323130"/>
          <w:sz w:val="4.3mm"/>
          <w:szCs w:val="4.3mm"/>
          <w:rFonts w:ascii="Segoe UI" w:cs="Segoe UI" w:eastAsia="Segoe UI" w:hAnsi="Segoe UI"/>
        </w:rPr>
        <w:br/>
        <w:t xml:space="preserve">in 2006. What are the standing rules designed to do? The standing rules are designed to ensure that applicants only litigate their own business. For an applicant to have standing demands a connection between the applicant's interests and the relief that is sought.</w:t>
      </w:r>
      <w:r>
        <w:rPr>
          <w:color w:val="323130"/>
          <w:sz w:val="4.3mm"/>
          <w:szCs w:val="4.3mm"/>
          <w:rFonts w:ascii="Segoe UI" w:cs="Segoe UI" w:eastAsia="Segoe UI" w:hAnsi="Segoe UI"/>
        </w:rPr>
        <w:br/>
        <w:t xml:space="preserve">And as a general rule, the court will not recognise busy bodies who interfere in things that do not concern them. Okay, so this is, you see this interesting language, it's a hangover from the common law, but we don't want busy bodies in the courts. We only want people with a genuine...</w:t>
      </w:r>
      <w:r>
        <w:rPr>
          <w:color w:val="323130"/>
          <w:sz w:val="4.3mm"/>
          <w:szCs w:val="4.3mm"/>
          <w:rFonts w:ascii="Segoe UI" w:cs="Segoe UI" w:eastAsia="Segoe UI" w:hAnsi="Segoe UI"/>
        </w:rPr>
        <w:br/>
        <w:t xml:space="preserve">interest. So that is that's the that's the way it is framed. And as we go through today, we'll look at the case law and see in detail what we mean by somebody being a busybody. Yes, it is indeed hilarious. So no busybody is allowed here.</w:t>
      </w:r>
      <w:r>
        <w:rPr>
          <w:color w:val="323130"/>
          <w:sz w:val="4.3mm"/>
          <w:szCs w:val="4.3mm"/>
          <w:rFonts w:ascii="Segoe UI" w:cs="Segoe UI" w:eastAsia="Segoe UI" w:hAnsi="Segoe UI"/>
        </w:rPr>
        <w:br/>
        <w:t xml:space="preserve">That it looks like a it looks like a fairly innocuous word, but it's actually used quite politically, as you will see. In this particular case of Hussein, it concerned A complaint.</w:t>
      </w:r>
      <w:r>
        <w:rPr>
          <w:color w:val="323130"/>
          <w:sz w:val="4.3mm"/>
          <w:szCs w:val="4.3mm"/>
          <w:rFonts w:ascii="Segoe UI" w:cs="Segoe UI" w:eastAsia="Segoe UI" w:hAnsi="Segoe UI"/>
        </w:rPr>
        <w:br/>
        <w:t xml:space="preserve">To the Australian Federal Police by a detainee at the Villa Wood.</w:t>
      </w:r>
      <w:r>
        <w:rPr>
          <w:color w:val="323130"/>
          <w:sz w:val="4.3mm"/>
          <w:szCs w:val="4.3mm"/>
          <w:rFonts w:ascii="Segoe UI" w:cs="Segoe UI" w:eastAsia="Segoe UI" w:hAnsi="Segoe UI"/>
        </w:rPr>
        <w:br/>
        <w:t xml:space="preserve">Just detention centre about about work that the detainees had to do at Villa Wood.</w:t>
      </w:r>
      <w:r>
        <w:rPr>
          <w:color w:val="323130"/>
          <w:sz w:val="4.3mm"/>
          <w:szCs w:val="4.3mm"/>
          <w:rFonts w:ascii="Segoe UI" w:cs="Segoe UI" w:eastAsia="Segoe UI" w:hAnsi="Segoe UI"/>
        </w:rPr>
        <w:br/>
        <w:t xml:space="preserve">And it is, you know, this is part of this. We will see quite a lot of cases that have challenged what's going on in the detention centres. You will have seen media this week with some more revelations about bad behaviour at some of Australia's.</w:t>
      </w:r>
      <w:r>
        <w:rPr>
          <w:color w:val="323130"/>
          <w:sz w:val="4.3mm"/>
          <w:szCs w:val="4.3mm"/>
          <w:rFonts w:ascii="Segoe UI" w:cs="Segoe UI" w:eastAsia="Segoe UI" w:hAnsi="Segoe UI"/>
        </w:rPr>
        <w:br/>
        <w:t xml:space="preserve">detention centres, it's been an ongoing problem. If you are given standing and you are recognised by the courts of having standing, which means you can initiate A proceeding against the government, then whether you're an individual or a corporation or an organisation,</w:t>
      </w:r>
      <w:r>
        <w:rPr>
          <w:color w:val="323130"/>
          <w:sz w:val="4.3mm"/>
          <w:szCs w:val="4.3mm"/>
          <w:rFonts w:ascii="Segoe UI" w:cs="Segoe UI" w:eastAsia="Segoe UI" w:hAnsi="Segoe UI"/>
        </w:rPr>
        <w:br/>
        <w:t xml:space="preserve">And provided you're affected by the decision, you can initiate that judicial review and that gives you the opportunity to really control the way proceedings unfold because you're making the arguments, you're challenging the decision. So strategically.</w:t>
      </w:r>
      <w:r>
        <w:rPr>
          <w:color w:val="323130"/>
          <w:sz w:val="4.3mm"/>
          <w:szCs w:val="4.3mm"/>
          <w:rFonts w:ascii="Segoe UI" w:cs="Segoe UI" w:eastAsia="Segoe UI" w:hAnsi="Segoe UI"/>
        </w:rPr>
        <w:br/>
        <w:t xml:space="preserve">actually quite important. Justice Gibbs in Onus and Alcoa also gave us a broader explanation of standing. On one hand, it may be thought that in the community which professes to live by the rule of law, the courts should be open to anyone who genuinely seeks to prevent the law from being ignored or violated.</w:t>
      </w:r>
      <w:r>
        <w:rPr>
          <w:color w:val="323130"/>
          <w:sz w:val="4.3mm"/>
          <w:szCs w:val="4.3mm"/>
          <w:rFonts w:ascii="Segoe UI" w:cs="Segoe UI" w:eastAsia="Segoe UI" w:hAnsi="Segoe UI"/>
        </w:rPr>
        <w:br/>
        <w:t xml:space="preserve">On the other hand, if standing is accorded to any citizen to sue to prevent breaches of the law by another, there exists the possibility not only that the process of the law will be abused by busybodies and cranks and persons actuated by malice, but also that persons or groups who feel strongly enough about an issue</w:t>
      </w:r>
      <w:r>
        <w:rPr>
          <w:color w:val="323130"/>
          <w:sz w:val="4.3mm"/>
          <w:szCs w:val="4.3mm"/>
          <w:rFonts w:ascii="Segoe UI" w:cs="Segoe UI" w:eastAsia="Segoe UI" w:hAnsi="Segoe UI"/>
        </w:rPr>
        <w:br/>
        <w:t xml:space="preserve">will be prepared to put some other citizen with whom they have had no relationship and whose actions have not affected them except by causing them intellectual or emotional concern to very great cost and inconvenience in defending the legality of his decisions.</w:t>
      </w:r>
      <w:r>
        <w:rPr>
          <w:color w:val="323130"/>
          <w:sz w:val="4.3mm"/>
          <w:szCs w:val="4.3mm"/>
          <w:rFonts w:ascii="Segoe UI" w:cs="Segoe UI" w:eastAsia="Segoe UI" w:hAnsi="Segoe UI"/>
        </w:rPr>
        <w:br/>
        <w:t xml:space="preserve">Okay, so it's an interesting debate. This one was from 1980. The first quote I showed you was from 2006, so 25 years apart. We've still got the language of busybodies. But it is very much, you will notice, a</w:t>
      </w:r>
      <w:r>
        <w:rPr>
          <w:color w:val="323130"/>
          <w:sz w:val="4.3mm"/>
          <w:szCs w:val="4.3mm"/>
          <w:rFonts w:ascii="Segoe UI" w:cs="Segoe UI" w:eastAsia="Segoe UI" w:hAnsi="Segoe UI"/>
        </w:rPr>
        <w:br/>
        <w:t xml:space="preserve">an individualistic account of the law and an interesting understanding of citizens in the law as individuals who have a relationship with each other and have responsibilities to each other as citizens. Now, since that time, particularly with the recognition of organisations as being able to sue, you have public interest organisations</w:t>
      </w:r>
      <w:r>
        <w:rPr>
          <w:color w:val="323130"/>
          <w:sz w:val="4.3mm"/>
          <w:szCs w:val="4.3mm"/>
          <w:rFonts w:ascii="Segoe UI" w:cs="Segoe UI" w:eastAsia="Segoe UI" w:hAnsi="Segoe UI"/>
        </w:rPr>
        <w:br/>
        <w:t xml:space="preserve">suing. So a lot of our work is about when is a public interest organisation entitled to sue or when do we say that it is interfering like a crank or a busy body. So this is kind of the, this is the tension we're working. I have tension for you every week. This is the tension we're working with.</w:t>
      </w:r>
      <w:r>
        <w:rPr>
          <w:color w:val="323130"/>
          <w:sz w:val="4.3mm"/>
          <w:szCs w:val="4.3mm"/>
          <w:rFonts w:ascii="Segoe UI" w:cs="Segoe UI" w:eastAsia="Segoe UI" w:hAnsi="Segoe UI"/>
        </w:rPr>
        <w:br/>
        <w:t xml:space="preserve">this week. But it's also recognising that the courts, I guess, are a limited resource and an expensive resource and that there needs to be some kind of limits on the use of that resource in a sense. What side of that tension you fall on is entirely...</w:t>
      </w:r>
      <w:r>
        <w:rPr>
          <w:color w:val="323130"/>
          <w:sz w:val="4.3mm"/>
          <w:szCs w:val="4.3mm"/>
          <w:rFonts w:ascii="Segoe UI" w:cs="Segoe UI" w:eastAsia="Segoe UI" w:hAnsi="Segoe UI"/>
        </w:rPr>
        <w:br/>
        <w:t xml:space="preserve">Are up to you.</w:t>
      </w:r>
      <w:r>
        <w:rPr>
          <w:color w:val="323130"/>
          <w:sz w:val="4.3mm"/>
          <w:szCs w:val="4.3mm"/>
          <w:rFonts w:ascii="Segoe UI" w:cs="Segoe UI" w:eastAsia="Segoe UI" w:hAnsi="Segoe UI"/>
        </w:rPr>
        <w:br/>
        <w:t xml:space="preserve">Okay, so to continue this kind of discussion, this particular one is from Justice McEwen Batemans Bay Aboriginal Land Council case, which I'll talk about a bit later on. Here we're just kind of talking about the statements about what standing is. So, and here there's an analogy drawn</w:t>
      </w:r>
      <w:r>
        <w:rPr>
          <w:color w:val="323130"/>
          <w:sz w:val="4.3mm"/>
          <w:szCs w:val="4.3mm"/>
          <w:rFonts w:ascii="Segoe UI" w:cs="Segoe UI" w:eastAsia="Segoe UI" w:hAnsi="Segoe UI"/>
        </w:rPr>
        <w:br/>
        <w:t xml:space="preserve">with private law. Absent interference with a private legal right, and I use the term right to include those interests and legitimate expectations that the law protects. We will talk about legitimate expectations later in the course for a while there.</w:t>
      </w:r>
      <w:r>
        <w:rPr>
          <w:color w:val="323130"/>
          <w:sz w:val="4.3mm"/>
          <w:szCs w:val="4.3mm"/>
          <w:rFonts w:ascii="Segoe UI" w:cs="Segoe UI" w:eastAsia="Segoe UI" w:hAnsi="Segoe UI"/>
        </w:rPr>
        <w:br/>
        <w:t xml:space="preserve">It was a basis upon which you could bring an action if you had a legitimate expectation. That concept has been damped down a fair bit since then, just putting you on notice for later on. An ordinary member of the public generally has no standing in the civil courts.</w:t>
      </w:r>
      <w:r>
        <w:rPr>
          <w:color w:val="323130"/>
          <w:sz w:val="4.3mm"/>
          <w:szCs w:val="4.3mm"/>
          <w:rFonts w:ascii="Segoe UI" w:cs="Segoe UI" w:eastAsia="Segoe UI" w:hAnsi="Segoe UI"/>
        </w:rPr>
        <w:br/>
        <w:t xml:space="preserve">Those courts exist to protect the legal rights of individuals, not to ensure that individuals or public officials obey the law. Examining, restraining or directing the conduct of public officials is merely an incident of the protection of the rights of the individual, except in those cases where the court is acting under a statute</w:t>
      </w:r>
      <w:r>
        <w:rPr>
          <w:color w:val="323130"/>
          <w:sz w:val="4.3mm"/>
          <w:szCs w:val="4.3mm"/>
          <w:rFonts w:ascii="Segoe UI" w:cs="Segoe UI" w:eastAsia="Segoe UI" w:hAnsi="Segoe UI"/>
        </w:rPr>
        <w:br/>
        <w:t xml:space="preserve">that gives it jurisdiction to review such conduct. Okay, so there's a lot of careful wording in there, which you'll come to appreciate as we go along. So first of all, it's about protecting individual rights. It's not about ensuring that the government obeys the law, which seems a wee bit contrary to some of the things that I've been saying. But then it says at the end, except in those cases where the court is acting under a statute,</w:t>
      </w:r>
      <w:r>
        <w:rPr>
          <w:color w:val="323130"/>
          <w:sz w:val="4.3mm"/>
          <w:szCs w:val="4.3mm"/>
          <w:rFonts w:ascii="Segoe UI" w:cs="Segoe UI" w:eastAsia="Segoe UI" w:hAnsi="Segoe UI"/>
        </w:rPr>
        <w:br/>
        <w:t xml:space="preserve">That gives it jurisdiction to review such conduct, so...</w:t>
      </w:r>
      <w:r>
        <w:rPr>
          <w:color w:val="323130"/>
          <w:sz w:val="4.3mm"/>
          <w:szCs w:val="4.3mm"/>
          <w:rFonts w:ascii="Segoe UI" w:cs="Segoe UI" w:eastAsia="Segoe UI" w:hAnsi="Segoe UI"/>
        </w:rPr>
        <w:br/>
        <w:t xml:space="preserve">And we may think that the ADGR Act is one such piece of legislation, but again, it links this very much then to statutory interpretation. As I warned you at the start, we do a lot of statutory interpretation as we go through. So none of these can, all of these sort of general principles,</w:t>
      </w:r>
      <w:r>
        <w:rPr>
          <w:color w:val="323130"/>
          <w:sz w:val="4.3mm"/>
          <w:szCs w:val="4.3mm"/>
          <w:rFonts w:ascii="Segoe UI" w:cs="Segoe UI" w:eastAsia="Segoe UI" w:hAnsi="Segoe UI"/>
        </w:rPr>
        <w:br/>
        <w:t xml:space="preserve">and what can be modified by statute as we go. Now, okay, so let's have a think about who can challenge. If you remember in a previous lecture, we talked about McBain and the ex parte Catholic bishops.</w:t>
      </w:r>
      <w:r>
        <w:rPr>
          <w:color w:val="323130"/>
          <w:sz w:val="4.3mm"/>
          <w:szCs w:val="4.3mm"/>
          <w:rFonts w:ascii="Segoe UI" w:cs="Segoe UI" w:eastAsia="Segoe UI" w:hAnsi="Segoe UI"/>
        </w:rPr>
        <w:br/>
        <w:t xml:space="preserve">conference. And in the previous lecture, I was saying that they failed in their attempt to be joined to an action because they didn't have a matter. They didn't have a point of</w:t>
      </w:r>
      <w:r>
        <w:rPr>
          <w:color w:val="323130"/>
          <w:sz w:val="4.3mm"/>
          <w:szCs w:val="4.3mm"/>
          <w:rFonts w:ascii="Segoe UI" w:cs="Segoe UI" w:eastAsia="Segoe UI" w:hAnsi="Segoe UI"/>
        </w:rPr>
        <w:br/>
        <w:t xml:space="preserve">you know, sufficient, I'm trying to avoid language that I'm using, that they didn't have a matter that was gestigible. That was one of the decisions. Now, I'll talk about that one again in a minute and we'll see how they correlate with this idea of standing as well.</w:t>
      </w:r>
      <w:r>
        <w:rPr>
          <w:color w:val="323130"/>
          <w:sz w:val="4.3mm"/>
          <w:szCs w:val="4.3mm"/>
          <w:rFonts w:ascii="Segoe UI" w:cs="Segoe UI" w:eastAsia="Segoe UI" w:hAnsi="Segoe UI"/>
        </w:rPr>
        <w:br/>
        <w:t xml:space="preserve">Boyce and Paddington Borough Council, which is a much older case, tells us that a person will have standing to challenge a decision which infringes on public rights when either the private rights have also been infringed or special damage has been suffered. And if you remember in Boyce,</w:t>
      </w:r>
      <w:r>
        <w:rPr>
          <w:color w:val="323130"/>
          <w:sz w:val="4.3mm"/>
          <w:szCs w:val="4.3mm"/>
          <w:rFonts w:ascii="Segoe UI" w:cs="Segoe UI" w:eastAsia="Segoe UI" w:hAnsi="Segoe UI"/>
        </w:rPr>
        <w:br/>
        <w:t xml:space="preserve">I think that was the fellow who the building was going to overlook his rights. So again, by the sort of, you know, early, early 20th century, you still, you need this idea that it's connected to a private right or that it is a recognised public.</w:t>
      </w:r>
      <w:r>
        <w:rPr>
          <w:color w:val="323130"/>
          <w:sz w:val="4.3mm"/>
          <w:szCs w:val="4.3mm"/>
          <w:rFonts w:ascii="Segoe UI" w:cs="Segoe UI" w:eastAsia="Segoe UI" w:hAnsi="Segoe UI"/>
        </w:rPr>
        <w:br/>
        <w:t xml:space="preserve">Right, and so these kind of principles still hold in the common law, and we'll see that they've developed a bit.</w:t>
      </w:r>
      <w:r>
        <w:rPr>
          <w:color w:val="323130"/>
          <w:sz w:val="4.3mm"/>
          <w:szCs w:val="4.3mm"/>
          <w:rFonts w:ascii="Segoe UI" w:cs="Segoe UI" w:eastAsia="Segoe UI" w:hAnsi="Segoe UI"/>
        </w:rPr>
        <w:br/>
        <w:t xml:space="preserve">In the Australian Conservation Foundation of the Commonwealth in 1980, and I'll talk about the facts of it again in more detail in a moment, the court accepted the test invoice, and so that this same idea about private rights and special damage had been suffered.</w:t>
      </w:r>
      <w:r>
        <w:rPr>
          <w:color w:val="323130"/>
          <w:sz w:val="4.3mm"/>
          <w:szCs w:val="4.3mm"/>
          <w:rFonts w:ascii="Segoe UI" w:cs="Segoe UI" w:eastAsia="Segoe UI" w:hAnsi="Segoe UI"/>
        </w:rPr>
        <w:br/>
        <w:t xml:space="preserve">But in that case, the High Court said it's not special damage that we need, but there must be a special interest that is protected. Now, this language adopted by the High Court in 1980, there must be a special interest. That's the language that continues and has been continued in the common law and inserted into the</w:t>
      </w:r>
      <w:r>
        <w:rPr>
          <w:color w:val="323130"/>
          <w:sz w:val="4.3mm"/>
          <w:szCs w:val="4.3mm"/>
          <w:rFonts w:ascii="Segoe UI" w:cs="Segoe UI" w:eastAsia="Segoe UI" w:hAnsi="Segoe UI"/>
        </w:rPr>
        <w:br/>
        <w:t xml:space="preserve">Administrative Decisions Judicial Review Act. So somebody's got, they've got to have an interest. So we're looking at how we define that interest. So in the first instance, an interest is more than a mere emotional and intellectual concern. And I'll go through the specific case law as we go.</w:t>
      </w:r>
      <w:r>
        <w:rPr>
          <w:color w:val="323130"/>
          <w:sz w:val="4.3mm"/>
          <w:szCs w:val="4.3mm"/>
          <w:rFonts w:ascii="Segoe UI" w:cs="Segoe UI" w:eastAsia="Segoe UI" w:hAnsi="Segoe UI"/>
        </w:rPr>
        <w:br/>
        <w:t xml:space="preserve">Um, now...</w:t>
      </w:r>
      <w:r>
        <w:rPr>
          <w:color w:val="323130"/>
          <w:sz w:val="4.3mm"/>
          <w:szCs w:val="4.3mm"/>
          <w:rFonts w:ascii="Segoe UI" w:cs="Segoe UI" w:eastAsia="Segoe UI" w:hAnsi="Segoe UI"/>
        </w:rPr>
        <w:br/>
        <w:t xml:space="preserve">There is many of these cases are about environmental interests, and in Onus and Alcoa.</w:t>
      </w:r>
      <w:r>
        <w:rPr>
          <w:color w:val="323130"/>
          <w:sz w:val="4.3mm"/>
          <w:szCs w:val="4.3mm"/>
          <w:rFonts w:ascii="Segoe UI" w:cs="Segoe UI" w:eastAsia="Segoe UI" w:hAnsi="Segoe UI"/>
        </w:rPr>
        <w:br/>
        <w:t xml:space="preserve">and also the status of public interest groups with respect to the environment. And so this has grown over time. In the 1981, which is only a year after the Australian conservation case in which it was held, I might say, that the ACF did not have standing onus in Alcoa.</w:t>
      </w:r>
      <w:r>
        <w:rPr>
          <w:color w:val="323130"/>
          <w:sz w:val="4.3mm"/>
          <w:szCs w:val="4.3mm"/>
          <w:rFonts w:ascii="Segoe UI" w:cs="Segoe UI" w:eastAsia="Segoe UI" w:hAnsi="Segoe UI"/>
        </w:rPr>
        <w:br/>
        <w:t xml:space="preserve">They said, look, it might be possible to have standing in an environmental matter if there's a sufficient nexus between the subject matter and the relief sought and that the group has a special interest. Now in that one, it was an Aboriginal organisation and special interest was found.</w:t>
      </w:r>
      <w:r>
        <w:rPr>
          <w:color w:val="323130"/>
          <w:sz w:val="4.3mm"/>
          <w:szCs w:val="4.3mm"/>
          <w:rFonts w:ascii="Segoe UI" w:cs="Segoe UI" w:eastAsia="Segoe UI" w:hAnsi="Segoe UI"/>
        </w:rPr>
        <w:br/>
        <w:t xml:space="preserve">So can you see that we're starting to kind of sketch out these parameters around what might be regarded as a special interest and you need a special interest in order to bring an action, in order to bring judicial review.</w:t>
      </w:r>
      <w:r>
        <w:rPr>
          <w:color w:val="323130"/>
          <w:sz w:val="4.3mm"/>
          <w:szCs w:val="4.3mm"/>
          <w:rFonts w:ascii="Segoe UI" w:cs="Segoe UI" w:eastAsia="Segoe UI" w:hAnsi="Segoe UI"/>
        </w:rPr>
        <w:br/>
        <w:t xml:space="preserve">Now, what we have been talking about here are the common law requirements of judicial review. The common law requirements correspond with the constitutional law requirements of standing. Remember that when we're looking at constitutional law requirements, we're looking at section 75.5 of the Constitution and the inherent</w:t>
      </w:r>
      <w:r>
        <w:rPr>
          <w:color w:val="323130"/>
          <w:sz w:val="4.3mm"/>
          <w:szCs w:val="4.3mm"/>
          <w:rFonts w:ascii="Segoe UI" w:cs="Segoe UI" w:eastAsia="Segoe UI" w:hAnsi="Segoe UI"/>
        </w:rPr>
        <w:br/>
        <w:t xml:space="preserve">Jurisdiction of the High Court, and essentially that is the kind of the open way of the gate, the gate through which then it's common law principles that are applying to your judicial review.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 are, I'll come back to this idea as well. Traditionally in public law it was the Attorney-General that raised questions that affected public interest, so this is still the case, but very unusual for that to happen these days.</w:t>
      </w:r>
      <w:r>
        <w:rPr>
          <w:color w:val="323130"/>
          <w:sz w:val="4.3mm"/>
          <w:szCs w:val="4.3mm"/>
          <w:rFonts w:ascii="Segoe UI" w:cs="Segoe UI" w:eastAsia="Segoe UI" w:hAnsi="Segoe UI"/>
        </w:rPr>
        <w:br/>
        <w:t xml:space="preserve">Attorney Generals also have the power to challenge any action of the federal government and vice versa. So the Attorney Generals have a particular role here and you will see sometimes when the Attorney Generals exercise that.</w:t>
      </w:r>
      <w:r>
        <w:rPr>
          <w:color w:val="323130"/>
          <w:sz w:val="4.3mm"/>
          <w:szCs w:val="4.3mm"/>
          <w:rFonts w:ascii="Segoe UI" w:cs="Segoe UI" w:eastAsia="Segoe UI" w:hAnsi="Segoe UI"/>
        </w:rPr>
        <w:br/>
        <w:t xml:space="preserve">And the Attorney General's fiat is another Ave. where the Attorney General can actually lend that right, the right to be able to challenge decisions to another body or person to enable them via their particular power to challenge. So there are a number of ways in common law where...</w:t>
      </w:r>
      <w:r>
        <w:rPr>
          <w:color w:val="323130"/>
          <w:sz w:val="4.3mm"/>
          <w:szCs w:val="4.3mm"/>
          <w:rFonts w:ascii="Segoe UI" w:cs="Segoe UI" w:eastAsia="Segoe UI" w:hAnsi="Segoe UI"/>
        </w:rPr>
        <w:br/>
        <w:t xml:space="preserve">there might be avenues to review, even though at first instance it seems otherwise. So let's return now to MacBay and the ex-Parte Catholics Bishop Conference. If you remember, this was about the IVF and the Victorian.</w:t>
      </w:r>
      <w:r>
        <w:rPr>
          <w:color w:val="323130"/>
          <w:sz w:val="4.3mm"/>
          <w:szCs w:val="4.3mm"/>
          <w:rFonts w:ascii="Segoe UI" w:cs="Segoe UI" w:eastAsia="Segoe UI" w:hAnsi="Segoe UI"/>
        </w:rPr>
        <w:br/>
        <w:t xml:space="preserve">A woman in Victoria was challenging the IVF legislation in Victoria, which said that single women could not have access to IVF. And this woman argued successfully that the Victorian Act was inconsistent with the Commonwealth Sex Discrimination Act.</w:t>
      </w:r>
      <w:r>
        <w:rPr>
          <w:color w:val="323130"/>
          <w:sz w:val="4.3mm"/>
          <w:szCs w:val="4.3mm"/>
          <w:rFonts w:ascii="Segoe UI" w:cs="Segoe UI" w:eastAsia="Segoe UI" w:hAnsi="Segoe UI"/>
        </w:rPr>
        <w:br/>
        <w:t xml:space="preserve">The parties to the action in the Federal Court was the Victorian Minister of Health, the Infertility Treatment Authority, so the IVF, the people who govern the IVF clinics, and Ms. Meldrum, who was the woman making the claim. Now, ultimately,</w:t>
      </w:r>
      <w:r>
        <w:rPr>
          <w:color w:val="323130"/>
          <w:sz w:val="4.3mm"/>
          <w:szCs w:val="4.3mm"/>
          <w:rFonts w:ascii="Segoe UI" w:cs="Segoe UI" w:eastAsia="Segoe UI" w:hAnsi="Segoe UI"/>
        </w:rPr>
        <w:br/>
        <w:t xml:space="preserve">As we've already seen, we know that the Australian Catholic Bishops Conference wanted to be joined. We've already seen that parts of the judgment said that they did not have a justiciable matter.</w:t>
      </w:r>
      <w:r>
        <w:rPr>
          <w:color w:val="323130"/>
          <w:sz w:val="4.3mm"/>
          <w:szCs w:val="4.3mm"/>
          <w:rFonts w:ascii="Segoe UI" w:cs="Segoe UI" w:eastAsia="Segoe UI" w:hAnsi="Segoe UI"/>
        </w:rPr>
        <w:br/>
        <w:t xml:space="preserve">And then we also see that they were not granted standing because there was not sufficient, not a sufficient interest or not a sufficient nexus between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interests of the Catholic Bishops Conference and the particular place. So looking at that, Justice Hayne commented on this. So it's a difference between, we already talked about matter under section 75 of the Constitution.</w:t>
      </w:r>
      <w:r>
        <w:rPr>
          <w:color w:val="323130"/>
          <w:sz w:val="4.3mm"/>
          <w:szCs w:val="4.3mm"/>
          <w:rFonts w:ascii="Segoe UI" w:cs="Segoe UI" w:eastAsia="Segoe UI" w:hAnsi="Segoe UI"/>
        </w:rPr>
        <w:br/>
        <w:t xml:space="preserve">And now this idea of standing. So Justice Hayne says, because a matter involves the existence of a controversy about some immediate right, duty or liability to be established by determination of the court, it will often be the case that an attempt by a person who has no more than a theoretical interest in the subject matter</w:t>
      </w:r>
      <w:r>
        <w:rPr>
          <w:color w:val="323130"/>
          <w:sz w:val="4.3mm"/>
          <w:szCs w:val="4.3mm"/>
          <w:rFonts w:ascii="Segoe UI" w:cs="Segoe UI" w:eastAsia="Segoe UI" w:hAnsi="Segoe UI"/>
        </w:rPr>
        <w:br/>
        <w:t xml:space="preserve">to agitate a question about the rights, duties or liabilities of another will not give rise to any matter. That conclusion can be and often is expressed in terms of standing. So where there isn't this nexus, where there isn't a sufficient interest,</w:t>
      </w:r>
      <w:r>
        <w:rPr>
          <w:color w:val="323130"/>
          <w:sz w:val="4.3mm"/>
          <w:szCs w:val="4.3mm"/>
          <w:rFonts w:ascii="Segoe UI" w:cs="Segoe UI" w:eastAsia="Segoe UI" w:hAnsi="Segoe UI"/>
        </w:rPr>
        <w:br/>
        <w:t xml:space="preserve">Where the interest is theoretical, and we'll see this in some other cases, because it's not a direct enough, a concrete enough interest, you will see that people are seen to not have a matter.</w:t>
      </w:r>
      <w:r>
        <w:rPr>
          <w:color w:val="323130"/>
          <w:sz w:val="4.3mm"/>
          <w:szCs w:val="4.3mm"/>
          <w:rFonts w:ascii="Segoe UI" w:cs="Segoe UI" w:eastAsia="Segoe UI" w:hAnsi="Segoe UI"/>
        </w:rPr>
        <w:br/>
        <w:t xml:space="preserve">a judicial matter, but the same considerations will mean that the court might conclude that they don't have standing. So you see this close connection between the standing and the matter in the common law. Now, what's interesting here, which is additional</w:t>
      </w:r>
      <w:r>
        <w:rPr>
          <w:color w:val="323130"/>
          <w:sz w:val="4.3mm"/>
          <w:szCs w:val="4.3mm"/>
          <w:rFonts w:ascii="Segoe UI" w:cs="Segoe UI" w:eastAsia="Segoe UI" w:hAnsi="Segoe UI"/>
        </w:rPr>
        <w:br/>
        <w:t xml:space="preserve">information that I'm providing you here. How did the Catholic, was there any other way that the Catholic Bishops Court could be involved? So they did end up being involved as a friend of the court, which we refer to as amicus curae and we'll talk about that.</w:t>
      </w:r>
      <w:r>
        <w:rPr>
          <w:color w:val="323130"/>
          <w:sz w:val="4.3mm"/>
          <w:szCs w:val="4.3mm"/>
          <w:rFonts w:ascii="Segoe UI" w:cs="Segoe UI" w:eastAsia="Segoe UI" w:hAnsi="Segoe UI"/>
        </w:rPr>
        <w:br/>
        <w:t xml:space="preserve">as we go through as well.</w:t>
      </w:r>
      <w:r>
        <w:rPr>
          <w:color w:val="323130"/>
          <w:sz w:val="4.3mm"/>
          <w:szCs w:val="4.3mm"/>
          <w:rFonts w:ascii="Segoe UI" w:cs="Segoe UI" w:eastAsia="Segoe UI" w:hAnsi="Segoe UI"/>
        </w:rPr>
        <w:br/>
        <w:t xml:space="preserve">And because they're a friend of the court, it meant that they don't have, you don't have appeal rights. So a friend of the court is when the court allows somebody to be sort of involved in the matter and put their view in a matter.</w:t>
      </w:r>
      <w:r>
        <w:rPr>
          <w:color w:val="323130"/>
          <w:sz w:val="4.3mm"/>
          <w:szCs w:val="4.3mm"/>
          <w:rFonts w:ascii="Segoe UI" w:cs="Segoe UI" w:eastAsia="Segoe UI" w:hAnsi="Segoe UI"/>
        </w:rPr>
        <w:br/>
        <w:t xml:space="preserve">even though they lack standing, even though they don't have sufficient interest. So they can, but a friend of the court doesn't have legal rights, responsibilities and duties as would a party to the proceedings. Now here, the AB, the Australian Catholic Bishops Conference did join as friends of the court.</w:t>
      </w:r>
      <w:r>
        <w:rPr>
          <w:color w:val="323130"/>
          <w:sz w:val="4.3mm"/>
          <w:szCs w:val="4.3mm"/>
          <w:rFonts w:ascii="Segoe UI" w:cs="Segoe UI" w:eastAsia="Segoe UI" w:hAnsi="Segoe UI"/>
        </w:rPr>
        <w:br/>
        <w:t xml:space="preserve">But and ultimately, you know, that was successful. It was a successful case of Section 109 inconsistency, but the Australian Catholic Bishops were still not happy. But because they were friends of the court, they couldn't appeal the decision. And then they sought an Attorney General's fiat.</w:t>
      </w:r>
      <w:r>
        <w:rPr>
          <w:color w:val="323130"/>
          <w:sz w:val="4.3mm"/>
          <w:szCs w:val="4.3mm"/>
          <w:rFonts w:ascii="Segoe UI" w:cs="Segoe UI" w:eastAsia="Segoe UI" w:hAnsi="Segoe UI"/>
        </w:rPr>
        <w:br/>
        <w:t xml:space="preserve">to allow them to bring an appeal out of the action. So they were granted the Fiat, but their request for appeal was unsuccessful in the High Court. So, you know, the High Court didn't hear the matter.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decision stood. So I love the comment that the bishops could only move diagonally. Thank you for chess buffs. So what is outlined for you here is that the number of avenues we've talked about, you have to have standing, there needs to be a matter, you have to have a standing, i.e. a special interest or a close nexus.</w:t>
      </w:r>
      <w:r>
        <w:rPr>
          <w:color w:val="323130"/>
          <w:sz w:val="4.3mm"/>
          <w:szCs w:val="4.3mm"/>
          <w:rFonts w:ascii="Segoe UI" w:cs="Segoe UI" w:eastAsia="Segoe UI" w:hAnsi="Segoe UI"/>
        </w:rPr>
        <w:br/>
        <w:t xml:space="preserve">If you don't have that, you might apply to the Attorney General in any context for them to take the case for you. You might apply for Attorney General's fiat. You might be joined as a friend of the court. So there are other avenues where people with particular views can get their</w:t>
      </w:r>
      <w:r>
        <w:rPr>
          <w:color w:val="323130"/>
          <w:sz w:val="4.3mm"/>
          <w:szCs w:val="4.3mm"/>
          <w:rFonts w:ascii="Segoe UI" w:cs="Segoe UI" w:eastAsia="Segoe UI" w:hAnsi="Segoe UI"/>
        </w:rPr>
        <w:br/>
        <w:t xml:space="preserve">views before the court. Clearly in this case, you know, the Catholic Bishops Conference is an important body, you know, an important voice in public policy. So the court was careful to have an Ave. in which they were included to a certain extent.</w:t>
      </w:r>
      <w:r>
        <w:rPr>
          <w:color w:val="323130"/>
          <w:sz w:val="4.3mm"/>
          <w:szCs w:val="4.3mm"/>
          <w:rFonts w:ascii="Segoe UI" w:cs="Segoe UI" w:eastAsia="Segoe UI" w:hAnsi="Segoe UI"/>
        </w:rPr>
        <w:br/>
        <w:t xml:space="preserve">Okay, as I said, Boyce, where we were talking about, this is the one where he was concerned that there was going to be an impaired of view from his property and the court made this comment about private rights and special damage.</w:t>
      </w:r>
      <w:r>
        <w:rPr>
          <w:color w:val="323130"/>
          <w:sz w:val="4.3mm"/>
          <w:szCs w:val="4.3mm"/>
          <w:rFonts w:ascii="Segoe UI" w:cs="Segoe UI" w:eastAsia="Segoe UI" w:hAnsi="Segoe UI"/>
        </w:rPr>
        <w:br/>
        <w:t xml:space="preserve">which I've already read out to you, and that that language then was changed to the special interest language in the Australian context. So...</w:t>
      </w:r>
      <w:r>
        <w:rPr>
          <w:color w:val="323130"/>
          <w:sz w:val="4.3mm"/>
          <w:szCs w:val="4.3mm"/>
          <w:rFonts w:ascii="Segoe UI" w:cs="Segoe UI" w:eastAsia="Segoe UI" w:hAnsi="Segoe UI"/>
        </w:rPr>
        <w:br/>
        <w:t xml:space="preserve">This brings us to a sort of a definition. Standing is a rule in administrative law that requires parties to demonstrate that they have a special interest in the subject matter of the decision they wish to challenge in judicial review proceedings. A stepping stone upon which all else depends, says Matthew Groves, who's a very respected</w:t>
      </w:r>
      <w:r>
        <w:rPr>
          <w:color w:val="323130"/>
          <w:sz w:val="4.3mm"/>
          <w:szCs w:val="4.3mm"/>
          <w:rFonts w:ascii="Segoe UI" w:cs="Segoe UI" w:eastAsia="Segoe UI" w:hAnsi="Segoe UI"/>
        </w:rPr>
        <w:br/>
        <w:t xml:space="preserve">administrative law, academic. And essentially the standing rules limit access to the courts. So you cannot, you always have to look to see whether standing is granted or standing is possible before you can move</w:t>
      </w:r>
      <w:r>
        <w:rPr>
          <w:color w:val="323130"/>
          <w:sz w:val="4.3mm"/>
          <w:szCs w:val="4.3mm"/>
          <w:rFonts w:ascii="Segoe UI" w:cs="Segoe UI" w:eastAsia="Segoe UI" w:hAnsi="Segoe UI"/>
        </w:rPr>
        <w:br/>
        <w:t xml:space="preserve">on. Now, Australian Conservation Foundation is the common law case and we call it, we don't call it ACT number one, we call it ACF number one because there's another case later on. Now, this one may surprise you because the Australian Conservation Foundation, as you know, is the peak environmental</w:t>
      </w:r>
      <w:r>
        <w:rPr>
          <w:color w:val="323130"/>
          <w:sz w:val="4.3mm"/>
          <w:szCs w:val="4.3mm"/>
          <w:rFonts w:ascii="Segoe UI" w:cs="Segoe UI" w:eastAsia="Segoe UI" w:hAnsi="Segoe UI"/>
        </w:rPr>
        <w:br/>
        <w:t xml:space="preserve">body in Australia, highly respected, very involved in a whole range of environmental decisions from state and federal governments. Now, what they sought to do in this case was to challenge a decision of the Reserve Bank to approve foreign investment for tourist development</w:t>
      </w:r>
      <w:r>
        <w:rPr>
          <w:color w:val="323130"/>
          <w:sz w:val="4.3mm"/>
          <w:szCs w:val="4.3mm"/>
          <w:rFonts w:ascii="Segoe UI" w:cs="Segoe UI" w:eastAsia="Segoe UI" w:hAnsi="Segoe UI"/>
        </w:rPr>
        <w:br/>
        <w:t xml:space="preserve">in Queensland. Now the resort was in Queensland.</w:t>
      </w:r>
      <w:r>
        <w:rPr>
          <w:color w:val="323130"/>
          <w:sz w:val="4.3mm"/>
          <w:szCs w:val="4.3mm"/>
          <w:rFonts w:ascii="Segoe UI" w:cs="Segoe UI" w:eastAsia="Segoe UI" w:hAnsi="Segoe UI"/>
        </w:rPr>
        <w:br/>
        <w:t xml:space="preserve">And the ACF had made a submission to government in relation to this, and they argued that some of its thousands of members across Australia might be impacted and they might be affected because...</w:t>
      </w:r>
      <w:r>
        <w:rPr>
          <w:color w:val="323130"/>
          <w:sz w:val="4.3mm"/>
          <w:szCs w:val="4.3mm"/>
          <w:rFonts w:ascii="Segoe UI" w:cs="Segoe UI" w:eastAsia="Segoe UI" w:hAnsi="Segoe UI"/>
        </w:rPr>
        <w:br/>
        <w:t xml:space="preserve">of the very important environmental interest of that particular area of land. I haven't labelled the two pictures here, but the one at the top here is actually a picture of the resort that actually arrived and</w:t>
      </w:r>
      <w:r>
        <w:rPr>
          <w:color w:val="323130"/>
          <w:sz w:val="4.3mm"/>
          <w:szCs w:val="4.3mm"/>
          <w:rFonts w:ascii="Segoe UI" w:cs="Segoe UI" w:eastAsia="Segoe UI" w:hAnsi="Segoe UI"/>
        </w:rPr>
        <w:br/>
        <w:t xml:space="preserve">the one at the bottom, although I don't think it's exactly the same place, is a picture of the, an untouched kind of tropical wilderness there. Now, this was one of the early cases in a sense where ACF tried to get involved in government decisions and they were actually unsuccessful.</w:t>
      </w:r>
      <w:r>
        <w:rPr>
          <w:color w:val="323130"/>
          <w:sz w:val="4.3mm"/>
          <w:szCs w:val="4.3mm"/>
          <w:rFonts w:ascii="Segoe UI" w:cs="Segoe UI" w:eastAsia="Segoe UI" w:hAnsi="Segoe UI"/>
        </w:rPr>
        <w:br/>
        <w:t xml:space="preserve">and they were unsuccessful because the court heard that they had no standing. They accepted the test in Boyce, which was a 1903 case we talked about on the previous slide. They accepted the special interest test that was in Boyce, and they said that the ACF</w:t>
      </w:r>
      <w:r>
        <w:rPr>
          <w:color w:val="323130"/>
          <w:sz w:val="4.3mm"/>
          <w:szCs w:val="4.3mm"/>
          <w:rFonts w:ascii="Segoe UI" w:cs="Segoe UI" w:eastAsia="Segoe UI" w:hAnsi="Segoe UI"/>
        </w:rPr>
        <w:br/>
        <w:t xml:space="preserve">did not have a special interest, that they had a mere emotional or intellectual concern. And that that kind of mere belief or that mere intellectual concern, however genuine, does not in itself constitute A sufficient</w:t>
      </w:r>
      <w:r>
        <w:rPr>
          <w:color w:val="323130"/>
          <w:sz w:val="4.3mm"/>
          <w:szCs w:val="4.3mm"/>
          <w:rFonts w:ascii="Segoe UI" w:cs="Segoe UI" w:eastAsia="Segoe UI" w:hAnsi="Segoe UI"/>
        </w:rPr>
        <w:br/>
        <w:t xml:space="preserve">Locus standi now.</w:t>
      </w:r>
      <w:r>
        <w:rPr>
          <w:color w:val="323130"/>
          <w:sz w:val="4.3mm"/>
          <w:szCs w:val="4.3mm"/>
          <w:rFonts w:ascii="Segoe UI" w:cs="Segoe UI" w:eastAsia="Segoe UI" w:hAnsi="Segoe UI"/>
        </w:rPr>
        <w:br/>
        <w:t xml:space="preserve">Looking back now, we might see this as quite a difficult decision and a surprise, but it is, you know, it's quite a long time ago now, 50, where are we, 20, 45 years ago now. In a, in a, in a...</w:t>
      </w:r>
      <w:r>
        <w:rPr>
          <w:color w:val="323130"/>
          <w:sz w:val="4.3mm"/>
          <w:szCs w:val="4.3mm"/>
          <w:rFonts w:ascii="Segoe UI" w:cs="Segoe UI" w:eastAsia="Segoe UI" w:hAnsi="Segoe UI"/>
        </w:rPr>
        <w:br/>
        <w:t xml:space="preserve">not a dissenting judgement, a supporting judgement, but in some different comments, Justice Gibbs said that a person might have a special interest in the preservation of a particular environment. So the argument here that it was too general, that all of those members of the ACF didn't have a close enough connection with this particular piece of remote.</w:t>
      </w:r>
      <w:r>
        <w:rPr>
          <w:color w:val="323130"/>
          <w:sz w:val="4.3mm"/>
          <w:szCs w:val="4.3mm"/>
          <w:rFonts w:ascii="Segoe UI" w:cs="Segoe UI" w:eastAsia="Segoe UI" w:hAnsi="Segoe UI"/>
        </w:rPr>
        <w:br/>
        <w:t xml:space="preserve">Land now, we contrast that with owners and Alcoa.</w:t>
      </w:r>
      <w:r>
        <w:rPr>
          <w:color w:val="323130"/>
          <w:sz w:val="4.3mm"/>
          <w:szCs w:val="4.3mm"/>
          <w:rFonts w:ascii="Segoe UI" w:cs="Segoe UI" w:eastAsia="Segoe UI" w:hAnsi="Segoe UI"/>
        </w:rPr>
        <w:br/>
        <w:t xml:space="preserve">Actually, let me just read this too. This is the special interest test in ACF number one. I would not deny that a person might have a special interest in the preservation of a particular environment. However, an interest for present purposes does not mean a mere intellectual or emotional concern. A person is not interested with the meaning of the rule unless he's likely to gain some advantage.</w:t>
      </w:r>
      <w:r>
        <w:rPr>
          <w:color w:val="323130"/>
          <w:sz w:val="4.3mm"/>
          <w:szCs w:val="4.3mm"/>
          <w:rFonts w:ascii="Segoe UI" w:cs="Segoe UI" w:eastAsia="Segoe UI" w:hAnsi="Segoe UI"/>
        </w:rPr>
        <w:br/>
        <w:t xml:space="preserve">other than the satisfaction of righting a wrong, upholding A principle or winning a contest if his action succeeds, ought to offer some disadvantage other than a sense of grievance or debt for costs of his action failed. I believe, however, strongly felt that the law generally, or a particular law, should be observed.</w:t>
      </w:r>
      <w:r>
        <w:rPr>
          <w:color w:val="323130"/>
          <w:sz w:val="4.3mm"/>
          <w:szCs w:val="4.3mm"/>
          <w:rFonts w:ascii="Segoe UI" w:cs="Segoe UI" w:eastAsia="Segoe UI" w:hAnsi="Segoe UI"/>
        </w:rPr>
        <w:br/>
        <w:t xml:space="preserve">or that conduct of particular kind should be prevented does not suffice to give it possessor locus standi. If that were not so, the rule requiring special interest would be meaningless and any plaintiff who felt strongly enough could bring an action. I'm sure you're familiar in other court cases with this, you know, open the floodgates kind of argument, which we see in quite a lot of areas of the law.</w:t>
      </w:r>
      <w:r>
        <w:rPr>
          <w:color w:val="323130"/>
          <w:sz w:val="4.3mm"/>
          <w:szCs w:val="4.3mm"/>
          <w:rFonts w:ascii="Segoe UI" w:cs="Segoe UI" w:eastAsia="Segoe UI" w:hAnsi="Segoe UI"/>
        </w:rPr>
        <w:br/>
        <w:t xml:space="preserve">It sounds anachronistic to us now because it is now accepted in the law that every individual has an interest in the preservation of the environment pretty much. And that's because of 50 years of lobbying and recognition.</w:t>
      </w:r>
      <w:r>
        <w:rPr>
          <w:color w:val="323130"/>
          <w:sz w:val="4.3mm"/>
          <w:szCs w:val="4.3mm"/>
          <w:rFonts w:ascii="Segoe UI" w:cs="Segoe UI" w:eastAsia="Segoe UI" w:hAnsi="Segoe UI"/>
        </w:rPr>
        <w:br/>
        <w:t xml:space="preserve">by the United Nations and other bodies about the importance of the environment. So we do see quite a shift over the last 50 years. But that was the case then.</w:t>
      </w:r>
      <w:r>
        <w:rPr>
          <w:color w:val="323130"/>
          <w:sz w:val="4.3mm"/>
          <w:szCs w:val="4.3mm"/>
          <w:rFonts w:ascii="Segoe UI" w:cs="Segoe UI" w:eastAsia="Segoe UI" w:hAnsi="Segoe UI"/>
        </w:rPr>
        <w:br/>
        <w:t xml:space="preserve">That's what, oh sorry, let me just go back. I just wanted to make a comment about Onus and Alcoa. So the comment by Justice Gibbs meant that it was possible in Onus and Alcoa, which was a Victorian case, where they were challenging the Alcoa smelter.</w:t>
      </w:r>
      <w:r>
        <w:rPr>
          <w:color w:val="323130"/>
          <w:sz w:val="4.3mm"/>
          <w:szCs w:val="4.3mm"/>
          <w:rFonts w:ascii="Segoe UI" w:cs="Segoe UI" w:eastAsia="Segoe UI" w:hAnsi="Segoe UI"/>
        </w:rPr>
        <w:br/>
        <w:t xml:space="preserve">Near Portland, and the Supreme Court in Victoria said that.</w:t>
      </w:r>
      <w:r>
        <w:rPr>
          <w:color w:val="323130"/>
          <w:sz w:val="4.3mm"/>
          <w:szCs w:val="4.3mm"/>
          <w:rFonts w:ascii="Segoe UI" w:cs="Segoe UI" w:eastAsia="Segoe UI" w:hAnsi="Segoe UI"/>
        </w:rPr>
        <w:br/>
        <w:t xml:space="preserve">There was no standing for onus, a member of the local Indigenous people. So the Supreme Court in Victoria followed ACF. However, when that got to the High Court, the High Court reversed that decision and saying that the special interest test</w:t>
      </w:r>
      <w:r>
        <w:rPr>
          <w:color w:val="323130"/>
          <w:sz w:val="4.3mm"/>
          <w:szCs w:val="4.3mm"/>
          <w:rFonts w:ascii="Segoe UI" w:cs="Segoe UI" w:eastAsia="Segoe UI" w:hAnsi="Segoe UI"/>
        </w:rPr>
        <w:br/>
        <w:t xml:space="preserve">did apply following Gibbs's little comment there, right? So you see already that we've got this evolution of the common law test. Hussein is the one I talked about at the beginning with the lovely busybodies.</w:t>
      </w:r>
      <w:r>
        <w:rPr>
          <w:color w:val="323130"/>
          <w:sz w:val="4.3mm"/>
          <w:szCs w:val="4.3mm"/>
          <w:rFonts w:ascii="Segoe UI" w:cs="Segoe UI" w:eastAsia="Segoe UI" w:hAnsi="Segoe UI"/>
        </w:rPr>
        <w:br/>
        <w:t xml:space="preserve">little comment that we talked about. Now, what's happened to standing since ACF? So Onus Alcoa, I just spoke about. In the High Court, Justice Brennan said that the applicants must show they are affected to a substantially greater degree.</w:t>
      </w:r>
      <w:r>
        <w:rPr>
          <w:color w:val="323130"/>
          <w:sz w:val="4.3mm"/>
          <w:szCs w:val="4.3mm"/>
          <w:rFonts w:ascii="Segoe UI" w:cs="Segoe UI" w:eastAsia="Segoe UI" w:hAnsi="Segoe UI"/>
        </w:rPr>
        <w:br/>
        <w:t xml:space="preserve">or in a significantly different manner than members of the general public. So here you've got a closer articulation of what that test is. Yes, they've got a special interest. A special interest might be a spiritual or cultural recognition to the land. How do you demonstrate that? You have to demonstrate</w:t>
      </w:r>
      <w:r>
        <w:rPr>
          <w:color w:val="323130"/>
          <w:sz w:val="4.3mm"/>
          <w:szCs w:val="4.3mm"/>
          <w:rFonts w:ascii="Segoe UI" w:cs="Segoe UI" w:eastAsia="Segoe UI" w:hAnsi="Segoe UI"/>
        </w:rPr>
        <w:br/>
        <w:t xml:space="preserve">that the individual or the group has that to a significantly greater degree than a member of the public. Now, this is still in the 80s, but we have recognition of that Aboriginal groups and Aboriginal claimants have that connection with the land which gives them a special interest.</w:t>
      </w:r>
      <w:r>
        <w:rPr>
          <w:color w:val="323130"/>
          <w:sz w:val="4.3mm"/>
          <w:szCs w:val="4.3mm"/>
          <w:rFonts w:ascii="Segoe UI" w:cs="Segoe UI" w:eastAsia="Segoe UI" w:hAnsi="Segoe UI"/>
        </w:rPr>
        <w:br/>
        <w:t xml:space="preserve">Where, in other places, people may not.</w:t>
      </w:r>
      <w:r>
        <w:rPr>
          <w:color w:val="323130"/>
          <w:sz w:val="4.3mm"/>
          <w:szCs w:val="4.3mm"/>
          <w:rFonts w:ascii="Segoe UI" w:cs="Segoe UI" w:eastAsia="Segoe UI" w:hAnsi="Segoe UI"/>
        </w:rPr>
        <w:br/>
        <w:t xml:space="preserve">Batemans Bay Local Aboriginal Council and the Aboriginal Community Benefit Fund Proprietary Limited is a 1998 case. So we've moved on a couple of decades now. This one was interesting because it</w:t>
      </w:r>
      <w:r>
        <w:rPr>
          <w:color w:val="323130"/>
          <w:sz w:val="4.3mm"/>
          <w:szCs w:val="4.3mm"/>
          <w:rFonts w:ascii="Segoe UI" w:cs="Segoe UI" w:eastAsia="Segoe UI" w:hAnsi="Segoe UI"/>
        </w:rPr>
        <w:br/>
        <w:t xml:space="preserve">It is a dispute between 2 Aboriginal organisations and both organisations had competing, sorry, both organisations were running operating funeral funds for the Indigenous community. And</w:t>
      </w:r>
      <w:r>
        <w:rPr>
          <w:color w:val="323130"/>
          <w:sz w:val="4.3mm"/>
          <w:szCs w:val="4.3mm"/>
          <w:rFonts w:ascii="Segoe UI" w:cs="Segoe UI" w:eastAsia="Segoe UI" w:hAnsi="Segoe UI"/>
        </w:rPr>
        <w:br/>
        <w:t xml:space="preserve">Here, the special interest test was retained, number one, it was retained, but it was recognised that a commercial interest is a special interest. So now we have a connection to an environment is a special interest.</w:t>
      </w:r>
      <w:r>
        <w:rPr>
          <w:color w:val="323130"/>
          <w:sz w:val="4.3mm"/>
          <w:szCs w:val="4.3mm"/>
          <w:rFonts w:ascii="Segoe UI" w:cs="Segoe UI" w:eastAsia="Segoe UI" w:hAnsi="Segoe UI"/>
        </w:rPr>
        <w:br/>
        <w:t xml:space="preserve">And, well, we have connection to private rights, special interest, connection to the environment, special interest, connection, a commercial interest becomes a special interest.</w:t>
      </w:r>
      <w:r>
        <w:rPr>
          <w:color w:val="323130"/>
          <w:sz w:val="4.3mm"/>
          <w:szCs w:val="4.3mm"/>
          <w:rFonts w:ascii="Segoe UI" w:cs="Segoe UI" w:eastAsia="Segoe UI" w:hAnsi="Segoe UI"/>
        </w:rPr>
        <w:br/>
        <w:t xml:space="preserve">So the High Court retained the special.</w:t>
      </w:r>
      <w:r>
        <w:rPr>
          <w:color w:val="323130"/>
          <w:sz w:val="4.3mm"/>
          <w:szCs w:val="4.3mm"/>
          <w:rFonts w:ascii="Segoe UI" w:cs="Segoe UI" w:eastAsia="Segoe UI" w:hAnsi="Segoe UI"/>
        </w:rPr>
        <w:br/>
        <w:t xml:space="preserve">interest here. And they also said that there was an unsatisfactory weighting of the scales in favour of defendant public bodies. So they're saying that public bodies were being given interest because of their connection with any particular</w:t>
      </w:r>
      <w:r>
        <w:rPr>
          <w:color w:val="323130"/>
          <w:sz w:val="4.3mm"/>
          <w:szCs w:val="4.3mm"/>
          <w:rFonts w:ascii="Segoe UI" w:cs="Segoe UI" w:eastAsia="Segoe UI" w:hAnsi="Segoe UI"/>
        </w:rPr>
        <w:br/>
        <w:t xml:space="preserve">interest, but that you should offer that interest also to commercial enterprises. So here in terms of the standing test, the commercial enterprise was able to, which is the Aboriginal Community Benefit Fund, was able to give them standing.</w:t>
      </w:r>
      <w:r>
        <w:rPr>
          <w:color w:val="323130"/>
          <w:sz w:val="4.3mm"/>
          <w:szCs w:val="4.3mm"/>
          <w:rFonts w:ascii="Segoe UI" w:cs="Segoe UI" w:eastAsia="Segoe UI" w:hAnsi="Segoe UI"/>
        </w:rPr>
        <w:br/>
        <w:t xml:space="preserve">It's A slight peculiarity in this one that there were two Indigenous organisations. But here you had the court really saying that standing rules should be enabling and not restrictive. So you kind of, you know, start to see this real evolution and willingness to expand the standing.</w:t>
      </w:r>
      <w:r>
        <w:rPr>
          <w:color w:val="323130"/>
          <w:sz w:val="4.3mm"/>
          <w:szCs w:val="4.3mm"/>
          <w:rFonts w:ascii="Segoe UI" w:cs="Segoe UI" w:eastAsia="Segoe UI" w:hAnsi="Segoe UI"/>
        </w:rPr>
        <w:br/>
        <w:t xml:space="preserve">Now, please take note that is standing in the common law. All of those cases that I've just talked about are standing in the common law. And then if you remember where we had in the 70s reform of judicial review, and these would have been common, even though the common law, they would have been common law cases for the reasons that we know they wouldn't have come</w:t>
      </w:r>
      <w:r>
        <w:rPr>
          <w:color w:val="323130"/>
          <w:sz w:val="4.3mm"/>
          <w:szCs w:val="4.3mm"/>
          <w:rFonts w:ascii="Segoe UI" w:cs="Segoe UI" w:eastAsia="Segoe UI" w:hAnsi="Segoe UI"/>
        </w:rPr>
        <w:br/>
        <w:t xml:space="preserve">under the ADJR Act for some reason. But now we need to look at standing under the ADJR Act and see what's happening there. OK, so what does what language does the ADJR Act use?</w:t>
      </w:r>
      <w:r>
        <w:rPr>
          <w:color w:val="323130"/>
          <w:sz w:val="4.3mm"/>
          <w:szCs w:val="4.3mm"/>
          <w:rFonts w:ascii="Segoe UI" w:cs="Segoe UI" w:eastAsia="Segoe UI" w:hAnsi="Segoe UI"/>
        </w:rPr>
        <w:br/>
        <w:t xml:space="preserve">And how do we understand that language? All right, so now we're shifting from common law judicial review to statutory judicial review under the ADJR Act. As we already saw last week, the ADJR Act Section 5, a person who is aggrieved by a decision may apply to the Federal Court for an order of review in respect of that decision.</w:t>
      </w:r>
      <w:r>
        <w:rPr>
          <w:color w:val="323130"/>
          <w:sz w:val="4.3mm"/>
          <w:szCs w:val="4.3mm"/>
          <w:rFonts w:ascii="Segoe UI" w:cs="Segoe UI" w:eastAsia="Segoe UI" w:hAnsi="Segoe UI"/>
        </w:rPr>
        <w:br/>
        <w:t xml:space="preserve">Okay, so a person aggrieved. Now, how do we understand a person aggrieved? We go to the definition section, ADGRX, section 3, subsection 4. In this act, a reference to a person aggrieved by a decision includes a reference</w:t>
      </w:r>
      <w:r>
        <w:rPr>
          <w:color w:val="323130"/>
          <w:sz w:val="4.3mm"/>
          <w:szCs w:val="4.3mm"/>
          <w:rFonts w:ascii="Segoe UI" w:cs="Segoe UI" w:eastAsia="Segoe UI" w:hAnsi="Segoe UI"/>
        </w:rPr>
        <w:br/>
        <w:t xml:space="preserve">To a person whose interests are adversely affected by the decision.</w:t>
      </w:r>
      <w:r>
        <w:rPr>
          <w:color w:val="323130"/>
          <w:sz w:val="4.3mm"/>
          <w:szCs w:val="4.3mm"/>
          <w:rFonts w:ascii="Segoe UI" w:cs="Segoe UI" w:eastAsia="Segoe UI" w:hAnsi="Segoe UI"/>
        </w:rPr>
        <w:br/>
        <w:t xml:space="preserve">Or in the case of a report or recommendation, a person whose interests would be adversely affected if the decision were made in accordance with the recommendation. Okay, so when you come to an exam question perhaps or something,</w:t>
      </w:r>
      <w:r>
        <w:rPr>
          <w:color w:val="323130"/>
          <w:sz w:val="4.3mm"/>
          <w:szCs w:val="4.3mm"/>
          <w:rFonts w:ascii="Segoe UI" w:cs="Segoe UI" w:eastAsia="Segoe UI" w:hAnsi="Segoe UI"/>
        </w:rPr>
        <w:br/>
        <w:t xml:space="preserve">or something with respect to the ADGR Act, you have to cite both Section 51 and Section 3, Subsection 4, because the language in the ADGR Act is person aggrieved. Is person aggrieved the same as the special interest test at common law?</w:t>
      </w:r>
      <w:r>
        <w:rPr>
          <w:color w:val="323130"/>
          <w:sz w:val="4.3mm"/>
          <w:szCs w:val="4.3mm"/>
          <w:rFonts w:ascii="Segoe UI" w:cs="Segoe UI" w:eastAsia="Segoe UI" w:hAnsi="Segoe UI"/>
        </w:rPr>
        <w:br/>
        <w:t xml:space="preserve">It's not the same, but it includes. So the starting point is definitely that it is that your special, your interests are adversely affected. Now, as you'll see as we go through the case law, what we tend to get is a fair bit of alignment now between the common law and the ADGR Act.</w:t>
      </w:r>
      <w:r>
        <w:rPr>
          <w:color w:val="323130"/>
          <w:sz w:val="4.3mm"/>
          <w:szCs w:val="4.3mm"/>
          <w:rFonts w:ascii="Segoe UI" w:cs="Segoe UI" w:eastAsia="Segoe UI" w:hAnsi="Segoe UI"/>
        </w:rPr>
        <w:br/>
        <w:t xml:space="preserve">But under the AGR Act, you need to be a person aggrieved and demonstrate that you are a person aggrieved. And it also gives you, this is respect to the common law. If you remember, we talked last week about whether decisions were fine or whether they're stepping stone decisions, but here</w:t>
      </w:r>
      <w:r>
        <w:rPr>
          <w:color w:val="323130"/>
          <w:sz w:val="4.3mm"/>
          <w:szCs w:val="4.3mm"/>
          <w:rFonts w:ascii="Segoe UI" w:cs="Segoe UI" w:eastAsia="Segoe UI" w:hAnsi="Segoe UI"/>
        </w:rPr>
        <w:br/>
        <w:t xml:space="preserve">If your interests would be affected by the recommendation, so and we'll see when we look at Section 5 and Section 6 of the ADJR Act next week, how that operates, so...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 so in the 1980 case of Ellicott, which is Tooheys Limited and the Minister of Business and Consumer Affairs, Tooheys is obviously a brand of beer. What did it say about the standing test?</w:t>
      </w:r>
      <w:r>
        <w:rPr>
          <w:color w:val="323130"/>
          <w:sz w:val="4.3mm"/>
          <w:szCs w:val="4.3mm"/>
          <w:rFonts w:ascii="Segoe UI" w:cs="Segoe UI" w:eastAsia="Segoe UI" w:hAnsi="Segoe UI"/>
        </w:rPr>
        <w:br/>
        <w:t xml:space="preserve">Okay, Patrick's asked a question. Not necessarily. It depends on it depends on the case that you're looking at. If your case is 1 where if your case, if you have a problem or a question,</w:t>
      </w:r>
      <w:r>
        <w:rPr>
          <w:color w:val="323130"/>
          <w:sz w:val="4.3mm"/>
          <w:szCs w:val="4.3mm"/>
          <w:rFonts w:ascii="Segoe UI" w:cs="Segoe UI" w:eastAsia="Segoe UI" w:hAnsi="Segoe UI"/>
        </w:rPr>
        <w:br/>
        <w:t xml:space="preserve">where you're asked to look at what of the standing rules, you would say what are the standing rules under the ADGR Act? You would look at the case law and the rules that are expressly made with respect to ADGR Act decisions. However, over time, what we see is a confluence of the common law and the ADGR Act. So if you had a</w:t>
      </w:r>
      <w:r>
        <w:rPr>
          <w:color w:val="323130"/>
          <w:sz w:val="4.3mm"/>
          <w:szCs w:val="4.3mm"/>
          <w:rFonts w:ascii="Segoe UI" w:cs="Segoe UI" w:eastAsia="Segoe UI" w:hAnsi="Segoe UI"/>
        </w:rPr>
        <w:br/>
        <w:t xml:space="preserve">case or had a situation or a fact situation that wasn't quite covered by any of the case law relevant to the ADGR Act, it would be appropriate to argue by analogy with common law case law looking at special interests, right, because you've got section 3.4</w:t>
      </w:r>
      <w:r>
        <w:rPr>
          <w:color w:val="323130"/>
          <w:sz w:val="4.3mm"/>
          <w:szCs w:val="4.3mm"/>
          <w:rFonts w:ascii="Segoe UI" w:cs="Segoe UI" w:eastAsia="Segoe UI" w:hAnsi="Segoe UI"/>
        </w:rPr>
        <w:br/>
        <w:t xml:space="preserve">including special interest. So I guess that means, I guess I'm agreeing with you there, Patrick, but just be clear when you're answering a question about how you do that. The word a person who is aggrieved should not be given a narrow construction. They should not, therefore, be confined to persons who can establish that they have a legal interest at stake.</w:t>
      </w:r>
      <w:r>
        <w:rPr>
          <w:color w:val="323130"/>
          <w:sz w:val="4.3mm"/>
          <w:szCs w:val="4.3mm"/>
          <w:rFonts w:ascii="Segoe UI" w:cs="Segoe UI" w:eastAsia="Segoe UI" w:hAnsi="Segoe UI"/>
        </w:rPr>
        <w:br/>
        <w:t xml:space="preserve">in making of the decision, so legal interest is the voice one. I'm satisfied that a broad nature of the discretions which are subject to review and from the fact that the procedures are clearly intended in part to be a substitution for a more complex prerogative writ procedures that narrow meaning</w:t>
      </w:r>
      <w:r>
        <w:rPr>
          <w:color w:val="323130"/>
          <w:sz w:val="4.3mm"/>
          <w:szCs w:val="4.3mm"/>
          <w:rFonts w:ascii="Segoe UI" w:cs="Segoe UI" w:eastAsia="Segoe UI" w:hAnsi="Segoe UI"/>
        </w:rPr>
        <w:br/>
        <w:t xml:space="preserve">was not intended. This does not mean that any member of the public can seek an order of review. I am satisfied, however, that it at least covers a person who can show a grievance which will be suffered as a result of the decision complained of. Beyond that,</w:t>
      </w:r>
      <w:r>
        <w:rPr>
          <w:color w:val="323130"/>
          <w:sz w:val="4.3mm"/>
          <w:szCs w:val="4.3mm"/>
          <w:rFonts w:ascii="Segoe UI" w:cs="Segoe UI" w:eastAsia="Segoe UI" w:hAnsi="Segoe UI"/>
        </w:rPr>
        <w:br/>
        <w:t xml:space="preserve">which he or she has as an ordinary member of the public. Okay, so here in, I mean, I think it was about terrorists for beer here, but you can hear here the language of owners in Alcoa that went to the High Court, the language about...</w:t>
      </w:r>
      <w:r>
        <w:rPr>
          <w:color w:val="323130"/>
          <w:sz w:val="4.3mm"/>
          <w:szCs w:val="4.3mm"/>
          <w:rFonts w:ascii="Segoe UI" w:cs="Segoe UI" w:eastAsia="Segoe UI" w:hAnsi="Segoe UI"/>
        </w:rPr>
        <w:br/>
        <w:t xml:space="preserve">a grievance or a special interest that is greater than another member of the public. That here is what's articulated in by Justice Elliot. And so under the ADGR Act, you have this test, which is that you merely have to demonstrate that</w:t>
      </w:r>
      <w:r>
        <w:rPr>
          <w:color w:val="323130"/>
          <w:sz w:val="4.3mm"/>
          <w:szCs w:val="4.3mm"/>
          <w:rFonts w:ascii="Segoe UI" w:cs="Segoe UI" w:eastAsia="Segoe UI" w:hAnsi="Segoe UI"/>
        </w:rPr>
        <w:br/>
        <w:t xml:space="preserve">there is going to be a grievance and that's greater than a member of the public. But pay attention to the beginning of this paragraph, which is the recognition by the High Court that it is intended to be legislation that gives</w:t>
      </w:r>
      <w:r>
        <w:rPr>
          <w:color w:val="323130"/>
          <w:sz w:val="4.3mm"/>
          <w:szCs w:val="4.3mm"/>
          <w:rFonts w:ascii="Segoe UI" w:cs="Segoe UI" w:eastAsia="Segoe UI" w:hAnsi="Segoe UI"/>
        </w:rPr>
        <w:br/>
        <w:t xml:space="preserve">broader access. It is intended to move away from the narrow constrictions of common law writs. It is intended to be beneficial legislation. Is it intended to be given a broad construction? It's not open slather, but it is intended to be given a broad construction.</w:t>
      </w:r>
      <w:r>
        <w:rPr>
          <w:color w:val="323130"/>
          <w:sz w:val="4.3mm"/>
          <w:szCs w:val="4.3mm"/>
          <w:rFonts w:ascii="Segoe UI" w:cs="Segoe UI" w:eastAsia="Segoe UI" w:hAnsi="Segoe UI"/>
        </w:rPr>
        <w:br/>
        <w:t xml:space="preserve">Should you be needing to argue for your client that they do have standing, these are the kind of principles that you would take into account.</w:t>
      </w:r>
      <w:r>
        <w:rPr>
          <w:color w:val="323130"/>
          <w:sz w:val="4.3mm"/>
          <w:szCs w:val="4.3mm"/>
          <w:rFonts w:ascii="Segoe UI" w:cs="Segoe UI" w:eastAsia="Segoe UI" w:hAnsi="Segoe UI"/>
        </w:rPr>
        <w:br/>
        <w:t xml:space="preserve">Now, that's a picture of Chief Justice French, if you didn't recognise him. So standing, and this is just another expression of where we are, and this is now 2014, so we've moved closer in time. Standing to challenge a decision under the ADGR Act</w:t>
      </w:r>
      <w:r>
        <w:rPr>
          <w:color w:val="323130"/>
          <w:sz w:val="4.3mm"/>
          <w:szCs w:val="4.3mm"/>
          <w:rFonts w:ascii="Segoe UI" w:cs="Segoe UI" w:eastAsia="Segoe UI" w:hAnsi="Segoe UI"/>
        </w:rPr>
        <w:br/>
        <w:t xml:space="preserve">is determined by Section 5 of the Act. The authorities which address the question of standing under the General Law afford some assistance in understanding the kinds of interests which may be relevant and the kinds of effect that may be regarded as adverse.</w:t>
      </w:r>
      <w:r>
        <w:rPr>
          <w:color w:val="323130"/>
          <w:sz w:val="4.3mm"/>
          <w:szCs w:val="4.3mm"/>
          <w:rFonts w:ascii="Segoe UI" w:cs="Segoe UI" w:eastAsia="Segoe UI" w:hAnsi="Segoe UI"/>
        </w:rPr>
        <w:br/>
        <w:t xml:space="preserve">Okay, so really this is saying, section 5, person aggrieved, but you can look to the common law for the sort of categories of interest and the kinds of things that you might argue.</w:t>
      </w:r>
      <w:r>
        <w:rPr>
          <w:color w:val="323130"/>
          <w:sz w:val="4.3mm"/>
          <w:szCs w:val="4.3mm"/>
          <w:rFonts w:ascii="Segoe UI" w:cs="Segoe UI" w:eastAsia="Segoe UI" w:hAnsi="Segoe UI"/>
        </w:rPr>
        <w:br/>
        <w:t xml:space="preserve">So, that was Justice French and Justice Keane in Argos, and I'll talk about Argos in a little more in a little more detail. So, what are we saying here? The Common Law Special Interest Test and the ADJR Acts Person Aggrieve Test.</w:t>
      </w:r>
      <w:r>
        <w:rPr>
          <w:color w:val="323130"/>
          <w:sz w:val="4.3mm"/>
          <w:szCs w:val="4.3mm"/>
          <w:rFonts w:ascii="Segoe UI" w:cs="Segoe UI" w:eastAsia="Segoe UI" w:hAnsi="Segoe UI"/>
        </w:rPr>
        <w:br/>
        <w:t xml:space="preserve">are generally treated as an identical threshold by the courts. But if push came to shove, it would be much easier to argue and that the ADGR Act ground is intended to be broader, you know, if you had an unusual interest that hadn't really been covered by some of the case law.</w:t>
      </w:r>
      <w:r>
        <w:rPr>
          <w:color w:val="323130"/>
          <w:sz w:val="4.3mm"/>
          <w:szCs w:val="4.3mm"/>
          <w:rFonts w:ascii="Segoe UI" w:cs="Segoe UI" w:eastAsia="Segoe UI" w:hAnsi="Segoe UI"/>
        </w:rPr>
        <w:br/>
        <w:t xml:space="preserve">You know, you were under the Age of Jour Act, you could argue that it's a broader, a broader ground.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so this which does leave the question, what is the scope of the standing interest test? What are the kind of issues that are raised in public interest litigation? What is the status of organisations? How do we how do we work our way through?</w:t>
      </w:r>
      <w:r>
        <w:rPr>
          <w:color w:val="323130"/>
          <w:sz w:val="4.3mm"/>
          <w:szCs w:val="4.3mm"/>
          <w:rFonts w:ascii="Segoe UI" w:cs="Segoe UI" w:eastAsia="Segoe UI" w:hAnsi="Segoe UI"/>
        </w:rPr>
        <w:br/>
        <w:t xml:space="preserve">Those kind of questions.</w:t>
      </w:r>
      <w:r>
        <w:rPr>
          <w:color w:val="323130"/>
          <w:sz w:val="4.3mm"/>
          <w:szCs w:val="4.3mm"/>
          <w:rFonts w:ascii="Segoe UI" w:cs="Segoe UI" w:eastAsia="Segoe UI" w:hAnsi="Segoe UI"/>
        </w:rPr>
        <w:br/>
        <w:t xml:space="preserve">And this cute picture is meant to just remind you that it is this standing out from the crowd kind of idea. You have to show, yes, you have to show that you're a person aggrieved, but you have to show that it's greater than the general public. So you've got to be a penguin.</w:t>
      </w:r>
      <w:r>
        <w:rPr>
          <w:color w:val="323130"/>
          <w:sz w:val="4.3mm"/>
          <w:szCs w:val="4.3mm"/>
          <w:rFonts w:ascii="Segoe UI" w:cs="Segoe UI" w:eastAsia="Segoe UI" w:hAnsi="Segoe UI"/>
        </w:rPr>
        <w:br/>
        <w:t xml:space="preserve">With colours. Okay. Now, as I mentioned to you, we've already looked at the Australian Conservation Foundation case in the Commonwealth, which I refer to as ACF number one. But there's another case which we'll look at now, which is ACF number</w:t>
      </w:r>
      <w:r>
        <w:rPr>
          <w:color w:val="323130"/>
          <w:sz w:val="4.3mm"/>
          <w:szCs w:val="4.3mm"/>
          <w:rFonts w:ascii="Segoe UI" w:cs="Segoe UI" w:eastAsia="Segoe UI" w:hAnsi="Segoe UI"/>
        </w:rPr>
        <w:br/>
        <w:t xml:space="preserve">in which the ACF was granted standing and this is 1989, so it was only, you know, nine years later, but quite an important one so that the ACF, yes, the important one so that the ACF can, as a public litigator, is given standing.</w:t>
      </w:r>
      <w:r>
        <w:rPr>
          <w:color w:val="323130"/>
          <w:sz w:val="4.3mm"/>
          <w:szCs w:val="4.3mm"/>
          <w:rFonts w:ascii="Segoe UI" w:cs="Segoe UI" w:eastAsia="Segoe UI" w:hAnsi="Segoe UI"/>
        </w:rPr>
        <w:br/>
        <w:t xml:space="preserve">The North Coast Environmental Council gives us a bit of more detail about that, as do these other cases, as do Animal Angel's case. So these give us a bit more nuance to think about this test. And then we have some that give us some sort of contradictory or some balancing so that we've got a bit more material.</w:t>
      </w:r>
      <w:r>
        <w:rPr>
          <w:color w:val="323130"/>
          <w:sz w:val="4.3mm"/>
          <w:szCs w:val="4.3mm"/>
          <w:rFonts w:ascii="Segoe UI" w:cs="Segoe UI" w:eastAsia="Segoe UI" w:hAnsi="Segoe UI"/>
        </w:rPr>
        <w:br/>
        <w:t xml:space="preserve">With which we can discuss, and.</w:t>
      </w:r>
      <w:r>
        <w:rPr>
          <w:color w:val="323130"/>
          <w:sz w:val="4.3mm"/>
          <w:szCs w:val="4.3mm"/>
          <w:rFonts w:ascii="Segoe UI" w:cs="Segoe UI" w:eastAsia="Segoe UI" w:hAnsi="Segoe UI"/>
        </w:rPr>
        <w:br/>
        <w:t xml:space="preserve">Now, for some reason, oh yeah, okay, well, we'll start with this one, as I mentioned. The Australian Conservation Foundation case, which is ACF #2. Now, in that case, look, I think the ACF was careful to make its argument a little bit more pointed, given its defeat 9 years earlier.</w:t>
      </w:r>
      <w:r>
        <w:rPr>
          <w:color w:val="323130"/>
          <w:sz w:val="4.3mm"/>
          <w:szCs w:val="4.3mm"/>
          <w:rFonts w:ascii="Segoe UI" w:cs="Segoe UI" w:eastAsia="Segoe UI" w:hAnsi="Segoe UI"/>
        </w:rPr>
        <w:br/>
        <w:t xml:space="preserve">But just as Davies recognised in this case, they did recognise ACF standing, not as a landowner whose property adjoined the site where a challenged development was planned. So there was a development was planned, the ACF was challenging it, people who lived around the development were challenging it, they had standing.</w:t>
      </w:r>
      <w:r>
        <w:rPr>
          <w:color w:val="323130"/>
          <w:sz w:val="4.3mm"/>
          <w:szCs w:val="4.3mm"/>
          <w:rFonts w:ascii="Segoe UI" w:cs="Segoe UI" w:eastAsia="Segoe UI" w:hAnsi="Segoe UI"/>
        </w:rPr>
        <w:br/>
        <w:t xml:space="preserve">So the question was, can ACF, as a public litigant, as a peak public interest body, can they be given standing? And so in 1989, the High Court said, the community at the present time expect that there will be a body such as the ACF to concern itself with this particular issue.</w:t>
      </w:r>
      <w:r>
        <w:rPr>
          <w:color w:val="323130"/>
          <w:sz w:val="4.3mm"/>
          <w:szCs w:val="4.3mm"/>
          <w:rFonts w:ascii="Segoe UI" w:cs="Segoe UI" w:eastAsia="Segoe UI" w:hAnsi="Segoe UI"/>
        </w:rPr>
        <w:br/>
        <w:t xml:space="preserve">and expects the ACF to act in the public interest to put forward a conservation viewpoint as a counter to the viewpoint of economic exploitation. So this is quite an important statement by the court.</w:t>
      </w:r>
      <w:r>
        <w:rPr>
          <w:color w:val="323130"/>
          <w:sz w:val="4.3mm"/>
          <w:szCs w:val="4.3mm"/>
          <w:rFonts w:ascii="Segoe UI" w:cs="Segoe UI" w:eastAsia="Segoe UI" w:hAnsi="Segoe UI"/>
        </w:rPr>
        <w:br/>
        <w:t xml:space="preserve">by Justice Davies in 1989, which recognises that the public interest litigants have a legitimate grievance under the ADGR Act and can be given standing from a public interest point of view. So this kind of idea of nexus.</w:t>
      </w:r>
      <w:r>
        <w:rPr>
          <w:color w:val="323130"/>
          <w:sz w:val="4.3mm"/>
          <w:szCs w:val="4.3mm"/>
          <w:rFonts w:ascii="Segoe UI" w:cs="Segoe UI" w:eastAsia="Segoe UI" w:hAnsi="Segoe UI"/>
        </w:rPr>
        <w:br/>
        <w:t xml:space="preserve">The nexus is the nexus there is a nexus between what the community expects of a public interest litigant in public law. So a slightly different turn of phrase. Now there's another case.</w:t>
      </w:r>
      <w:r>
        <w:rPr>
          <w:color w:val="323130"/>
          <w:sz w:val="4.3mm"/>
          <w:szCs w:val="4.3mm"/>
          <w:rFonts w:ascii="Segoe UI" w:cs="Segoe UI" w:eastAsia="Segoe UI" w:hAnsi="Segoe UI"/>
        </w:rPr>
        <w:br/>
        <w:t xml:space="preserve">which is actually quite important then, following on. It is actually before, oh sorry, it's five years after the, so.</w:t>
      </w:r>
      <w:r>
        <w:rPr>
          <w:color w:val="323130"/>
          <w:sz w:val="4.3mm"/>
          <w:szCs w:val="4.3mm"/>
          <w:rFonts w:ascii="Segoe UI" w:cs="Segoe UI" w:eastAsia="Segoe UI" w:hAnsi="Segoe UI"/>
        </w:rPr>
        <w:br/>
        <w:t xml:space="preserve">I always find it helpful to have a chronology, but the first, ACF number one is 1980, ACF #2 is 1989. This one, the North Coast, is 1994. Now North Coast is probably the case where you get the clearest articulation of the requirements of public interest</w:t>
      </w:r>
      <w:r>
        <w:rPr>
          <w:color w:val="323130"/>
          <w:sz w:val="4.3mm"/>
          <w:szCs w:val="4.3mm"/>
          <w:rFonts w:ascii="Segoe UI" w:cs="Segoe UI" w:eastAsia="Segoe UI" w:hAnsi="Segoe UI"/>
        </w:rPr>
        <w:br/>
        <w:t xml:space="preserve">For a public interest body section.</w:t>
      </w:r>
      <w:r>
        <w:rPr>
          <w:color w:val="323130"/>
          <w:sz w:val="4.3mm"/>
          <w:szCs w:val="4.3mm"/>
          <w:rFonts w:ascii="Segoe UI" w:cs="Segoe UI" w:eastAsia="Segoe UI" w:hAnsi="Segoe UI"/>
        </w:rPr>
        <w:br/>
        <w:t xml:space="preserve">As we know, it.</w:t>
      </w:r>
      <w:r>
        <w:rPr>
          <w:color w:val="323130"/>
          <w:sz w:val="4.3mm"/>
          <w:szCs w:val="4.3mm"/>
          <w:rFonts w:ascii="Segoe UI" w:cs="Segoe UI" w:eastAsia="Segoe UI" w:hAnsi="Segoe UI"/>
        </w:rPr>
        <w:br/>
        <w:t xml:space="preserve">section 5 of the ADGR Act, but it's also in section 13. He has to be a person aggrieved. And in this one, this is the asking for reasons. Section 13 is the right to ask for reasons. So you have to be a person aggrieved to write for reasons as well. And here, the North Coast Environmental Council was seeking reasons for the minister.</w:t>
      </w:r>
      <w:r>
        <w:rPr>
          <w:color w:val="323130"/>
          <w:sz w:val="4.3mm"/>
          <w:szCs w:val="4.3mm"/>
          <w:rFonts w:ascii="Segoe UI" w:cs="Segoe UI" w:eastAsia="Segoe UI" w:hAnsi="Segoe UI"/>
        </w:rPr>
        <w:br/>
        <w:t xml:space="preserve">For granting A sawmill license, 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 this case, Justice Sackville defined the nature of the standing test for public interest groups. So he's saying that there needs, you just can't say, I'm a public interest group. You have to demonstrate that you've got these characteristics. Yes, you have to be a peak organisation.</w:t>
      </w:r>
      <w:r>
        <w:rPr>
          <w:color w:val="323130"/>
          <w:sz w:val="4.3mm"/>
          <w:szCs w:val="4.3mm"/>
          <w:rFonts w:ascii="Segoe UI" w:cs="Segoe UI" w:eastAsia="Segoe UI" w:hAnsi="Segoe UI"/>
        </w:rPr>
        <w:br/>
        <w:t xml:space="preserve">You have to be recognised by the Commonwealth Government through consultation and recurrent funding. So meaning that it isn't just enough to be kind of a lobby group, you need to be one who is involved with government, makes submissions, is called on by government to make consultations.</w:t>
      </w:r>
      <w:r>
        <w:rPr>
          <w:color w:val="323130"/>
          <w:sz w:val="4.3mm"/>
          <w:szCs w:val="4.3mm"/>
          <w:rFonts w:ascii="Segoe UI" w:cs="Segoe UI" w:eastAsia="Segoe UI" w:hAnsi="Segoe UI"/>
        </w:rPr>
        <w:br/>
        <w:t xml:space="preserve">Might receive funding from grants or other things to do research, whatever that is, you.</w:t>
      </w:r>
      <w:r>
        <w:rPr>
          <w:color w:val="323130"/>
          <w:sz w:val="4.3mm"/>
          <w:szCs w:val="4.3mm"/>
          <w:rFonts w:ascii="Segoe UI" w:cs="Segoe UI" w:eastAsia="Segoe UI" w:hAnsi="Segoe UI"/>
        </w:rPr>
        <w:br/>
        <w:t xml:space="preserve">have conducted or are coordinating projects. So really, or going to conferences, making yourself heard, having, doesn't say this here, but you know, having a website, being active in that public interest area, you really need to demonstrate that you are.</w:t>
      </w:r>
      <w:r>
        <w:rPr>
          <w:color w:val="323130"/>
          <w:sz w:val="4.3mm"/>
          <w:szCs w:val="4.3mm"/>
          <w:rFonts w:ascii="Segoe UI" w:cs="Segoe UI" w:eastAsia="Segoe UI" w:hAnsi="Segoe UI"/>
        </w:rPr>
        <w:br/>
        <w:t xml:space="preserve">a player in the game. In this case, the North Coast Environmental Council could demonstrate all of those things. They were a peak, they'd been consulted, they had funding, they were advising the New South Wales government, blah, blah, blah, they were making submissions. So they were...</w:t>
      </w:r>
      <w:r>
        <w:rPr>
          <w:color w:val="323130"/>
          <w:sz w:val="4.3mm"/>
          <w:szCs w:val="4.3mm"/>
          <w:rFonts w:ascii="Segoe UI" w:cs="Segoe UI" w:eastAsia="Segoe UI" w:hAnsi="Segoe UI"/>
        </w:rPr>
        <w:br/>
        <w:t xml:space="preserve">They were definitely a player in the game. And these are the ways in which a peak body or a public interest body demonstrates that they have more than a mere intellectual or emotional concern and they're not a mere busybody. Here's the language again of the busy body language. So you've got to show for a public</w:t>
      </w:r>
      <w:r>
        <w:rPr>
          <w:color w:val="323130"/>
          <w:sz w:val="4.3mm"/>
          <w:szCs w:val="4.3mm"/>
          <w:rFonts w:ascii="Segoe UI" w:cs="Segoe UI" w:eastAsia="Segoe UI" w:hAnsi="Segoe UI"/>
        </w:rPr>
        <w:br/>
        <w:t xml:space="preserve">interest organisation, you know, whereas, so this is in kind of New South Wales, whereas the Commonwealth in the ACF number two case, we see the ACF, you know, being given its rightful place as somewhere that, you know, the whole community recognises is a public interest litigate on their own.</w:t>
      </w:r>
      <w:r>
        <w:rPr>
          <w:color w:val="323130"/>
          <w:sz w:val="4.3mm"/>
          <w:szCs w:val="4.3mm"/>
          <w:rFonts w:ascii="Segoe UI" w:cs="Segoe UI" w:eastAsia="Segoe UI" w:hAnsi="Segoe UI"/>
        </w:rPr>
        <w:br/>
        <w:t xml:space="preserve">in North Coast, it's a smaller peak and you don't have that automatic recognition of it as a public interest litigate, so you have to have a think about.</w:t>
      </w:r>
      <w:r>
        <w:rPr>
          <w:color w:val="323130"/>
          <w:sz w:val="4.3mm"/>
          <w:szCs w:val="4.3mm"/>
          <w:rFonts w:ascii="Segoe UI" w:cs="Segoe UI" w:eastAsia="Segoe UI" w:hAnsi="Segoe UI"/>
        </w:rPr>
        <w:br/>
        <w:t xml:space="preserve">How does that qualify? So those characteristics set out in North Coast are very important ones that you need to hang on to. Now.</w:t>
      </w:r>
      <w:r>
        <w:rPr>
          <w:color w:val="323130"/>
          <w:sz w:val="4.3mm"/>
          <w:szCs w:val="4.3mm"/>
          <w:rFonts w:ascii="Segoe UI" w:cs="Segoe UI" w:eastAsia="Segoe UI" w:hAnsi="Segoe UI"/>
        </w:rPr>
        <w:br/>
        <w:t xml:space="preserve">Okay, so we've said there has to be a special interest, but we might want to think about what is sufficient interest? What would is it? Do you need to have a lot of interest? Is a little bit of interest okay? How do we work that out? This case, Animal Angels and the Secretary of the Department of Agriculture was in 200 and sorry, 2014.</w:t>
      </w:r>
      <w:r>
        <w:rPr>
          <w:color w:val="323130"/>
          <w:sz w:val="4.3mm"/>
          <w:szCs w:val="4.3mm"/>
          <w:rFonts w:ascii="Segoe UI" w:cs="Segoe UI" w:eastAsia="Segoe UI" w:hAnsi="Segoe UI"/>
        </w:rPr>
        <w:br/>
        <w:t xml:space="preserve">And it was a global, it was a global.</w:t>
      </w:r>
      <w:r>
        <w:rPr>
          <w:color w:val="323130"/>
          <w:sz w:val="4.3mm"/>
          <w:szCs w:val="4.3mm"/>
          <w:rFonts w:ascii="Segoe UI" w:cs="Segoe UI" w:eastAsia="Segoe UI" w:hAnsi="Segoe UI"/>
        </w:rPr>
        <w:br/>
        <w:t xml:space="preserve">environment organisation really that was interested in animals and protection of animals and cruelty to animals. And but it was a German based organisation and it had no Australian members.</w:t>
      </w:r>
      <w:r>
        <w:rPr>
          <w:color w:val="323130"/>
          <w:sz w:val="4.3mm"/>
          <w:szCs w:val="4.3mm"/>
          <w:rFonts w:ascii="Segoe UI" w:cs="Segoe UI" w:eastAsia="Segoe UI" w:hAnsi="Segoe UI"/>
        </w:rPr>
        <w:br/>
        <w:t xml:space="preserve">However, it had been conducting investigations in Australia, so it had a presence in Australia, a research presence in Australia, and doing, you know, doing things relevant to the animal welfare in Australia. That was</w:t>
      </w:r>
      <w:r>
        <w:rPr>
          <w:color w:val="323130"/>
          <w:sz w:val="4.3mm"/>
          <w:szCs w:val="4.3mm"/>
          <w:rFonts w:ascii="Segoe UI" w:cs="Segoe UI" w:eastAsia="Segoe UI" w:hAnsi="Segoe UI"/>
        </w:rPr>
        <w:br/>
        <w:t xml:space="preserve">sufficient interest, even though there were no Australian members, even though the organisation was there. And in that case, the Federal Court applied the multifactorial approach in North Coast. They said that Animal Angels had been recognised by the department, who had been consulted about live export, live animal export issues.</w:t>
      </w:r>
      <w:r>
        <w:rPr>
          <w:color w:val="323130"/>
          <w:sz w:val="4.3mm"/>
          <w:szCs w:val="4.3mm"/>
          <w:rFonts w:ascii="Segoe UI" w:cs="Segoe UI" w:eastAsia="Segoe UI" w:hAnsi="Segoe UI"/>
        </w:rPr>
        <w:br/>
        <w:t xml:space="preserve">had devoted financial resources to animal welfare in Australia, was carrying out its research in Australia, but also importantly that it had objects and purposes of its organisation that intersected with the purposes of the governing legislation.</w:t>
      </w:r>
      <w:r>
        <w:rPr>
          <w:color w:val="323130"/>
          <w:sz w:val="4.3mm"/>
          <w:szCs w:val="4.3mm"/>
          <w:rFonts w:ascii="Segoe UI" w:cs="Segoe UI" w:eastAsia="Segoe UI" w:hAnsi="Segoe UI"/>
        </w:rPr>
        <w:br/>
        <w:t xml:space="preserve">So, which was the live export area, so...</w:t>
      </w:r>
      <w:r>
        <w:rPr>
          <w:color w:val="323130"/>
          <w:sz w:val="4.3mm"/>
          <w:szCs w:val="4.3mm"/>
          <w:rFonts w:ascii="Segoe UI" w:cs="Segoe UI" w:eastAsia="Segoe UI" w:hAnsi="Segoe UI"/>
        </w:rPr>
        <w:br/>
        <w:t xml:space="preserve">The question in the chat is does the size of the organisation matter? No, I don't think it does. However, you will see this slide at the bottom of the screen. Other claims by similar interest groups have had mixed success. So even though Animal Angels were successful,</w:t>
      </w:r>
      <w:r>
        <w:rPr>
          <w:color w:val="323130"/>
          <w:sz w:val="4.3mm"/>
          <w:szCs w:val="4.3mm"/>
          <w:rFonts w:ascii="Segoe UI" w:cs="Segoe UI" w:eastAsia="Segoe UI" w:hAnsi="Segoe UI"/>
        </w:rPr>
        <w:br/>
        <w:t xml:space="preserve">They did have a fairly strong presence and were able to satisfy the multifactorial tests. You will need the size of, I mean, if you're a larger organisation, it's probably easier for you to satisfy those tests, not necessarily, but you really do have to tick some boxes.</w:t>
      </w:r>
      <w:r>
        <w:rPr>
          <w:color w:val="323130"/>
          <w:sz w:val="4.3mm"/>
          <w:szCs w:val="4.3mm"/>
          <w:rFonts w:ascii="Segoe UI" w:cs="Segoe UI" w:eastAsia="Segoe UI" w:hAnsi="Segoe UI"/>
        </w:rPr>
        <w:br/>
        <w:t xml:space="preserve">on the multifactorial approach if you're an organisation that's requesting standing. What are the other kind of fact situations that get thrown up for us?</w:t>
      </w:r>
      <w:r>
        <w:rPr>
          <w:color w:val="323130"/>
          <w:sz w:val="4.3mm"/>
          <w:szCs w:val="4.3mm"/>
          <w:rFonts w:ascii="Segoe UI" w:cs="Segoe UI" w:eastAsia="Segoe UI" w:hAnsi="Segoe UI"/>
        </w:rPr>
        <w:br/>
        <w:t xml:space="preserve">in this area, we were talking about whether or not people have sufficient interest. So the 1987 case of Ogle and Strickland is an interesting one. It was about the Hail Mary film.</w:t>
      </w:r>
      <w:r>
        <w:rPr>
          <w:color w:val="323130"/>
          <w:sz w:val="4.3mm"/>
          <w:szCs w:val="4.3mm"/>
          <w:rFonts w:ascii="Segoe UI" w:cs="Segoe UI" w:eastAsia="Segoe UI" w:hAnsi="Segoe UI"/>
        </w:rPr>
        <w:br/>
        <w:t xml:space="preserve">Now the Hail Mary film, I can't actually remember the premise of the film, but anyway, it had some things in it that the priests thought were blasphemous. I believe that there was a crucifix and some bad things happened to the crucifix in the film and some derogatory kind of ideas about</w:t>
      </w:r>
      <w:r>
        <w:rPr>
          <w:color w:val="323130"/>
          <w:sz w:val="4.3mm"/>
          <w:szCs w:val="4.3mm"/>
          <w:rFonts w:ascii="Segoe UI" w:cs="Segoe UI" w:eastAsia="Segoe UI" w:hAnsi="Segoe UI"/>
        </w:rPr>
        <w:br/>
        <w:t xml:space="preserve">Mary Magdalene in the film. And at that time, remember that we did have a fair degree of censorship under the customs cinematograph films regulations.</w:t>
      </w:r>
      <w:r>
        <w:rPr>
          <w:color w:val="323130"/>
          <w:sz w:val="4.3mm"/>
          <w:szCs w:val="4.3mm"/>
          <w:rFonts w:ascii="Segoe UI" w:cs="Segoe UI" w:eastAsia="Segoe UI" w:hAnsi="Segoe UI"/>
        </w:rPr>
        <w:br/>
        <w:t xml:space="preserve">We still have regulations about films. Films can still be banned, but the basis upon which films are banned has changed a lot over time as well. And remember that a lot of the content, you know, this is one of the debates about</w:t>
      </w:r>
      <w:r>
        <w:rPr>
          <w:color w:val="323130"/>
          <w:sz w:val="4.3mm"/>
          <w:szCs w:val="4.3mm"/>
          <w:rFonts w:ascii="Segoe UI" w:cs="Segoe UI" w:eastAsia="Segoe UI" w:hAnsi="Segoe UI"/>
        </w:rPr>
        <w:br/>
        <w:t xml:space="preserve">online content is that we don't have a way to regulate that. But anyway, two priests challenged the Hail Mary, the decision to allow the Hail Mary film to screen under the ADGR Act. And the question was, did they have standing? So was it a mere...</w:t>
      </w:r>
      <w:r>
        <w:rPr>
          <w:color w:val="323130"/>
          <w:sz w:val="4.3mm"/>
          <w:szCs w:val="4.3mm"/>
          <w:rFonts w:ascii="Segoe UI" w:cs="Segoe UI" w:eastAsia="Segoe UI" w:hAnsi="Segoe UI"/>
        </w:rPr>
        <w:br/>
        <w:t xml:space="preserve">intellectual and emotional concern, or did they have a greater interest than other members of the public. And the court in that case found that the priests did have standing, and that's because repelling blasphemy was a necessary incident of their vocation and professional calling.</w:t>
      </w:r>
      <w:r>
        <w:rPr>
          <w:color w:val="323130"/>
          <w:sz w:val="4.3mm"/>
          <w:szCs w:val="4.3mm"/>
          <w:rFonts w:ascii="Segoe UI" w:cs="Segoe UI" w:eastAsia="Segoe UI" w:hAnsi="Segoe UI"/>
        </w:rPr>
        <w:br/>
        <w:t xml:space="preserve">Therefore, it was not a mere intellectual and emotional concern. It was part of their job to be involved in these kind of ideas and stopping blasphemy coming into the community. So the priests in that one were found to have standing.</w:t>
      </w:r>
      <w:r>
        <w:rPr>
          <w:color w:val="323130"/>
          <w:sz w:val="4.3mm"/>
          <w:szCs w:val="4.3mm"/>
          <w:rFonts w:ascii="Segoe UI" w:cs="Segoe UI" w:eastAsia="Segoe UI" w:hAnsi="Segoe UI"/>
        </w:rPr>
        <w:br/>
        <w:t xml:space="preserve">We can compare that with the Right to Life Association, which is a New South Wales, so Ogle and Strickland you can see went up to the High Court, I believe, the Right to Life Association in New South Wales.</w:t>
      </w:r>
      <w:r>
        <w:rPr>
          <w:color w:val="323130"/>
          <w:sz w:val="4.3mm"/>
          <w:szCs w:val="4.3mm"/>
          <w:rFonts w:ascii="Segoe UI" w:cs="Segoe UI" w:eastAsia="Segoe UI" w:hAnsi="Segoe UI"/>
        </w:rPr>
        <w:br/>
        <w:t xml:space="preserve">challenged a decision.</w:t>
      </w:r>
      <w:r>
        <w:rPr>
          <w:color w:val="323130"/>
          <w:sz w:val="4.3mm"/>
          <w:szCs w:val="4.3mm"/>
          <w:rFonts w:ascii="Segoe UI" w:cs="Segoe UI" w:eastAsia="Segoe UI" w:hAnsi="Segoe UI"/>
        </w:rPr>
        <w:br/>
        <w:t xml:space="preserve">of the Department of Human Services.</w:t>
      </w:r>
      <w:r>
        <w:rPr>
          <w:color w:val="323130"/>
          <w:sz w:val="4.3mm"/>
          <w:szCs w:val="4.3mm"/>
          <w:rFonts w:ascii="Segoe UI" w:cs="Segoe UI" w:eastAsia="Segoe UI" w:hAnsi="Segoe UI"/>
        </w:rPr>
        <w:br/>
        <w:t xml:space="preserve">and health, they made a decision under the therapeutic goods legislation. I think this is to allow the morning after pill, if I remember, I think it's to allow the morning after pill to be listed on the TGA.</w:t>
      </w:r>
      <w:r>
        <w:rPr>
          <w:color w:val="323130"/>
          <w:sz w:val="4.3mm"/>
          <w:szCs w:val="4.3mm"/>
          <w:rFonts w:ascii="Segoe UI" w:cs="Segoe UI" w:eastAsia="Segoe UI" w:hAnsi="Segoe UI"/>
        </w:rPr>
        <w:br/>
        <w:t xml:space="preserve">And once something is listed on the TGA, then it's lawful to be prescribed. So it's a necessary regulatory step before medications can go out into the world. So the question was, can Right to Life challenge this decision? Do they have...</w:t>
      </w:r>
      <w:r>
        <w:rPr>
          <w:color w:val="323130"/>
          <w:sz w:val="4.3mm"/>
          <w:szCs w:val="4.3mm"/>
          <w:rFonts w:ascii="Segoe UI" w:cs="Segoe UI" w:eastAsia="Segoe UI" w:hAnsi="Segoe UI"/>
        </w:rPr>
        <w:br/>
        <w:t xml:space="preserve">standing. And in this case, Justice Lockett said that they did have only an intellectual, philosophical and emotional concern. They noted that their purposes and objects did not</w:t>
      </w:r>
      <w:r>
        <w:rPr>
          <w:color w:val="323130"/>
          <w:sz w:val="4.3mm"/>
          <w:szCs w:val="4.3mm"/>
          <w:rFonts w:ascii="Segoe UI" w:cs="Segoe UI" w:eastAsia="Segoe UI" w:hAnsi="Segoe UI"/>
        </w:rPr>
        <w:br/>
        <w:t xml:space="preserve">include references to things like the therapeutic goods legislation and Justice Bowman, Beaumont made the comment that they only believed themselves to be aggrieved. So that's obviously a New South Wales case. But</w:t>
      </w:r>
      <w:r>
        <w:rPr>
          <w:color w:val="323130"/>
          <w:sz w:val="4.3mm"/>
          <w:szCs w:val="4.3mm"/>
          <w:rFonts w:ascii="Segoe UI" w:cs="Segoe UI" w:eastAsia="Segoe UI" w:hAnsi="Segoe UI"/>
        </w:rPr>
        <w:br/>
        <w:t xml:space="preserve">So no standing for the Right to Life Association. And you might think to yourself, that seems odd because it seems quite similar to Odonovan Strickland, but no, the Right to Life or not given standing in that case. And you can see the language and the concepts are used</w:t>
      </w:r>
      <w:r>
        <w:rPr>
          <w:color w:val="323130"/>
          <w:sz w:val="4.3mm"/>
          <w:szCs w:val="4.3mm"/>
          <w:rFonts w:ascii="Segoe UI" w:cs="Segoe UI" w:eastAsia="Segoe UI" w:hAnsi="Segoe UI"/>
        </w:rPr>
        <w:br/>
        <w:t xml:space="preserve">In the same way.</w:t>
      </w:r>
      <w:r>
        <w:rPr>
          <w:color w:val="323130"/>
          <w:sz w:val="4.3mm"/>
          <w:szCs w:val="4.3mm"/>
          <w:rFonts w:ascii="Segoe UI" w:cs="Segoe UI" w:eastAsia="Segoe UI" w:hAnsi="Segoe UI"/>
        </w:rPr>
        <w:br/>
        <w:t xml:space="preserve">Okay, now what about what about trade unions?</w:t>
      </w:r>
      <w:r>
        <w:rPr>
          <w:color w:val="323130"/>
          <w:sz w:val="4.3mm"/>
          <w:szCs w:val="4.3mm"/>
          <w:rFonts w:ascii="Segoe UI" w:cs="Segoe UI" w:eastAsia="Segoe UI" w:hAnsi="Segoe UI"/>
        </w:rPr>
        <w:br/>
        <w:t xml:space="preserve">So trade unions, as a general rule, we assume that a trade union generally has standing to challenge decisions. And that's because, like the ACF, trade unions are generally a peak, they are acting on behalf.</w:t>
      </w:r>
      <w:r>
        <w:rPr>
          <w:color w:val="323130"/>
          <w:sz w:val="4.3mm"/>
          <w:szCs w:val="4.3mm"/>
          <w:rFonts w:ascii="Segoe UI" w:cs="Segoe UI" w:eastAsia="Segoe UI" w:hAnsi="Segoe UI"/>
        </w:rPr>
        <w:br/>
        <w:t xml:space="preserve">of the members and certainly they will have standing where the issue affects the employment of the members. So some contrasting cases here. First 1995 case from South Australia, the Shop Distribution and Allied Employees Association.</w:t>
      </w:r>
      <w:r>
        <w:rPr>
          <w:color w:val="323130"/>
          <w:sz w:val="4.3mm"/>
          <w:szCs w:val="4.3mm"/>
          <w:rFonts w:ascii="Segoe UI" w:cs="Segoe UI" w:eastAsia="Segoe UI" w:hAnsi="Segoe UI"/>
        </w:rPr>
        <w:br/>
        <w:t xml:space="preserve">and the Minister of Industrial Affairs case. Standing was granted in this case because the retail employees employment interests were affected by a decision to allow Sunday trading in the CBD. We are so used to Sunday trading now that many of them you will forget the furor it caused at the time.</w:t>
      </w:r>
      <w:r>
        <w:rPr>
          <w:color w:val="323130"/>
          <w:sz w:val="4.3mm"/>
          <w:szCs w:val="4.3mm"/>
          <w:rFonts w:ascii="Segoe UI" w:cs="Segoe UI" w:eastAsia="Segoe UI" w:hAnsi="Segoe UI"/>
        </w:rPr>
        <w:br/>
        <w:t xml:space="preserve">because essentially it meant that people who used to be guaranteed a day off on Sunday were no longer, they would have to be, most people would have to be working on that day. So yes, they get penalty rates, but so because it affected their members, you see there's a direct effect</w:t>
      </w:r>
      <w:r>
        <w:rPr>
          <w:color w:val="323130"/>
          <w:sz w:val="4.3mm"/>
          <w:szCs w:val="4.3mm"/>
          <w:rFonts w:ascii="Segoe UI" w:cs="Segoe UI" w:eastAsia="Segoe UI" w:hAnsi="Segoe UI"/>
        </w:rPr>
        <w:br/>
        <w:t xml:space="preserve">direct person aggrieved and they were granted standing. The Australian Institute of Marine and Power Engineers in 1986, the union was found to have standing to challenge a notice which was about how many</w:t>
      </w:r>
      <w:r>
        <w:rPr>
          <w:color w:val="323130"/>
          <w:sz w:val="4.3mm"/>
          <w:szCs w:val="4.3mm"/>
          <w:rFonts w:ascii="Segoe UI" w:cs="Segoe UI" w:eastAsia="Segoe UI" w:hAnsi="Segoe UI"/>
        </w:rPr>
        <w:br/>
        <w:t xml:space="preserve">how many, what was the minimum safe number of people to operate a ship. So again, something directly affecting members, directly affecting their employment conditions and what could happen. In contrast, the Australian Foreman Stevedores Association and Crown,</w:t>
      </w:r>
      <w:r>
        <w:rPr>
          <w:color w:val="323130"/>
          <w:sz w:val="4.3mm"/>
          <w:szCs w:val="4.3mm"/>
          <w:rFonts w:ascii="Segoe UI" w:cs="Segoe UI" w:eastAsia="Segoe UI" w:hAnsi="Segoe UI"/>
        </w:rPr>
        <w:br/>
        <w:t xml:space="preserve">the union was found not to have standing to challenge a decision to permit a company that employed non-union labour to import ships. And the Federal Court held in that case that it was more Akin to competitive interests rather than a representation.</w:t>
      </w:r>
      <w:r>
        <w:rPr>
          <w:color w:val="323130"/>
          <w:sz w:val="4.3mm"/>
          <w:szCs w:val="4.3mm"/>
          <w:rFonts w:ascii="Segoe UI" w:cs="Segoe UI" w:eastAsia="Segoe UI" w:hAnsi="Segoe UI"/>
        </w:rPr>
        <w:br/>
        <w:t xml:space="preserve">on behalf of their employees. So the court held that it did not affect the employment interests of union members. And so an interesting one there, another one that was</w:t>
      </w:r>
      <w:r>
        <w:rPr>
          <w:color w:val="323130"/>
          <w:sz w:val="4.3mm"/>
          <w:szCs w:val="4.3mm"/>
          <w:rFonts w:ascii="Segoe UI" w:cs="Segoe UI" w:eastAsia="Segoe UI" w:hAnsi="Segoe UI"/>
        </w:rPr>
        <w:br/>
        <w:t xml:space="preserve">are hard fought in our ports about whether or not you're allowed to employ non-union labour or not in certain circumstances.</w:t>
      </w:r>
      <w:r>
        <w:rPr>
          <w:color w:val="323130"/>
          <w:sz w:val="4.3mm"/>
          <w:szCs w:val="4.3mm"/>
          <w:rFonts w:ascii="Segoe UI" w:cs="Segoe UI" w:eastAsia="Segoe UI" w:hAnsi="Segoe UI"/>
        </w:rPr>
        <w:br/>
        <w:t xml:space="preserve">Okay, now I mentioned before the case of Argos, Papageorgiou, Lemuel and Corbell, which did go to the High Court, and it talks very much about all of these tests, including commercial tests, and it is a 2014 case, so we get a</w:t>
      </w:r>
      <w:r>
        <w:rPr>
          <w:color w:val="323130"/>
          <w:sz w:val="4.3mm"/>
          <w:szCs w:val="4.3mm"/>
          <w:rFonts w:ascii="Segoe UI" w:cs="Segoe UI" w:eastAsia="Segoe UI" w:hAnsi="Segoe UI"/>
        </w:rPr>
        <w:br/>
        <w:t xml:space="preserve">a nice, fresh kind of take on what the tests need to be. Now, in this particular, I'll go into the facts in another slide in a moment, but first of all, with respect to what is the meaning of the person aggrieved test.</w:t>
      </w:r>
      <w:r>
        <w:rPr>
          <w:color w:val="323130"/>
          <w:sz w:val="4.3mm"/>
          <w:szCs w:val="4.3mm"/>
          <w:rFonts w:ascii="Segoe UI" w:cs="Segoe UI" w:eastAsia="Segoe UI" w:hAnsi="Segoe UI"/>
        </w:rPr>
        <w:br/>
        <w:t xml:space="preserve">under the ADGR Act. And one of the questions that arose in that case was whether the interests needed to be linked to the statute. So where you had a statute and the decision was made under that statute, you know, whether the interests need to be kind of articulated in a sense in the statute.</w:t>
      </w:r>
      <w:r>
        <w:rPr>
          <w:color w:val="323130"/>
          <w:sz w:val="4.3mm"/>
          <w:szCs w:val="4.3mm"/>
          <w:rFonts w:ascii="Segoe UI" w:cs="Segoe UI" w:eastAsia="Segoe UI" w:hAnsi="Segoe UI"/>
        </w:rPr>
        <w:br/>
        <w:t xml:space="preserve">Now you can see already that if that would the answer to that question would be yes, it would be an additional limitation on the standing test. So what did the High Court have to say? The applicant must be a person aggrieved. We've got that. A criteria which may be satisfied if the applicant is a person whose interests are</w:t>
      </w:r>
      <w:r>
        <w:rPr>
          <w:color w:val="323130"/>
          <w:sz w:val="4.3mm"/>
          <w:szCs w:val="4.3mm"/>
          <w:rFonts w:ascii="Segoe UI" w:cs="Segoe UI" w:eastAsia="Segoe UI" w:hAnsi="Segoe UI"/>
        </w:rPr>
        <w:br/>
        <w:t xml:space="preserve">adversely affected by the decision.</w:t>
      </w:r>
      <w:r>
        <w:rPr>
          <w:color w:val="323130"/>
          <w:sz w:val="4.3mm"/>
          <w:szCs w:val="4.3mm"/>
          <w:rFonts w:ascii="Segoe UI" w:cs="Segoe UI" w:eastAsia="Segoe UI" w:hAnsi="Segoe UI"/>
        </w:rPr>
        <w:br/>
        <w:t xml:space="preserve">The text of the criterion on its face does not allow for its expansion or contraction according to the scope and purpose of the enactment under which the decision is made. It is not to be read or applied with reference to normative considerations based on policy of the</w:t>
      </w:r>
      <w:r>
        <w:rPr>
          <w:color w:val="323130"/>
          <w:sz w:val="4.3mm"/>
          <w:szCs w:val="4.3mm"/>
          <w:rFonts w:ascii="Segoe UI" w:cs="Segoe UI" w:eastAsia="Segoe UI" w:hAnsi="Segoe UI"/>
        </w:rPr>
        <w:br/>
        <w:t xml:space="preserve">enactment. To do so by reference to individual enactments would undermine an important purpose of the ADGR Act, which was to simplify judicial review processes. So you see the court here referring again to this idea that you need to interpret the ADGR Act generously.</w:t>
      </w:r>
      <w:r>
        <w:rPr>
          <w:color w:val="323130"/>
          <w:sz w:val="4.3mm"/>
          <w:szCs w:val="4.3mm"/>
          <w:rFonts w:ascii="Segoe UI" w:cs="Segoe UI" w:eastAsia="Segoe UI" w:hAnsi="Segoe UI"/>
        </w:rPr>
        <w:br/>
        <w:t xml:space="preserve">because its whole purpose was to simplify judicial review. So make sure that's the case. The language here is the language that you need to cite. Person aggrieved is a person whose interests are adversely affected by the decision. That's something that you need to account for.</w:t>
      </w:r>
      <w:r>
        <w:rPr>
          <w:color w:val="323130"/>
          <w:sz w:val="4.3mm"/>
          <w:szCs w:val="4.3mm"/>
          <w:rFonts w:ascii="Segoe UI" w:cs="Segoe UI" w:eastAsia="Segoe UI" w:hAnsi="Segoe UI"/>
        </w:rPr>
        <w:br/>
        <w:t xml:space="preserve">But if someone is arguing that it is somehow limited then by the scope of the underlying statute, the answer to that is no, it is not.</w:t>
      </w:r>
      <w:r>
        <w:rPr>
          <w:color w:val="323130"/>
          <w:sz w:val="4.3mm"/>
          <w:szCs w:val="4.3mm"/>
          <w:rFonts w:ascii="Segoe UI" w:cs="Segoe UI" w:eastAsia="Segoe UI" w:hAnsi="Segoe UI"/>
        </w:rPr>
        <w:br/>
        <w:t xml:space="preserve">Now, what about this case of Argus Proprietary Limited and Corbell? And it's a good one to look at the different, the application of the standing tests that we've articulated so far. And it was about the development of a derelict shopping centre in the ACT.</w:t>
      </w:r>
      <w:r>
        <w:rPr>
          <w:color w:val="323130"/>
          <w:sz w:val="4.3mm"/>
          <w:szCs w:val="4.3mm"/>
          <w:rFonts w:ascii="Segoe UI" w:cs="Segoe UI" w:eastAsia="Segoe UI" w:hAnsi="Segoe UI"/>
        </w:rPr>
        <w:br/>
        <w:t xml:space="preserve">in Girilang, I don't know where that is. So permission was given by the Development Minister and the development was going to include a new Woolworths. So there were</w:t>
      </w:r>
      <w:r>
        <w:rPr>
          <w:color w:val="323130"/>
          <w:sz w:val="4.3mm"/>
          <w:szCs w:val="4.3mm"/>
          <w:rFonts w:ascii="Segoe UI" w:cs="Segoe UI" w:eastAsia="Segoe UI" w:hAnsi="Segoe UI"/>
        </w:rPr>
        <w:br/>
        <w:t xml:space="preserve">three people who wanted to challenge the decision. The first was a landlord of a nearby shopping centre in Kaleen, the second was an IGA shop operator and the third was an IGA shop operator. Now all of these people were concerned about</w:t>
      </w:r>
      <w:r>
        <w:rPr>
          <w:color w:val="323130"/>
          <w:sz w:val="4.3mm"/>
          <w:szCs w:val="4.3mm"/>
          <w:rFonts w:ascii="Segoe UI" w:cs="Segoe UI" w:eastAsia="Segoe UI" w:hAnsi="Segoe UI"/>
        </w:rPr>
        <w:br/>
        <w:t xml:space="preserve">the permission given to Woolworths to move into their area. Both of the IGA shop operators claimed that they would lose up to 10%.</w:t>
      </w:r>
      <w:r>
        <w:rPr>
          <w:color w:val="323130"/>
          <w:sz w:val="4.3mm"/>
          <w:szCs w:val="4.3mm"/>
          <w:rFonts w:ascii="Segoe UI" w:cs="Segoe UI" w:eastAsia="Segoe UI" w:hAnsi="Segoe UI"/>
        </w:rPr>
        <w:br/>
        <w:t xml:space="preserve">of their profits, if Woolworths was allowed to come in.</w:t>
      </w:r>
      <w:r>
        <w:rPr>
          <w:color w:val="323130"/>
          <w:sz w:val="4.3mm"/>
          <w:szCs w:val="4.3mm"/>
          <w:rFonts w:ascii="Segoe UI" w:cs="Segoe UI" w:eastAsia="Segoe UI" w:hAnsi="Segoe UI"/>
        </w:rPr>
        <w:br/>
        <w:t xml:space="preserve">And the landlord from a nearby shopping centre was also making an argument that their trade would change. Now, none of the applicants were given the opportunity to comment on the development of the proposal, which played a part in whether or not they were given standing, because they hadn't had the opportunity</w:t>
      </w:r>
      <w:r>
        <w:rPr>
          <w:color w:val="323130"/>
          <w:sz w:val="4.3mm"/>
          <w:szCs w:val="4.3mm"/>
          <w:rFonts w:ascii="Segoe UI" w:cs="Segoe UI" w:eastAsia="Segoe UI" w:hAnsi="Segoe UI"/>
        </w:rPr>
        <w:br/>
        <w:t xml:space="preserve">to kind of put their case before there. And just the heads up here is the landlord in the nearby shopping centre was not given standing. Can you think why?</w:t>
      </w:r>
      <w:r>
        <w:rPr>
          <w:color w:val="323130"/>
          <w:sz w:val="4.3mm"/>
          <w:szCs w:val="4.3mm"/>
          <w:rFonts w:ascii="Segoe UI" w:cs="Segoe UI" w:eastAsia="Segoe UI" w:hAnsi="Segoe UI"/>
        </w:rPr>
        <w:br/>
        <w:t xml:space="preserve">And that's because it was just more remote than the others. The IGAs were immediately in the area. It's likely that they were going to suffer their profits. But the other one was further away, a little bit further away. So it wasn't nearly as clear and they were not able to demonstrate.</w:t>
      </w:r>
      <w:r>
        <w:rPr>
          <w:color w:val="323130"/>
          <w:sz w:val="4.3mm"/>
          <w:szCs w:val="4.3mm"/>
          <w:rFonts w:ascii="Segoe UI" w:cs="Segoe UI" w:eastAsia="Segoe UI" w:hAnsi="Segoe UI"/>
        </w:rPr>
        <w:br/>
        <w:t xml:space="preserve">that the wool was going to affect their business particularly. So, but the important thing about this case, as opposed to the others that we've been looking at, which are either public interest, public interest or environmental matters, moral kind of matters, this one is about commercial matters.</w:t>
      </w:r>
      <w:r>
        <w:rPr>
          <w:color w:val="323130"/>
          <w:sz w:val="4.3mm"/>
          <w:szCs w:val="4.3mm"/>
          <w:rFonts w:ascii="Segoe UI" w:cs="Segoe UI" w:eastAsia="Segoe UI" w:hAnsi="Segoe UI"/>
        </w:rPr>
        <w:br/>
        <w:t xml:space="preserve">The ACT court found that the purely economical commercial interests were, as a general rule, not enough to give rise to standing, but the High Court unanimously rejected this general rule. They said the proprietors of the RGAs had standing.</w:t>
      </w:r>
      <w:r>
        <w:rPr>
          <w:color w:val="323130"/>
          <w:sz w:val="4.3mm"/>
          <w:szCs w:val="4.3mm"/>
          <w:rFonts w:ascii="Segoe UI" w:cs="Segoe UI" w:eastAsia="Segoe UI" w:hAnsi="Segoe UI"/>
        </w:rPr>
        <w:br/>
        <w:t xml:space="preserve">but not the landlord. Justice French and Justice Keane referred to Ellicott Justice's statement in two ways. That was the one I read out about the broad interpretation of the standing rule and said of the challenge by owners that if their challenge to the lawfulness of the decision proves to have merit, the consequences of the competitive pressures resulting from the decision they seek</w:t>
      </w:r>
      <w:r>
        <w:rPr>
          <w:color w:val="323130"/>
          <w:sz w:val="4.3mm"/>
          <w:szCs w:val="4.3mm"/>
          <w:rFonts w:ascii="Segoe UI" w:cs="Segoe UI" w:eastAsia="Segoe UI" w:hAnsi="Segoe UI"/>
        </w:rPr>
        <w:br/>
        <w:t xml:space="preserve">to challenge can properly be described as a situation of unfair competition rather than mere competition. The landlord is different because there's not enough evidence that his business would suffer similarly now and that is because of the distance and the different kind of.</w:t>
      </w:r>
      <w:r>
        <w:rPr>
          <w:color w:val="323130"/>
          <w:sz w:val="4.3mm"/>
          <w:szCs w:val="4.3mm"/>
          <w:rFonts w:ascii="Segoe UI" w:cs="Segoe UI" w:eastAsia="Segoe UI" w:hAnsi="Segoe UI"/>
        </w:rPr>
        <w:br/>
        <w:t xml:space="preserve">situation of the landlord. Now, and also because the landlord, it was the landlord and not the shop owner, like the landlord, the rent was going to be the same. It wasn't clear that the rent was going to change very much for the landlord. So a couple of removes for the landlord, but</w:t>
      </w:r>
      <w:r>
        <w:rPr>
          <w:color w:val="323130"/>
          <w:sz w:val="4.3mm"/>
          <w:szCs w:val="4.3mm"/>
          <w:rFonts w:ascii="Segoe UI" w:cs="Segoe UI" w:eastAsia="Segoe UI" w:hAnsi="Segoe UI"/>
        </w:rPr>
        <w:br/>
        <w:t xml:space="preserve">Notice the language here. It is not just a challenge to a competitive pressure, but unfair competition, right? So competition more than other people, the same kind of idea and language of the extremity coming in there to Argos.</w:t>
      </w:r>
      <w:r>
        <w:rPr>
          <w:color w:val="323130"/>
          <w:sz w:val="4.3mm"/>
          <w:szCs w:val="4.3mm"/>
          <w:rFonts w:ascii="Segoe UI" w:cs="Segoe UI" w:eastAsia="Segoe UI" w:hAnsi="Segoe UI"/>
        </w:rPr>
        <w:br/>
        <w:t xml:space="preserve">Now, there are a couple of other cases that are worth comparing with Argos. So in Argos, we've seen, and again, note that the High Court is the one that's expanding these kind of categories of special interest. The IGIJ operators were able to show that they did have</w:t>
      </w:r>
      <w:r>
        <w:rPr>
          <w:color w:val="323130"/>
          <w:sz w:val="4.3mm"/>
          <w:szCs w:val="4.3mm"/>
          <w:rFonts w:ascii="Segoe UI" w:cs="Segoe UI" w:eastAsia="Segoe UI" w:hAnsi="Segoe UI"/>
        </w:rPr>
        <w:br/>
        <w:t xml:space="preserve">have an interest, but the landlord was not able to show that, both for remoteness and the direct.</w:t>
      </w:r>
      <w:r>
        <w:rPr>
          <w:color w:val="323130"/>
          <w:sz w:val="4.3mm"/>
          <w:szCs w:val="4.3mm"/>
          <w:rFonts w:ascii="Segoe UI" w:cs="Segoe UI" w:eastAsia="Segoe UI" w:hAnsi="Segoe UI"/>
        </w:rPr>
        <w:br/>
        <w:t xml:space="preserve">impact on rent. Now, however, it does not mean there will be an open slather on competitiveness or commercial benefit. So look at this case, the Alpha Farm Proprietary Limited and Smith Kine breached Smith Kline</w:t>
      </w:r>
      <w:r>
        <w:rPr>
          <w:color w:val="323130"/>
          <w:sz w:val="4.3mm"/>
          <w:szCs w:val="4.3mm"/>
          <w:rFonts w:ascii="Segoe UI" w:cs="Segoe UI" w:eastAsia="Segoe UI" w:hAnsi="Segoe UI"/>
        </w:rPr>
        <w:br/>
        <w:t xml:space="preserve">Beecham. So these are both pharmaceutical companies, multinational pharmaceutical companies. And the decision was to allow, it was to allow Alpha Pharm to be selling a particular</w:t>
      </w:r>
      <w:r>
        <w:rPr>
          <w:color w:val="323130"/>
          <w:sz w:val="4.3mm"/>
          <w:szCs w:val="4.3mm"/>
          <w:rFonts w:ascii="Segoe UI" w:cs="Segoe UI" w:eastAsia="Segoe UI" w:hAnsi="Segoe UI"/>
        </w:rPr>
        <w:br/>
        <w:t xml:space="preserve">drug. And Smith Kline challenged the decision, arguing that it was going to be a decision that was affecting Alpha Pharm and that that would damage its own business.</w:t>
      </w:r>
      <w:r>
        <w:rPr>
          <w:color w:val="323130"/>
          <w:sz w:val="4.3mm"/>
          <w:szCs w:val="4.3mm"/>
          <w:rFonts w:ascii="Segoe UI" w:cs="Segoe UI" w:eastAsia="Segoe UI" w:hAnsi="Segoe UI"/>
        </w:rPr>
        <w:br/>
        <w:t xml:space="preserve">The court did not accept that argument. They said that there was not sufficient direct impact from the decision on Smith Kline. And the court went so far as to say in that decision that it was not appropriate to use the ADJR Act to vindicate a purely commercial interest. So it was clear that the multinational here was Canada.</w:t>
      </w:r>
      <w:r>
        <w:rPr>
          <w:color w:val="323130"/>
          <w:sz w:val="4.3mm"/>
          <w:szCs w:val="4.3mm"/>
          <w:rFonts w:ascii="Segoe UI" w:cs="Segoe UI" w:eastAsia="Segoe UI" w:hAnsi="Segoe UI"/>
        </w:rPr>
        <w:br/>
        <w:t xml:space="preserve">of having a land of the courts and trying to disadvantage their competitor and the courts were not having a bar of that. So that's kind of interesting.</w:t>
      </w:r>
      <w:r>
        <w:rPr>
          <w:color w:val="323130"/>
          <w:sz w:val="4.3mm"/>
          <w:szCs w:val="4.3mm"/>
          <w:rFonts w:ascii="Segoe UI" w:cs="Segoe UI" w:eastAsia="Segoe UI" w:hAnsi="Segoe UI"/>
        </w:rPr>
        <w:br/>
        <w:t xml:space="preserve">Okay, so a few more details to say about standing. What is open standing? So we've already said, we've also talked about the way that you can't look at the statute to limit the standing rules. But just be clear, you do need to look</w:t>
      </w:r>
      <w:r>
        <w:rPr>
          <w:color w:val="323130"/>
          <w:sz w:val="4.3mm"/>
          <w:szCs w:val="4.3mm"/>
          <w:rFonts w:ascii="Segoe UI" w:cs="Segoe UI" w:eastAsia="Segoe UI" w:hAnsi="Segoe UI"/>
        </w:rPr>
        <w:br/>
        <w:t xml:space="preserve">at the statute, the underlying statute, and this is because some statutes, well, so statutes can modify the standing rules, number one, but for example, what they do is more often than not, they have open standing, which is that they specifically</w:t>
      </w:r>
      <w:r>
        <w:rPr>
          <w:color w:val="323130"/>
          <w:sz w:val="4.3mm"/>
          <w:szCs w:val="4.3mm"/>
          <w:rFonts w:ascii="Segoe UI" w:cs="Segoe UI" w:eastAsia="Segoe UI" w:hAnsi="Segoe UI"/>
        </w:rPr>
        <w:br/>
        <w:t xml:space="preserve">Expand the rule of standing, so in the truth about motorways and Macquarie infrastructure, the A Triple C.</w:t>
      </w:r>
      <w:r>
        <w:rPr>
          <w:color w:val="323130"/>
          <w:sz w:val="4.3mm"/>
          <w:szCs w:val="4.3mm"/>
          <w:rFonts w:ascii="Segoe UI" w:cs="Segoe UI" w:eastAsia="Segoe UI" w:hAnsi="Segoe UI"/>
        </w:rPr>
        <w:br/>
        <w:t xml:space="preserve">noted that the legislation said any other person may bring an action for an injunction under Section 80 of the Competition and Consumer Act 2010. So the High Court was called on to consider what that meant. What does an open standing provision mean? Can you have an open standing provision?</w:t>
      </w:r>
      <w:r>
        <w:rPr>
          <w:color w:val="323130"/>
          <w:sz w:val="4.3mm"/>
          <w:szCs w:val="4.3mm"/>
          <w:rFonts w:ascii="Segoe UI" w:cs="Segoe UI" w:eastAsia="Segoe UI" w:hAnsi="Segoe UI"/>
        </w:rPr>
        <w:br/>
        <w:t xml:space="preserve">And the High Court said that open standing provisions should be construed liberally because Parliament has inserted them into legislation in the public interest. And as such, they do not contravene section 75.</w:t>
      </w:r>
      <w:r>
        <w:rPr>
          <w:color w:val="323130"/>
          <w:sz w:val="4.3mm"/>
          <w:szCs w:val="4.3mm"/>
          <w:rFonts w:ascii="Segoe UI" w:cs="Segoe UI" w:eastAsia="Segoe UI" w:hAnsi="Segoe UI"/>
        </w:rPr>
        <w:br/>
        <w:t xml:space="preserve">requirement for a matter. So important that they don't infringe section 75 of the High Court says that they're okay. You can have an open standing rule, but it has to be specifically identified in the statute. If the statute does not say anything, then you're either looking at common law rules or the ADGR Act.</w:t>
      </w:r>
      <w:r>
        <w:rPr>
          <w:color w:val="323130"/>
          <w:sz w:val="4.3mm"/>
          <w:szCs w:val="4.3mm"/>
          <w:rFonts w:ascii="Segoe UI" w:cs="Segoe UI" w:eastAsia="Segoe UI" w:hAnsi="Segoe UI"/>
        </w:rPr>
        <w:br/>
        <w:t xml:space="preserve">Rules for standing, depending on the basis of that challenge, so...</w:t>
      </w:r>
      <w:r>
        <w:rPr>
          <w:color w:val="323130"/>
          <w:sz w:val="4.3mm"/>
          <w:szCs w:val="4.3mm"/>
          <w:rFonts w:ascii="Segoe UI" w:cs="Segoe UI" w:eastAsia="Segoe UI" w:hAnsi="Segoe UI"/>
        </w:rPr>
        <w:br/>
        <w:t xml:space="preserve">This is another example of open standing, which is section 1231 of the Environmental Planning and Assessment Act 1979 in New South Wales. The language in there is similar. It allows any person to seek remedies against a breach of that act in the New South Wales Land and Environment Court.</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can see that the statute can broaden the standing rules, the standing rules, then open standing rules, then really broaden out the opportunity for people to challenge. You can see here that it's environmental law, so you have these</w:t>
      </w:r>
      <w:r>
        <w:rPr>
          <w:color w:val="323130"/>
          <w:sz w:val="4.3mm"/>
          <w:szCs w:val="4.3mm"/>
          <w:rFonts w:ascii="Segoe UI" w:cs="Segoe UI" w:eastAsia="Segoe UI" w:hAnsi="Segoe UI"/>
        </w:rPr>
        <w:br/>
        <w:t xml:space="preserve">Broad policy decisions.</w:t>
      </w:r>
      <w:r>
        <w:rPr>
          <w:color w:val="323130"/>
          <w:sz w:val="4.3mm"/>
          <w:szCs w:val="4.3mm"/>
          <w:rFonts w:ascii="Segoe UI" w:cs="Segoe UI" w:eastAsia="Segoe UI" w:hAnsi="Segoe UI"/>
        </w:rPr>
        <w:br/>
        <w:t xml:space="preserve">The open standing does require there to be a decision. Yes, there has to be a decision, but it doesn't have to be, it doesn't offend the judicial matter rule. So you can't knock out. Remember, it's the matter correlates with standing, not with a decision. So you have to have a decision.</w:t>
      </w:r>
      <w:r>
        <w:rPr>
          <w:color w:val="323130"/>
          <w:sz w:val="4.3mm"/>
          <w:szCs w:val="4.3mm"/>
          <w:rFonts w:ascii="Segoe UI" w:cs="Segoe UI" w:eastAsia="Segoe UI" w:hAnsi="Segoe UI"/>
        </w:rPr>
        <w:br/>
        <w:t xml:space="preserve">But you don't have to have a measure.</w:t>
      </w:r>
      <w:r>
        <w:rPr>
          <w:color w:val="323130"/>
          <w:sz w:val="4.3mm"/>
          <w:szCs w:val="4.3mm"/>
          <w:rFonts w:ascii="Segoe UI" w:cs="Segoe UI" w:eastAsia="Segoe UI" w:hAnsi="Segoe UI"/>
        </w:rPr>
        <w:br/>
        <w:t xml:space="preserve">a broader application. Now, what were we saying about busybodies? In this case, the Environmental Planning and Assessment Act does have open standing, which means anyone, it says any person, right? So you, they don't have to demonstrate that they're a person of grief. They don't have to demonstrate that they've got a special neck.</w:t>
      </w:r>
      <w:r>
        <w:rPr>
          <w:color w:val="323130"/>
          <w:sz w:val="4.3mm"/>
          <w:szCs w:val="4.3mm"/>
          <w:rFonts w:ascii="Segoe UI" w:cs="Segoe UI" w:eastAsia="Segoe UI" w:hAnsi="Segoe UI"/>
        </w:rPr>
        <w:br/>
        <w:t xml:space="preserve">Nexus, they don't have to demonstrate that; however, the same legislation.</w:t>
      </w:r>
      <w:r>
        <w:rPr>
          <w:color w:val="323130"/>
          <w:sz w:val="4.3mm"/>
          <w:szCs w:val="4.3mm"/>
          <w:rFonts w:ascii="Segoe UI" w:cs="Segoe UI" w:eastAsia="Segoe UI" w:hAnsi="Segoe UI"/>
        </w:rPr>
        <w:br/>
        <w:t xml:space="preserve">does not include a right to use merits review. So there's a bit of debate then about, there's a little article there, there's a little bit of debate there then about, you know, what is the best approach? Is open standing better or is that still an expensive approach and it would be more beneficial to have a merits review approach? So that's</w:t>
      </w:r>
      <w:r>
        <w:rPr>
          <w:color w:val="323130"/>
          <w:sz w:val="4.3mm"/>
          <w:szCs w:val="4.3mm"/>
          <w:rFonts w:ascii="Segoe UI" w:cs="Segoe UI" w:eastAsia="Segoe UI" w:hAnsi="Segoe UI"/>
        </w:rPr>
        <w:br/>
        <w:t xml:space="preserve">That's an open question that, you know, maybe one day you can have a bit of a think about what would be better, which serves justice, which serves the kind of public interest better. And interesting question.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Interveners, we talked about this a little bit at the start. So, and I might just go back to the bottom of this other slide, which tells you, if, so you might have open standing. If you haven't got open standing, you either have to look at the standing provisions under common law and under the ADGR Act.</w:t>
      </w:r>
      <w:r>
        <w:rPr>
          <w:color w:val="323130"/>
          <w:sz w:val="4.3mm"/>
          <w:szCs w:val="4.3mm"/>
          <w:rFonts w:ascii="Segoe UI" w:cs="Segoe UI" w:eastAsia="Segoe UI" w:hAnsi="Segoe UI"/>
        </w:rPr>
        <w:br/>
        <w:t xml:space="preserve">Common Law are arguably, I've got the case law that we talked about, and then ADGR Act, you've got a lot of statements of the court that you should interpret them liberally. You also have a statement by the High Court that the common law is broadening. We tend to say they're the same, but the ADGR Act is definitely more...</w:t>
      </w:r>
      <w:r>
        <w:rPr>
          <w:color w:val="323130"/>
          <w:sz w:val="4.3mm"/>
          <w:szCs w:val="4.3mm"/>
          <w:rFonts w:ascii="Segoe UI" w:cs="Segoe UI" w:eastAsia="Segoe UI" w:hAnsi="Segoe UI"/>
        </w:rPr>
        <w:br/>
        <w:t xml:space="preserve">more open to being interpreted in a broader way. Now, if you fail for standing, there are other ways that you can join the action under the ADGR Act. We looked at the Attorney General's fiat in the common law.</w:t>
      </w:r>
      <w:r>
        <w:rPr>
          <w:color w:val="323130"/>
          <w:sz w:val="4.3mm"/>
          <w:szCs w:val="4.3mm"/>
          <w:rFonts w:ascii="Segoe UI" w:cs="Segoe UI" w:eastAsia="Segoe UI" w:hAnsi="Segoe UI"/>
        </w:rPr>
        <w:br/>
        <w:t xml:space="preserve">and the opportunity for amicus curate in the common law. Now this is, we're looking at these in both common law and the ADGR Act. Joinder. Joinder is an inherent and discretionary power to join interest parties. So the court,</w:t>
      </w:r>
      <w:r>
        <w:rPr>
          <w:color w:val="323130"/>
          <w:sz w:val="4.3mm"/>
          <w:szCs w:val="4.3mm"/>
          <w:rFonts w:ascii="Segoe UI" w:cs="Segoe UI" w:eastAsia="Segoe UI" w:hAnsi="Segoe UI"/>
        </w:rPr>
        <w:br/>
        <w:t xml:space="preserve">can join anyone it likes. Once joined, and that's called an intervener, once joined, an intervener has all the privileges and obligations of a party to the action. So that means it can put arguments, it can appeal, it can, you know, do a whole range of things.</w:t>
      </w:r>
      <w:r>
        <w:rPr>
          <w:color w:val="323130"/>
          <w:sz w:val="4.3mm"/>
          <w:szCs w:val="4.3mm"/>
          <w:rFonts w:ascii="Segoe UI" w:cs="Segoe UI" w:eastAsia="Segoe UI" w:hAnsi="Segoe UI"/>
        </w:rPr>
        <w:br/>
        <w:t xml:space="preserve">When the court does actually permit somebody, permit an intervener to join, the court may impose conditions on how that person is joined. Now, someone might not.</w:t>
      </w:r>
      <w:r>
        <w:rPr>
          <w:color w:val="323130"/>
          <w:sz w:val="4.3mm"/>
          <w:szCs w:val="4.3mm"/>
          <w:rFonts w:ascii="Segoe UI" w:cs="Segoe UI" w:eastAsia="Segoe UI" w:hAnsi="Segoe UI"/>
        </w:rPr>
        <w:br/>
        <w:t xml:space="preserve">If the court does not join a person as an intervener, it has inherent power to recognise a friend of the court. So it can make, and the friend of the court, an amicus curae, is not joined to the matter, is not joined to the action, so it hasn't got privileges and obligations, it can't appeal, etc.</w:t>
      </w:r>
      <w:r>
        <w:rPr>
          <w:color w:val="323130"/>
          <w:sz w:val="4.3mm"/>
          <w:szCs w:val="4.3mm"/>
          <w:rFonts w:ascii="Segoe UI" w:cs="Segoe UI" w:eastAsia="Segoe UI" w:hAnsi="Segoe UI"/>
        </w:rPr>
        <w:br/>
        <w:t xml:space="preserve">but it can make submissions. And generally the requirement is that it makes submissions that will assist the court and the court might actually ask specifically that they make submissions around a particular point. So it's not open slather for the friend of the court, but certainly the court will.</w:t>
      </w:r>
      <w:r>
        <w:rPr>
          <w:color w:val="323130"/>
          <w:sz w:val="4.3mm"/>
          <w:szCs w:val="4.3mm"/>
          <w:rFonts w:ascii="Segoe UI" w:cs="Segoe UI" w:eastAsia="Segoe UI" w:hAnsi="Segoe UI"/>
        </w:rPr>
        <w:br/>
        <w:t xml:space="preserve">enable that person. Now sometimes, sometimes in some matters, somebody will just act as a friend of the court if they are acting pro bono for somebody who's unable to afford the litigation or just to put some points of view to assist the court in certain matters.</w:t>
      </w:r>
      <w:r>
        <w:rPr>
          <w:color w:val="323130"/>
          <w:sz w:val="4.3mm"/>
          <w:szCs w:val="4.3mm"/>
          <w:rFonts w:ascii="Segoe UI" w:cs="Segoe UI" w:eastAsia="Segoe UI" w:hAnsi="Segoe UI"/>
        </w:rPr>
        <w:br/>
        <w:t xml:space="preserve">So that can happen. Remember, of course, that we're talking about the Attorney-Generals always have the power to intervene. So often you'll see Attorney-Generals as interveners on some of these matters, particularly where it's a questioning of policy at the common law. Now, so both</w:t>
      </w:r>
      <w:r>
        <w:rPr>
          <w:color w:val="323130"/>
          <w:sz w:val="4.3mm"/>
          <w:szCs w:val="4.3mm"/>
          <w:rFonts w:ascii="Segoe UI" w:cs="Segoe UI" w:eastAsia="Segoe UI" w:hAnsi="Segoe UI"/>
        </w:rPr>
        <w:br/>
        <w:t xml:space="preserve">joinder and amicus exist under the ADGR Act as well. And so these are the statutory framework for those. ADGR Act Section 12, a person interested in a decision.</w:t>
      </w:r>
      <w:r>
        <w:rPr>
          <w:color w:val="323130"/>
          <w:sz w:val="4.3mm"/>
          <w:szCs w:val="4.3mm"/>
          <w:rFonts w:ascii="Segoe UI" w:cs="Segoe UI" w:eastAsia="Segoe UI" w:hAnsi="Segoe UI"/>
        </w:rPr>
        <w:br/>
        <w:t xml:space="preserve">in the conduct that has been, is being or is proposed to be engaged for the purposes of making a decision, a failure to make a decision, being a decision, conduct or failure in relation to which the application has been made, that person may apply to the court to be made a party to the application. So fairly broad basis.</w:t>
      </w:r>
      <w:r>
        <w:rPr>
          <w:color w:val="323130"/>
          <w:sz w:val="4.3mm"/>
          <w:szCs w:val="4.3mm"/>
          <w:rFonts w:ascii="Segoe UI" w:cs="Segoe UI" w:eastAsia="Segoe UI" w:hAnsi="Segoe UI"/>
        </w:rPr>
        <w:br/>
        <w:t xml:space="preserve">for them. The court may in its discretion grant the application either unconditionally or subject to the condition if fix fit or approve or refuse the application. So you can see that that's a parallel with the common law under the ADJR Act there. Now in the United States,</w:t>
      </w:r>
      <w:r>
        <w:rPr>
          <w:color w:val="323130"/>
          <w:sz w:val="4.3mm"/>
          <w:szCs w:val="4.3mm"/>
          <w:rFonts w:ascii="Segoe UI" w:cs="Segoe UI" w:eastAsia="Segoe UI" w:hAnsi="Segoe UI"/>
        </w:rPr>
        <w:br/>
        <w:t xml:space="preserve">tobacco company and the Minister for Consumer Affairs in 1998. The Federal Court held that the party will be joined only if they can usefully add to the arguments before the court.</w:t>
      </w:r>
      <w:r>
        <w:rPr>
          <w:color w:val="323130"/>
          <w:sz w:val="4.3mm"/>
          <w:szCs w:val="4.3mm"/>
          <w:rFonts w:ascii="Segoe UI" w:cs="Segoe UI" w:eastAsia="Segoe UI" w:hAnsi="Segoe UI"/>
        </w:rPr>
        <w:br/>
        <w:t xml:space="preserve">and that it won't add to the expense or length of the proceedings. Being granted amicus curae status, as I mentioned, is generally less restrictive, a less restrictive alternative, and that is entirely within the court's discretion. So</w:t>
      </w:r>
      <w:r>
        <w:rPr>
          <w:color w:val="323130"/>
          <w:sz w:val="4.3mm"/>
          <w:szCs w:val="4.3mm"/>
          <w:rFonts w:ascii="Segoe UI" w:cs="Segoe UI" w:eastAsia="Segoe UI" w:hAnsi="Segoe UI"/>
        </w:rPr>
        <w:br/>
        <w:t xml:space="preserve">You know, it's important, but often the court will put these restrictions or guidance around. It's not meant to be open slather at all. And what is the test? It's similar to a standing or interests affected test and it will be will definitely be influenced by the statutory and factual content.</w:t>
      </w:r>
      <w:r>
        <w:rPr>
          <w:color w:val="323130"/>
          <w:sz w:val="4.3mm"/>
          <w:szCs w:val="4.3mm"/>
          <w:rFonts w:ascii="Segoe UI" w:cs="Segoe UI" w:eastAsia="Segoe UI" w:hAnsi="Segoe UI"/>
        </w:rPr>
        <w:br/>
        <w:t xml:space="preserve">of the particular one, but certainly under section 12, if you are refused standing, not with, you know, you might ask to be joined to the proceeding. If the test here is similar to standing, then it might be more feasible that you ask for.</w:t>
      </w:r>
      <w:r>
        <w:rPr>
          <w:color w:val="323130"/>
          <w:sz w:val="4.3mm"/>
          <w:szCs w:val="4.3mm"/>
          <w:rFonts w:ascii="Segoe UI" w:cs="Segoe UI" w:eastAsia="Segoe UI" w:hAnsi="Segoe UI"/>
        </w:rPr>
        <w:br/>
        <w:t xml:space="preserve">amicus curae in particular. I talked before about the Attorney General, Attorney General's figure, this is the current Attorney General, Michelle Rowland. As the first officer, the Attorney General is empowered to challenge any law or decision for illegality on their own accord.</w:t>
      </w:r>
      <w:r>
        <w:rPr>
          <w:color w:val="323130"/>
          <w:sz w:val="4.3mm"/>
          <w:szCs w:val="4.3mm"/>
          <w:rFonts w:ascii="Segoe UI" w:cs="Segoe UI" w:eastAsia="Segoe UI" w:hAnsi="Segoe UI"/>
        </w:rPr>
        <w:br/>
        <w:t xml:space="preserve">And as I said, the Attorney General's fear they can also pass this power on to other people. It is used very, very rarely and the Attorney General's decision whether to grant</w:t>
      </w:r>
      <w:r>
        <w:rPr>
          <w:color w:val="323130"/>
          <w:sz w:val="4.3mm"/>
          <w:szCs w:val="4.3mm"/>
          <w:rFonts w:ascii="Segoe UI" w:cs="Segoe UI" w:eastAsia="Segoe UI" w:hAnsi="Segoe UI"/>
        </w:rPr>
        <w:br/>
        <w:t xml:space="preserve">or not Attorney General's fiat. So whether to hand on or not, or whether to intervene or not, are not reviewable decisions. You cannot review the Attorney General's decision to either intervene or to grant fiat. So just be clear on that. No challenging, no challenging the Attorney General.</w:t>
      </w:r>
      <w:r>
        <w:rPr>
          <w:color w:val="323130"/>
          <w:sz w:val="4.3mm"/>
          <w:szCs w:val="4.3mm"/>
          <w:rFonts w:ascii="Segoe UI" w:cs="Segoe UI" w:eastAsia="Segoe UI" w:hAnsi="Segoe UI"/>
        </w:rPr>
        <w:br/>
        <w:t xml:space="preserve">Okay, now, just a summary, we have these different strands of thinking that have expanded over time. Originally in the common law, you needed a private right or a legal right. And then they said special damage. In Australian case law, that was changed to a special</w:t>
      </w:r>
      <w:r>
        <w:rPr>
          <w:color w:val="323130"/>
          <w:sz w:val="4.3mm"/>
          <w:szCs w:val="4.3mm"/>
          <w:rFonts w:ascii="Segoe UI" w:cs="Segoe UI" w:eastAsia="Segoe UI" w:hAnsi="Segoe UI"/>
        </w:rPr>
        <w:br/>
        <w:t xml:space="preserve">Interest, and then the idea of the interest has to be different from ordinary members of the public.</w:t>
      </w:r>
      <w:r>
        <w:rPr>
          <w:color w:val="323130"/>
          <w:sz w:val="4.3mm"/>
          <w:szCs w:val="4.3mm"/>
          <w:rFonts w:ascii="Segoe UI" w:cs="Segoe UI" w:eastAsia="Segoe UI" w:hAnsi="Segoe UI"/>
        </w:rPr>
        <w:br/>
        <w:t xml:space="preserve">And so that can be individually as an ordinary member of the public or as a group. And even it can be a small group or a large group with specific and identifiable interests. Now the case law I told you about was conservation.</w:t>
      </w:r>
      <w:r>
        <w:rPr>
          <w:color w:val="323130"/>
          <w:sz w:val="4.3mm"/>
          <w:szCs w:val="4.3mm"/>
          <w:rFonts w:ascii="Segoe UI" w:cs="Segoe UI" w:eastAsia="Segoe UI" w:hAnsi="Segoe UI"/>
        </w:rPr>
        <w:br/>
        <w:t xml:space="preserve">foundation case law, but there's another case mentioned here, Groom in Tasmania, and Groom in that case was representing gay men in Tasmania because there was a law in Tasmania that outlawed ****** and successfully challenged that under Section 109.</w:t>
      </w:r>
      <w:r>
        <w:rPr>
          <w:color w:val="323130"/>
          <w:sz w:val="4.3mm"/>
          <w:szCs w:val="4.3mm"/>
          <w:rFonts w:ascii="Segoe UI" w:cs="Segoe UI" w:eastAsia="Segoe UI" w:hAnsi="Segoe UI"/>
        </w:rPr>
        <w:br/>
        <w:t xml:space="preserve">challenge. Again, we have the Argos case, which gives us the rules around commercial, but it has to be a genuine effect, but not too remote. And you have to show that you will be disadvantaged by the action in some way.</w:t>
      </w:r>
      <w:r>
        <w:rPr>
          <w:color w:val="323130"/>
          <w:sz w:val="4.3mm"/>
          <w:szCs w:val="4.3mm"/>
          <w:rFonts w:ascii="Segoe UI" w:cs="Segoe UI" w:eastAsia="Segoe UI" w:hAnsi="Segoe UI"/>
        </w:rPr>
        <w:br/>
        <w:t xml:space="preserve">When we look at the standing to seek judicial review cases, we can see them in different piles. The private rights pile, commercial interest pile, public interest group case law in one, unions case law.</w:t>
      </w:r>
      <w:r>
        <w:rPr>
          <w:color w:val="323130"/>
          <w:sz w:val="4.3mm"/>
          <w:szCs w:val="4.3mm"/>
          <w:rFonts w:ascii="Segoe UI" w:cs="Segoe UI" w:eastAsia="Segoe UI" w:hAnsi="Segoe UI"/>
        </w:rPr>
        <w:br/>
        <w:t xml:space="preserve">and the idea of competitors and commercial interest in another pot. So you can argue, I mean, this gives you a way in which to group that case law, but you might also argue by analogy across those different cases if you have wanting to argue.</w:t>
      </w:r>
      <w:r>
        <w:rPr>
          <w:color w:val="323130"/>
          <w:sz w:val="4.3mm"/>
          <w:szCs w:val="4.3mm"/>
          <w:rFonts w:ascii="Segoe UI" w:cs="Segoe UI" w:eastAsia="Segoe UI" w:hAnsi="Segoe UI"/>
        </w:rPr>
        <w:br/>
        <w:t xml:space="preserve">for standing in front of someone or indeed answering a particular research question.</w:t>
      </w:r>
      <w:r>
        <w:rPr>
          <w:color w:val="323130"/>
          <w:sz w:val="4.3mm"/>
          <w:szCs w:val="4.3mm"/>
          <w:rFonts w:ascii="Segoe UI" w:cs="Segoe UI" w:eastAsia="Segoe UI" w:hAnsi="Segoe UI"/>
        </w:rPr>
        <w:br/>
        <w:t xml:space="preserve">Now, I think we've actually just about come to the end. Any questions before I finish up?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There, one of the things that happened, thank you everyone. One of the things, you know, that was around, there's just some reflections here. So some of the environmental cases really were about this idea of lawfare, which was the accusation that environmental groups and public standing groups were just going to challenge everything</w:t>
      </w:r>
      <w:r>
        <w:rPr>
          <w:color w:val="323130"/>
          <w:sz w:val="4.3mm"/>
          <w:szCs w:val="4.3mm"/>
          <w:rFonts w:ascii="Segoe UI" w:cs="Segoe UI" w:eastAsia="Segoe UI" w:hAnsi="Segoe UI"/>
        </w:rPr>
        <w:br/>
        <w:t xml:space="preserve">for no reason and that you've got these floodgates arguing. Now some people argue that the public interest environmental groups still challenge developments in bad faith. That often those accusations are themselves in bad faith because the environmental groups are...</w:t>
      </w:r>
      <w:r>
        <w:rPr>
          <w:color w:val="323130"/>
          <w:sz w:val="4.3mm"/>
          <w:szCs w:val="4.3mm"/>
          <w:rFonts w:ascii="Segoe UI" w:cs="Segoe UI" w:eastAsia="Segoe UI" w:hAnsi="Segoe UI"/>
        </w:rPr>
        <w:br/>
        <w:t xml:space="preserve">have genuinely identified some endangered species or some problem with certain developments. And it's about this idea of unfettered development and its impact on the community was certainly contested for quite some time, seems to have eased off.</w:t>
      </w:r>
      <w:r>
        <w:rPr>
          <w:color w:val="323130"/>
          <w:sz w:val="4.3mm"/>
          <w:szCs w:val="4.3mm"/>
          <w:rFonts w:ascii="Segoe UI" w:cs="Segoe UI" w:eastAsia="Segoe UI" w:hAnsi="Segoe UI"/>
        </w:rPr>
        <w:br/>
        <w:t xml:space="preserve">a little bit now, but that is some, you know, an interesting discussion. And as I said, there were, it shifts and changes over time, and often it's around developing certain legal arguments until in the end, the High Court will make some definitive, to make some definitive kind of judgement which puts an end.</w:t>
      </w:r>
      <w:r>
        <w:rPr>
          <w:color w:val="323130"/>
          <w:sz w:val="4.3mm"/>
          <w:szCs w:val="4.3mm"/>
          <w:rFonts w:ascii="Segoe UI" w:cs="Segoe UI" w:eastAsia="Segoe UI" w:hAnsi="Segoe UI"/>
        </w:rPr>
        <w:br/>
        <w:t xml:space="preserve">to certain parts of the reasoning. Okay, so that is standing.</w:t>
      </w:r>
      <w:r>
        <w:rPr>
          <w:color w:val="323130"/>
          <w:sz w:val="4.3mm"/>
          <w:szCs w:val="4.3mm"/>
          <w:rFonts w:ascii="Segoe UI" w:cs="Segoe UI" w:eastAsia="Segoe UI" w:hAnsi="Segoe UI"/>
        </w:rPr>
        <w:br/>
        <w:t xml:space="preserve">And just a hint, standing is what assessment 2 is going to be all about. So you can have a look at that. And next week, we'll start talking about narrow ultra virus. So have a great week, everyone. Have a very lovely mid-semester break.</w:t>
      </w:r>
      <w:r>
        <w:rPr>
          <w:color w:val="323130"/>
          <w:sz w:val="4.3mm"/>
          <w:szCs w:val="4.3mm"/>
          <w:rFonts w:ascii="Segoe UI" w:cs="Segoe UI" w:eastAsia="Segoe UI" w:hAnsi="Segoe UI"/>
        </w:rPr>
        <w:br/>
        <w:t xml:space="preserve">And I will see you then. OK,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gs9xqtaj28cgcnvka9gw.png"/><Relationship Id="rId7" Type="http://schemas.openxmlformats.org/officeDocument/2006/relationships/image" Target="media/-hchymr5i4hkd5nn101ho.png"/><Relationship Id="rId8" Type="http://schemas.openxmlformats.org/officeDocument/2006/relationships/image" Target="media/62vpfw50gigswed_bcs6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2026-08-24T11:10:49.239Z</dcterms:created>
  <dcterms:modified xsi:type="dcterms:W3CDTF">2026-08-24T11:10:49.239Z</dcterms:modified>
</cp:coreProperties>
</file>

<file path=docProps/custom.xml><?xml version="1.0" encoding="utf-8"?>
<Properties xmlns="http://schemas.openxmlformats.org/officeDocument/2006/custom-properties" xmlns:vt="http://schemas.openxmlformats.org/officeDocument/2006/docPropsVTypes"/>
</file>