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Admin Law Lecture-20260907_163024-Meeting Recording</w:t>
      </w:r>
    </w:p>
    <w:p>
      <w:pPr>
        <w:spacing w:after="100"/>
      </w:pPr>
      <w:r>
        <w:rPr>
          <w:color w:val="605e5c"/>
          <w:sz w:val="3mm"/>
          <w:szCs w:val="3mm"/>
          <w:rFonts w:ascii="Segoe UI" w:cs="Segoe UI" w:eastAsia="Segoe UI" w:hAnsi="Segoe UI"/>
        </w:rPr>
        <w:t xml:space="preserve">September 7, 2026, 6:30AM</w:t>
      </w:r>
    </w:p>
    <w:p>
      <w:pPr>
        <w:spacing w:after="100"/>
      </w:pPr>
      <w:r>
        <w:rPr>
          <w:color w:val="605e5c"/>
          <w:sz w:val="3mm"/>
          <w:szCs w:val="3mm"/>
          <w:rFonts w:ascii="Segoe UI" w:cs="Segoe UI" w:eastAsia="Segoe UI" w:hAnsi="Segoe UI"/>
        </w:rPr>
        <w:t xml:space="preserve">1h 30m 39s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Penelope June Weller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Penelope June Weller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And me.</w:t>
      </w:r>
      <w:r>
        <w:rPr>
          <w:color w:val="323130"/>
          <w:sz w:val="4.3mm"/>
          <w:szCs w:val="4.3mm"/>
          <w:rFonts w:ascii="Segoe UI" w:cs="Segoe UI" w:eastAsia="Segoe UI" w:hAnsi="Segoe UI"/>
        </w:rPr>
        <w:br/>
        <w:t xml:space="preserve">Thank you. Okay, fantastic.</w:t>
      </w:r>
      <w:r>
        <w:rPr>
          <w:color w:val="323130"/>
          <w:sz w:val="4.3mm"/>
          <w:szCs w:val="4.3mm"/>
          <w:rFonts w:ascii="Segoe UI" w:cs="Segoe UI" w:eastAsia="Segoe UI" w:hAnsi="Segoe UI"/>
        </w:rPr>
        <w:br/>
        <w:t xml:space="preserve">And a few people are just joining now, so that's great. All right. Hello, everyone. I hope that you had...</w:t>
      </w:r>
      <w:r>
        <w:rPr>
          <w:color w:val="323130"/>
          <w:sz w:val="4.3mm"/>
          <w:szCs w:val="4.3mm"/>
          <w:rFonts w:ascii="Segoe UI" w:cs="Segoe UI" w:eastAsia="Segoe UI" w:hAnsi="Segoe UI"/>
        </w:rPr>
        <w:br/>
        <w:t xml:space="preserve">A very good semester break. You probably just had a chance to catch up, catch up on assessment and things like that at this time of year. But there you go. We're halfway through. Topic 7, and now we are going to talk about</w:t>
      </w:r>
      <w:r>
        <w:rPr>
          <w:color w:val="323130"/>
          <w:sz w:val="4.3mm"/>
          <w:szCs w:val="4.3mm"/>
          <w:rFonts w:ascii="Segoe UI" w:cs="Segoe UI" w:eastAsia="Segoe UI" w:hAnsi="Segoe UI"/>
        </w:rPr>
        <w:br/>
        <w:t xml:space="preserve">the grounds of review. So just to obviously acknowledge the traditional lands on which we meet and pay my respects to elders past, present and emerging. We are moving</w:t>
      </w:r>
      <w:r>
        <w:rPr>
          <w:color w:val="323130"/>
          <w:sz w:val="4.3mm"/>
          <w:szCs w:val="4.3mm"/>
          <w:rFonts w:ascii="Segoe UI" w:cs="Segoe UI" w:eastAsia="Segoe UI" w:hAnsi="Segoe UI"/>
        </w:rPr>
        <w:br/>
        <w:t xml:space="preserve">Along now, along our timeline, past past our first assessment and into grounds of review.</w:t>
      </w:r>
      <w:r>
        <w:rPr>
          <w:color w:val="323130"/>
          <w:sz w:val="4.3mm"/>
          <w:szCs w:val="4.3mm"/>
          <w:rFonts w:ascii="Segoe UI" w:cs="Segoe UI" w:eastAsia="Segoe UI" w:hAnsi="Segoe UI"/>
        </w:rPr>
        <w:br/>
        <w:t xml:space="preserve">So what, as I keep threatening from the beginning, we're now going to spend the rest of the semester looking at grounds of review. And this will occupy us to week 11 and then week 12 will be revision. So</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That is where we are up to.</w:t>
      </w:r>
      <w:r>
        <w:rPr>
          <w:color w:val="323130"/>
          <w:sz w:val="4.3mm"/>
          <w:szCs w:val="4.3mm"/>
          <w:rFonts w:ascii="Segoe UI" w:cs="Segoe UI" w:eastAsia="Segoe UI" w:hAnsi="Segoe UI"/>
        </w:rPr>
        <w:br/>
        <w:t xml:space="preserve">Today we are going to have a look at really the beginning of grounds of review. I'll go through the ADJR Act grounds again. Hopefully you've done some more detail in tutorials, but it doesn't hurt to get to go through it.</w:t>
      </w:r>
      <w:r>
        <w:rPr>
          <w:color w:val="323130"/>
          <w:sz w:val="4.3mm"/>
          <w:szCs w:val="4.3mm"/>
          <w:rFonts w:ascii="Segoe UI" w:cs="Segoe UI" w:eastAsia="Segoe UI" w:hAnsi="Segoe UI"/>
        </w:rPr>
        <w:br/>
        <w:t xml:space="preserve">The main theme of today's grounds is the idea of acting beyond power. So if you think about the way that we've talked about accountability, transparency and the role of government up till now, one of the principles is that the government or</w:t>
      </w:r>
      <w:r>
        <w:rPr>
          <w:color w:val="323130"/>
          <w:sz w:val="4.3mm"/>
          <w:szCs w:val="4.3mm"/>
          <w:rFonts w:ascii="Segoe UI" w:cs="Segoe UI" w:eastAsia="Segoe UI" w:hAnsi="Segoe UI"/>
        </w:rPr>
        <w:br/>
        <w:t xml:space="preserve">or the administration of government has to be able to point to a head of power or a statutory that gives them the authority or some other principle that gives people the authority to act. And when we're talking about whether a decision is reviewable in one of our forums,</w:t>
      </w:r>
      <w:r>
        <w:rPr>
          <w:color w:val="323130"/>
          <w:sz w:val="4.3mm"/>
          <w:szCs w:val="4.3mm"/>
          <w:rFonts w:ascii="Segoe UI" w:cs="Segoe UI" w:eastAsia="Segoe UI" w:hAnsi="Segoe UI"/>
        </w:rPr>
        <w:br/>
        <w:t xml:space="preserve">we say either there was an error of law or otherwise a ground of review. So the kind of errors or the kind of problems that can occur in a decision which allow the decision to become reviewable in the courts. And this one, our major theme for today,</w:t>
      </w:r>
      <w:r>
        <w:rPr>
          <w:color w:val="323130"/>
          <w:sz w:val="4.3mm"/>
          <w:szCs w:val="4.3mm"/>
          <w:rFonts w:ascii="Segoe UI" w:cs="Segoe UI" w:eastAsia="Segoe UI" w:hAnsi="Segoe UI"/>
        </w:rPr>
        <w:br/>
        <w:t xml:space="preserve">is whether people are acting beyond power. So we're having a look at how you think through what is beyond power, how you identify acting beyond power. And that includes a discussion about delegation and agency. So it's the person who is exercising.</w:t>
      </w:r>
      <w:r>
        <w:rPr>
          <w:color w:val="323130"/>
          <w:sz w:val="4.3mm"/>
          <w:szCs w:val="4.3mm"/>
          <w:rFonts w:ascii="Segoe UI" w:cs="Segoe UI" w:eastAsia="Segoe UI" w:hAnsi="Segoe UI"/>
        </w:rPr>
        <w:br/>
        <w:t xml:space="preserve">The decision-making.</w:t>
      </w:r>
      <w:r>
        <w:rPr>
          <w:color w:val="323130"/>
          <w:sz w:val="4.3mm"/>
          <w:szCs w:val="4.3mm"/>
          <w:rFonts w:ascii="Segoe UI" w:cs="Segoe UI" w:eastAsia="Segoe UI" w:hAnsi="Segoe UI"/>
        </w:rPr>
        <w:br/>
        <w:t xml:space="preserve">All right, and the week of the lecture is called Introduction to Grounds of Review. So let's start at the start. What are the grounds of review? So a ground of review is the basis for arguing that the court should grant relief</w:t>
      </w:r>
      <w:r>
        <w:rPr>
          <w:color w:val="323130"/>
          <w:sz w:val="4.3mm"/>
          <w:szCs w:val="4.3mm"/>
          <w:rFonts w:ascii="Segoe UI" w:cs="Segoe UI" w:eastAsia="Segoe UI" w:hAnsi="Segoe UI"/>
        </w:rPr>
        <w:br/>
        <w:t xml:space="preserve">because the decision, the decision and grant relief, you know, that means put the, set the decision aside or replace the decision or do something with the decision because it is either the decision maker has either committed an error of law</w:t>
      </w:r>
      <w:r>
        <w:rPr>
          <w:color w:val="323130"/>
          <w:sz w:val="4.3mm"/>
          <w:szCs w:val="4.3mm"/>
          <w:rFonts w:ascii="Segoe UI" w:cs="Segoe UI" w:eastAsia="Segoe UI" w:hAnsi="Segoe UI"/>
        </w:rPr>
        <w:br/>
        <w:t xml:space="preserve">or there is some other ground of review that we can point to. Now, as we talked about when we first started talking about judicial review, the three forms of judicial review overlap and have a lot of commonality.</w:t>
      </w:r>
      <w:r>
        <w:rPr>
          <w:color w:val="323130"/>
          <w:sz w:val="4.3mm"/>
          <w:szCs w:val="4.3mm"/>
          <w:rFonts w:ascii="Segoe UI" w:cs="Segoe UI" w:eastAsia="Segoe UI" w:hAnsi="Segoe UI"/>
        </w:rPr>
        <w:br/>
        <w:t xml:space="preserve">So there's common law, common law judicial review, which is inherited from the English courts, kind of filtered through our constitutional section 75 framework in the Constitution and now codified in the ADJR Act. So you have these grounds of reviews in the statute.</w:t>
      </w:r>
      <w:r>
        <w:rPr>
          <w:color w:val="323130"/>
          <w:sz w:val="4.3mm"/>
          <w:szCs w:val="4.3mm"/>
          <w:rFonts w:ascii="Segoe UI" w:cs="Segoe UI" w:eastAsia="Segoe UI" w:hAnsi="Segoe UI"/>
        </w:rPr>
        <w:br/>
        <w:t xml:space="preserve">Now, for the most part, they're pretty similar. For the most part, the codification in the statute tends to draw on the common law. I will talk about them in parallel as we go through. There are some areas where common law principles have been modified.</w:t>
      </w:r>
      <w:r>
        <w:rPr>
          <w:color w:val="323130"/>
          <w:sz w:val="4.3mm"/>
          <w:szCs w:val="4.3mm"/>
          <w:rFonts w:ascii="Segoe UI" w:cs="Segoe UI" w:eastAsia="Segoe UI" w:hAnsi="Segoe UI"/>
        </w:rPr>
        <w:br/>
        <w:t xml:space="preserve">by the statute, I'll be clear about pointing them out. In most instances, we draw on the common law and the case law that's developed either under the common law, either on the statute, to understand what the meaning of the statute is. So there is a close parallel.</w:t>
      </w:r>
      <w:r>
        <w:rPr>
          <w:color w:val="323130"/>
          <w:sz w:val="4.3mm"/>
          <w:szCs w:val="4.3mm"/>
          <w:rFonts w:ascii="Segoe UI" w:cs="Segoe UI" w:eastAsia="Segoe UI" w:hAnsi="Segoe UI"/>
        </w:rPr>
        <w:br/>
        <w:t xml:space="preserve">There is overlaps that there are some parts that are different, which is what we need to keep an eye on.</w:t>
      </w:r>
      <w:r>
        <w:rPr>
          <w:color w:val="323130"/>
          <w:sz w:val="4.3mm"/>
          <w:szCs w:val="4.3mm"/>
          <w:rFonts w:ascii="Segoe UI" w:cs="Segoe UI" w:eastAsia="Segoe UI" w:hAnsi="Segoe UI"/>
        </w:rPr>
        <w:br/>
        <w:t xml:space="preserve">to a certain extent.</w:t>
      </w:r>
      <w:r>
        <w:rPr>
          <w:color w:val="323130"/>
          <w:sz w:val="4.3mm"/>
          <w:szCs w:val="4.3mm"/>
          <w:rFonts w:ascii="Segoe UI" w:cs="Segoe UI" w:eastAsia="Segoe UI" w:hAnsi="Segoe UI"/>
        </w:rPr>
        <w:br/>
        <w:t xml:space="preserve">SoL.</w:t>
      </w:r>
      <w:r>
        <w:rPr>
          <w:color w:val="323130"/>
          <w:sz w:val="4.3mm"/>
          <w:szCs w:val="4.3mm"/>
          <w:rFonts w:ascii="Segoe UI" w:cs="Segoe UI" w:eastAsia="Segoe UI" w:hAnsi="Segoe UI"/>
        </w:rPr>
        <w:br/>
        <w:t xml:space="preserve">a ground of review. We call it a ground of review because it's the way in which decision makers might act without lawful authority that is contrary to the terms of their authority. And so they have to, the court often has to ask, what is...</w:t>
      </w:r>
      <w:r>
        <w:rPr>
          <w:color w:val="323130"/>
          <w:sz w:val="4.3mm"/>
          <w:szCs w:val="4.3mm"/>
          <w:rFonts w:ascii="Segoe UI" w:cs="Segoe UI" w:eastAsia="Segoe UI" w:hAnsi="Segoe UI"/>
        </w:rPr>
        <w:br/>
        <w:t xml:space="preserve">What was the authority? What was the bounds of the authority and did they exercise that authority appropriately?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In particular, I said to you where the areas are different. In particular,</w:t>
      </w:r>
      <w:r>
        <w:rPr>
          <w:color w:val="323130"/>
          <w:sz w:val="4.3mm"/>
          <w:szCs w:val="4.3mm"/>
          <w:rFonts w:ascii="Segoe UI" w:cs="Segoe UI" w:eastAsia="Segoe UI" w:hAnsi="Segoe UI"/>
        </w:rPr>
        <w:br/>
        <w:t xml:space="preserve">There's error, no evidence area, so we'll see a couple of areas where things are different. So this is what we're talking about in this one. Now, the broad categories of the grounds of review.</w:t>
      </w:r>
      <w:r>
        <w:rPr>
          <w:color w:val="323130"/>
          <w:sz w:val="4.3mm"/>
          <w:szCs w:val="4.3mm"/>
          <w:rFonts w:ascii="Segoe UI" w:cs="Segoe UI" w:eastAsia="Segoe UI" w:hAnsi="Segoe UI"/>
        </w:rPr>
        <w:br/>
        <w:t xml:space="preserve">So, and I said that we were talking about acting beyond power mostly today. There can be factual errors that might mar a decision. So where something, where the decision is made on an error of fact,</w:t>
      </w:r>
      <w:r>
        <w:rPr>
          <w:color w:val="323130"/>
          <w:sz w:val="4.3mm"/>
          <w:szCs w:val="4.3mm"/>
          <w:rFonts w:ascii="Segoe UI" w:cs="Segoe UI" w:eastAsia="Segoe UI" w:hAnsi="Segoe UI"/>
        </w:rPr>
        <w:br/>
        <w:t xml:space="preserve">that decision might be put aside. Where the decision maker has disregarded some express procedural requirement that might sit in the statute, it can be put aside. If usually the decision maker, when you're sitting in the public service, is that the statute will often allow for a delegation of the power of the decision maker, the minister, for example,</w:t>
      </w:r>
      <w:r>
        <w:rPr>
          <w:color w:val="323130"/>
          <w:sz w:val="4.3mm"/>
          <w:szCs w:val="4.3mm"/>
          <w:rFonts w:ascii="Segoe UI" w:cs="Segoe UI" w:eastAsia="Segoe UI" w:hAnsi="Segoe UI"/>
        </w:rPr>
        <w:br/>
        <w:t xml:space="preserve">If that delegation has been improper or it's not been understood correctly or it's the wrong person who's acting on the power, that decision can be put aside. If there's a failure to take account of mandatory considerations, the decision can be put aside. If there's a failure to afford natural justice to the parties,</w:t>
      </w:r>
      <w:r>
        <w:rPr>
          <w:color w:val="323130"/>
          <w:sz w:val="4.3mm"/>
          <w:szCs w:val="4.3mm"/>
          <w:rFonts w:ascii="Segoe UI" w:cs="Segoe UI" w:eastAsia="Segoe UI" w:hAnsi="Segoe UI"/>
        </w:rPr>
        <w:br/>
        <w:t xml:space="preserve">then it can be put aside. If the decision is made for a purpose other than that which is specified in the statute, the decision can be put aside.</w:t>
      </w:r>
      <w:r>
        <w:rPr>
          <w:color w:val="323130"/>
          <w:sz w:val="4.3mm"/>
          <w:szCs w:val="4.3mm"/>
          <w:rFonts w:ascii="Segoe UI" w:cs="Segoe UI" w:eastAsia="Segoe UI" w:hAnsi="Segoe UI"/>
        </w:rPr>
        <w:br/>
        <w:t xml:space="preserve">If the decision has been made in bad faith or is affected by fraud, it can be set aside.</w:t>
      </w:r>
      <w:r>
        <w:rPr>
          <w:color w:val="323130"/>
          <w:sz w:val="4.3mm"/>
          <w:szCs w:val="4.3mm"/>
          <w:rFonts w:ascii="Segoe UI" w:cs="Segoe UI" w:eastAsia="Segoe UI" w:hAnsi="Segoe UI"/>
        </w:rPr>
        <w:br/>
        <w:t xml:space="preserve">If a person who is meant to be exercising discretion, so that the statute requires them to consider a certain situation and exercise discretion, if they fail to exercise their discretion or they fetter their discretion, which is...</w:t>
      </w:r>
      <w:r>
        <w:rPr>
          <w:color w:val="323130"/>
          <w:sz w:val="4.3mm"/>
          <w:szCs w:val="4.3mm"/>
          <w:rFonts w:ascii="Segoe UI" w:cs="Segoe UI" w:eastAsia="Segoe UI" w:hAnsi="Segoe UI"/>
        </w:rPr>
        <w:br/>
        <w:t xml:space="preserve">Limit their discretion in some way; that decision can be put aside.</w:t>
      </w:r>
      <w:r>
        <w:rPr>
          <w:color w:val="323130"/>
          <w:sz w:val="4.3mm"/>
          <w:szCs w:val="4.3mm"/>
          <w:rFonts w:ascii="Segoe UI" w:cs="Segoe UI" w:eastAsia="Segoe UI" w:hAnsi="Segoe UI"/>
        </w:rPr>
        <w:br/>
        <w:t xml:space="preserve">If the decision they make is unreasonable, it can be put aside. If it's irrational, it can be put aside. And if it's based on no evidence, it can be put aside. Now, when you think about those things in a totality in that way, you can see that what this law is doing is requiring the decision makers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Chirathi Deshara Attanayaka Attanayaka Mudiyanselage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Penelope June Weller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And we're talking about ministers or we're talking about tribunals. They have to make decisions within this framework of proper conduct. And if they're not within that framework of proper conduct,</w:t>
      </w:r>
      <w:r>
        <w:rPr>
          <w:color w:val="323130"/>
          <w:sz w:val="4.3mm"/>
          <w:szCs w:val="4.3mm"/>
          <w:rFonts w:ascii="Segoe UI" w:cs="Segoe UI" w:eastAsia="Segoe UI" w:hAnsi="Segoe UI"/>
        </w:rPr>
        <w:br/>
        <w:t xml:space="preserve">And their decision is flawed and can be set aside.</w:t>
      </w:r>
      <w:r>
        <w:rPr>
          <w:color w:val="323130"/>
          <w:sz w:val="4.3mm"/>
          <w:szCs w:val="4.3mm"/>
          <w:rFonts w:ascii="Segoe UI" w:cs="Segoe UI" w:eastAsia="Segoe UI" w:hAnsi="Segoe UI"/>
        </w:rPr>
        <w:br/>
        <w:t xml:space="preserve">Now, in the ADJR Act, it's in section 5. I hope that you're going through section 51 in the section 512 and 3 in the lectures in a bit more detail. Section</w:t>
      </w:r>
      <w:r>
        <w:rPr>
          <w:color w:val="323130"/>
          <w:sz w:val="4.3mm"/>
          <w:szCs w:val="4.3mm"/>
          <w:rFonts w:ascii="Segoe UI" w:cs="Segoe UI" w:eastAsia="Segoe UI" w:hAnsi="Segoe UI"/>
        </w:rPr>
        <w:br/>
        <w:t xml:space="preserve">says a person, individual or a body corporate, aggrieved by a decision to which this Act applies, and we know what that means because we did our standing lecture. If you recall, we did our standing lecture last time we met, may apply to the Federal Court and the Federal Circuit and Family Court of Australia.</w:t>
      </w:r>
      <w:r>
        <w:rPr>
          <w:color w:val="323130"/>
          <w:sz w:val="4.3mm"/>
          <w:szCs w:val="4.3mm"/>
          <w:rFonts w:ascii="Segoe UI" w:cs="Segoe UI" w:eastAsia="Segoe UI" w:hAnsi="Segoe UI"/>
        </w:rPr>
        <w:br/>
        <w:t xml:space="preserve">which have now been merged, so it's a little bit out of date, for the order of review on any one or more of the following grounds. So the point is they can apply to the Federal Court.</w:t>
      </w:r>
      <w:r>
        <w:rPr>
          <w:color w:val="323130"/>
          <w:sz w:val="4.3mm"/>
          <w:szCs w:val="4.3mm"/>
          <w:rFonts w:ascii="Segoe UI" w:cs="Segoe UI" w:eastAsia="Segoe UI" w:hAnsi="Segoe UI"/>
        </w:rPr>
        <w:br/>
        <w:t xml:space="preserve">So, Section 5.1 grounds. A breach of rules of natural justice, required procedures not observed, no jurisdiction or jurisdictional error. I'll talk about what that means. A decision not authorised by the enactment, an improper exercise of power,</w:t>
      </w:r>
      <w:r>
        <w:rPr>
          <w:color w:val="323130"/>
          <w:sz w:val="4.3mm"/>
          <w:szCs w:val="4.3mm"/>
          <w:rFonts w:ascii="Segoe UI" w:cs="Segoe UI" w:eastAsia="Segoe UI" w:hAnsi="Segoe UI"/>
        </w:rPr>
        <w:br/>
        <w:t xml:space="preserve">an error of law, whether or not on the record, fraud, no evidence and contrary to law. So you can see that.</w:t>
      </w:r>
      <w:r>
        <w:rPr>
          <w:color w:val="323130"/>
          <w:sz w:val="4.3mm"/>
          <w:szCs w:val="4.3mm"/>
          <w:rFonts w:ascii="Segoe UI" w:cs="Segoe UI" w:eastAsia="Segoe UI" w:hAnsi="Segoe UI"/>
        </w:rPr>
        <w:br/>
        <w:t xml:space="preserve">Section 15E is expanded in Section 5, Subsection 2.</w:t>
      </w:r>
      <w:r>
        <w:rPr>
          <w:color w:val="323130"/>
          <w:sz w:val="4.3mm"/>
          <w:szCs w:val="4.3mm"/>
          <w:rFonts w:ascii="Segoe UI" w:cs="Segoe UI" w:eastAsia="Segoe UI" w:hAnsi="Segoe UI"/>
        </w:rPr>
        <w:br/>
        <w:t xml:space="preserve">Section 5, subsection 2 unpacks or cascades what an improper exercise of power constitutes. An improper exercise of powers occurs when a decision maker takes into account irrelevant decisions, considerations,</w:t>
      </w:r>
      <w:r>
        <w:rPr>
          <w:color w:val="323130"/>
          <w:sz w:val="4.3mm"/>
          <w:szCs w:val="4.3mm"/>
          <w:rFonts w:ascii="Segoe UI" w:cs="Segoe UI" w:eastAsia="Segoe UI" w:hAnsi="Segoe UI"/>
        </w:rPr>
        <w:br/>
        <w:t xml:space="preserve">They fail to take into account relevant considerations. The purpose is other than a statutory one. There is bad faith. They exercise a personal discretionary power under the direction of another. They fail to take into account the merits of a particular case.</w:t>
      </w:r>
      <w:r>
        <w:rPr>
          <w:color w:val="323130"/>
          <w:sz w:val="4.3mm"/>
          <w:szCs w:val="4.3mm"/>
          <w:rFonts w:ascii="Segoe UI" w:cs="Segoe UI" w:eastAsia="Segoe UI" w:hAnsi="Segoe UI"/>
        </w:rPr>
        <w:br/>
        <w:t xml:space="preserve">Wensbury unreasonableness, uncertain result, and J, any other exercise of power in a way that constitutes an abuse of power. So you see this is a similar theme, but is articulated with a little bit more specificity in the ADJR Act.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now and also note the importance of statutory interpretation here. When I say the purpose is other than the statutory one, then the court undertakes an exercise of statutory interpretation to look at what was the purpose in the statute.</w:t>
      </w:r>
      <w:r>
        <w:rPr>
          <w:color w:val="323130"/>
          <w:sz w:val="4.3mm"/>
          <w:szCs w:val="4.3mm"/>
          <w:rFonts w:ascii="Segoe UI" w:cs="Segoe UI" w:eastAsia="Segoe UI" w:hAnsi="Segoe UI"/>
        </w:rPr>
        <w:br/>
        <w:t xml:space="preserve">And then was the decision made for a purpose other than that? When we're talking about relevant or irrelevant considerations, generally we're talking about an exercise in statutory interpretation because the statute will have a list of things that the decision maker was meant to take into account.</w:t>
      </w:r>
      <w:r>
        <w:rPr>
          <w:color w:val="323130"/>
          <w:sz w:val="4.3mm"/>
          <w:szCs w:val="4.3mm"/>
          <w:rFonts w:ascii="Segoe UI" w:cs="Segoe UI" w:eastAsia="Segoe UI" w:hAnsi="Segoe UI"/>
        </w:rPr>
        <w:br/>
        <w:t xml:space="preserve">And if they fail to take those things into account or they take into account things other than that list, then you satisfy one of these conditions.</w:t>
      </w:r>
      <w:r>
        <w:rPr>
          <w:color w:val="323130"/>
          <w:sz w:val="4.3mm"/>
          <w:szCs w:val="4.3mm"/>
          <w:rFonts w:ascii="Segoe UI" w:cs="Segoe UI" w:eastAsia="Segoe UI" w:hAnsi="Segoe UI"/>
        </w:rPr>
        <w:br/>
        <w:t xml:space="preserve">Winsbury unreasonableness is a particular form of unreasonableness, which we'll talk about when we get there. But also J, remember J is a catch-all. So any other exercise of power in a way that constitutes abuse of power.</w:t>
      </w:r>
      <w:r>
        <w:rPr>
          <w:color w:val="323130"/>
          <w:sz w:val="4.3mm"/>
          <w:szCs w:val="4.3mm"/>
          <w:rFonts w:ascii="Segoe UI" w:cs="Segoe UI" w:eastAsia="Segoe UI" w:hAnsi="Segoe UI"/>
        </w:rPr>
        <w:br/>
        <w:t xml:space="preserve">Now, I will, we will look at case law that kind of elucidates what all these different categories are. If you are a lawyer advising your client to challenge a, you're advising to challenge a decision, you will try and seek out</w:t>
      </w:r>
      <w:r>
        <w:rPr>
          <w:color w:val="323130"/>
          <w:sz w:val="4.3mm"/>
          <w:szCs w:val="4.3mm"/>
          <w:rFonts w:ascii="Segoe UI" w:cs="Segoe UI" w:eastAsia="Segoe UI" w:hAnsi="Segoe UI"/>
        </w:rPr>
        <w:br/>
        <w:t xml:space="preserve">as many grounds of review as you can. Yes, they will overlap. Yes, some of the evidence you would use will be the same evidence which you would use for different heads of power. It only requires one successful</w:t>
      </w:r>
      <w:r>
        <w:rPr>
          <w:color w:val="323130"/>
          <w:sz w:val="4.3mm"/>
          <w:szCs w:val="4.3mm"/>
          <w:rFonts w:ascii="Segoe UI" w:cs="Segoe UI" w:eastAsia="Segoe UI" w:hAnsi="Segoe UI"/>
        </w:rPr>
        <w:br/>
        <w:t xml:space="preserve">one successful claim in terms of the improper an error of law or ground of review for the decision to go down, but it's a little bit unpredictable sometimes about what the courts, what arguments the courts will accept or not. So you're going to be putting multiple</w:t>
      </w:r>
      <w:r>
        <w:rPr>
          <w:color w:val="323130"/>
          <w:sz w:val="4.3mm"/>
          <w:szCs w:val="4.3mm"/>
          <w:rFonts w:ascii="Segoe UI" w:cs="Segoe UI" w:eastAsia="Segoe UI" w:hAnsi="Segoe UI"/>
        </w:rPr>
        <w:br/>
        <w:t xml:space="preserve">propositions to the court with respect to the potential grounds of review when you are seeking to review a decision. That same logic is what you will apply in your exam questions. Do not stint. You need to demonstrate to me at the end of the year</w:t>
      </w:r>
      <w:r>
        <w:rPr>
          <w:color w:val="323130"/>
          <w:sz w:val="4.3mm"/>
          <w:szCs w:val="4.3mm"/>
          <w:rFonts w:ascii="Segoe UI" w:cs="Segoe UI" w:eastAsia="Segoe UI" w:hAnsi="Segoe UI"/>
        </w:rPr>
        <w:br/>
        <w:t xml:space="preserve">that you can think of something to say about nearly every ground of power in the ADGR Act, even when it's the same kind of fact situation that is that is underwriting most. Now, and in that spirit, what you'll see is we look at some of the cases that we've already seen in the course come back again with a different ground of review, because multiple grounds of review</w:t>
      </w:r>
      <w:r>
        <w:rPr>
          <w:color w:val="323130"/>
          <w:sz w:val="4.3mm"/>
          <w:szCs w:val="4.3mm"/>
          <w:rFonts w:ascii="Segoe UI" w:cs="Segoe UI" w:eastAsia="Segoe UI" w:hAnsi="Segoe UI"/>
        </w:rPr>
        <w:br/>
        <w:t xml:space="preserve">Argued in the cases.</w:t>
      </w:r>
      <w:r>
        <w:rPr>
          <w:color w:val="323130"/>
          <w:sz w:val="4.3mm"/>
          <w:szCs w:val="4.3mm"/>
          <w:rFonts w:ascii="Segoe UI" w:cs="Segoe UI" w:eastAsia="Segoe UI" w:hAnsi="Segoe UI"/>
        </w:rPr>
        <w:br/>
        <w:t xml:space="preserve">And so it is important. And if you can't, you make an argument out of everyone and then you can always say, well, you know, and if you've got some other material, you say it falls into J. Just note that there is no I here.</w:t>
      </w:r>
      <w:r>
        <w:rPr>
          <w:color w:val="323130"/>
          <w:sz w:val="4.3mm"/>
          <w:szCs w:val="4.3mm"/>
          <w:rFonts w:ascii="Segoe UI" w:cs="Segoe UI" w:eastAsia="Segoe UI" w:hAnsi="Segoe UI"/>
        </w:rPr>
        <w:br/>
        <w:t xml:space="preserve">In Section Five One, none of us really know why we just...</w:t>
      </w:r>
      <w:r>
        <w:rPr>
          <w:color w:val="323130"/>
          <w:sz w:val="4.3mm"/>
          <w:szCs w:val="4.3mm"/>
          <w:rFonts w:ascii="Segoe UI" w:cs="Segoe UI" w:eastAsia="Segoe UI" w:hAnsi="Segoe UI"/>
        </w:rPr>
        <w:br/>
        <w:t xml:space="preserve">I think it might have been an error. Nothing, there's no significance to it. The little joke here is from Hitchhiker's Guide to the Galaxy, which some of you will be old enough to remember, which is really just trying to make a comment about point of view. So humans think they're better than dolphins because we did a whole lot of stuff while they just mucked</w:t>
      </w:r>
      <w:r>
        <w:rPr>
          <w:color w:val="323130"/>
          <w:sz w:val="4.3mm"/>
          <w:szCs w:val="4.3mm"/>
          <w:rFonts w:ascii="Segoe UI" w:cs="Segoe UI" w:eastAsia="Segoe UI" w:hAnsi="Segoe UI"/>
        </w:rPr>
        <w:br/>
        <w:t xml:space="preserve">around and the dolphins think they're better than people because they mucked around instead of doing a whole lot of stupid stuff. So be flexible, think through, try and think up arguments that get you into each of the grounds. So finally, we do have an unpack also on Section 5.3. So you see H, no evidence. See further, Section 5.3.</w:t>
      </w:r>
      <w:r>
        <w:rPr>
          <w:color w:val="323130"/>
          <w:sz w:val="4.3mm"/>
          <w:szCs w:val="4.3mm"/>
          <w:rFonts w:ascii="Segoe UI" w:cs="Segoe UI" w:eastAsia="Segoe UI" w:hAnsi="Segoe UI"/>
        </w:rPr>
        <w:br/>
        <w:t xml:space="preserve">Do go and look in the ADGR Act itself in Austley, just so that you're visualising what the legislation actually looks like when it's in its proper form. Don't just rely on these slides. So Section 5.3 is headed no evidence.</w:t>
      </w:r>
      <w:r>
        <w:rPr>
          <w:color w:val="323130"/>
          <w:sz w:val="4.3mm"/>
          <w:szCs w:val="4.3mm"/>
          <w:rFonts w:ascii="Segoe UI" w:cs="Segoe UI" w:eastAsia="Segoe UI" w:hAnsi="Segoe UI"/>
        </w:rPr>
        <w:br/>
        <w:t xml:space="preserve">No evidence from which administrator can be reasonably satisfied that a particular matter was established and that the decision is based on an evidence of fact that did not exist. So those two...</w:t>
      </w:r>
      <w:r>
        <w:rPr>
          <w:color w:val="323130"/>
          <w:sz w:val="4.3mm"/>
          <w:szCs w:val="4.3mm"/>
          <w:rFonts w:ascii="Segoe UI" w:cs="Segoe UI" w:eastAsia="Segoe UI" w:hAnsi="Segoe UI"/>
        </w:rPr>
        <w:br/>
        <w:t xml:space="preserve">Framings of the idea of no evidence unpacks the common law a bit and gives it a bit more substance.</w:t>
      </w:r>
      <w:r>
        <w:rPr>
          <w:color w:val="323130"/>
          <w:sz w:val="4.3mm"/>
          <w:szCs w:val="4.3mm"/>
          <w:rFonts w:ascii="Segoe UI" w:cs="Segoe UI" w:eastAsia="Segoe UI" w:hAnsi="Segoe UI"/>
        </w:rPr>
        <w:br/>
        <w:t xml:space="preserve">Okay, so let's look at this, this fact law distinction first. So it's this idea about</w:t>
      </w:r>
      <w:r>
        <w:rPr>
          <w:color w:val="323130"/>
          <w:sz w:val="4.3mm"/>
          <w:szCs w:val="4.3mm"/>
          <w:rFonts w:ascii="Segoe UI" w:cs="Segoe UI" w:eastAsia="Segoe UI" w:hAnsi="Segoe UI"/>
        </w:rPr>
        <w:br/>
        <w:t xml:space="preserve">There needs to be facts and the decision maker is required to make conclusions based on law and facts. So we saw that in tribunal work. We know that the tribunal has to look at the law and looks at the facts.</w:t>
      </w:r>
      <w:r>
        <w:rPr>
          <w:color w:val="323130"/>
          <w:sz w:val="4.3mm"/>
          <w:szCs w:val="4.3mm"/>
          <w:rFonts w:ascii="Segoe UI" w:cs="Segoe UI" w:eastAsia="Segoe UI" w:hAnsi="Segoe UI"/>
        </w:rPr>
        <w:br/>
        <w:t xml:space="preserve">In general, an error of fact will not be an error of law. So there might be some factual errors in the way in which a decision maker or a tribunal is looking at a particular matter. But an error of fact</w:t>
      </w:r>
      <w:r>
        <w:rPr>
          <w:color w:val="323130"/>
          <w:sz w:val="4.3mm"/>
          <w:szCs w:val="4.3mm"/>
          <w:rFonts w:ascii="Segoe UI" w:cs="Segoe UI" w:eastAsia="Segoe UI" w:hAnsi="Segoe UI"/>
        </w:rPr>
        <w:br/>
        <w:t xml:space="preserve">can be an error of law and therefore the basis upon which a decision is set aside in certain circumstances. Now those will be if a decision depends on the existence of a particular fact, then this equals A jurisdictional fact that may be reviewed. So often the legislation will have a requirement</w:t>
      </w:r>
      <w:r>
        <w:rPr>
          <w:color w:val="323130"/>
          <w:sz w:val="4.3mm"/>
          <w:szCs w:val="4.3mm"/>
          <w:rFonts w:ascii="Segoe UI" w:cs="Segoe UI" w:eastAsia="Segoe UI" w:hAnsi="Segoe UI"/>
        </w:rPr>
        <w:br/>
        <w:t xml:space="preserve">that some certain fact is satisfied. And when we say it's a jurisdictional fact, the presence of that fact is what turns, is what kind of triggers the application of the legislation. So if that fact doesn't exist, then...</w:t>
      </w:r>
      <w:r>
        <w:rPr>
          <w:color w:val="323130"/>
          <w:sz w:val="4.3mm"/>
          <w:szCs w:val="4.3mm"/>
          <w:rFonts w:ascii="Segoe UI" w:cs="Segoe UI" w:eastAsia="Segoe UI" w:hAnsi="Segoe UI"/>
        </w:rPr>
        <w:br/>
        <w:t xml:space="preserve">that bit of legislation doesn't apply. So there are some things that are jurisdictional facts. They require to be there in order for the other things to follow. If the acceptance of that fact is based on no evidence, it might be reviewed.</w:t>
      </w:r>
      <w:r>
        <w:rPr>
          <w:color w:val="323130"/>
          <w:sz w:val="4.3mm"/>
          <w:szCs w:val="4.3mm"/>
          <w:rFonts w:ascii="Segoe UI" w:cs="Segoe UI" w:eastAsia="Segoe UI" w:hAnsi="Segoe UI"/>
        </w:rPr>
        <w:br/>
        <w:t xml:space="preserve">So your facts do actually have to be facts. They can't just be invented and have no basis. You need to demonstrate the evidence. And if the incorrect finding is irrational or unreasonable, it may also be reviewed. So here you can see the difference in the fact overlapping with our</w:t>
      </w:r>
      <w:r>
        <w:rPr>
          <w:color w:val="323130"/>
          <w:sz w:val="4.3mm"/>
          <w:szCs w:val="4.3mm"/>
          <w:rFonts w:ascii="Segoe UI" w:cs="Segoe UI" w:eastAsia="Segoe UI" w:hAnsi="Segoe UI"/>
        </w:rPr>
        <w:br/>
        <w:t xml:space="preserve">both our reasonableness and irrational grounds, but it's really saying that the presence, the fact that your interpretation or significance of the fact that the decision maker gave really irrational or unreasonable weight to that fact.</w:t>
      </w:r>
      <w:r>
        <w:rPr>
          <w:color w:val="323130"/>
          <w:sz w:val="4.3mm"/>
          <w:szCs w:val="4.3mm"/>
          <w:rFonts w:ascii="Segoe UI" w:cs="Segoe UI" w:eastAsia="Segoe UI" w:hAnsi="Segoe UI"/>
        </w:rPr>
        <w:br/>
        <w:t xml:space="preserve">Now, this is the case of Hidari and the Minister for Immigration and Border Protection.</w:t>
      </w:r>
      <w:r>
        <w:rPr>
          <w:color w:val="323130"/>
          <w:sz w:val="4.3mm"/>
          <w:szCs w:val="4.3mm"/>
          <w:rFonts w:ascii="Segoe UI" w:cs="Segoe UI" w:eastAsia="Segoe UI" w:hAnsi="Segoe UI"/>
        </w:rPr>
        <w:br/>
        <w:t xml:space="preserve">I believe it's in your books. Hadari already had a visa, but he was family members were seeking. So Mr. Hadari had already been granted a protection visa, but his wife and children were now seeking partner visas. Now, it appeared to the</w:t>
      </w:r>
      <w:r>
        <w:rPr>
          <w:color w:val="323130"/>
          <w:sz w:val="4.3mm"/>
          <w:szCs w:val="4.3mm"/>
          <w:rFonts w:ascii="Segoe UI" w:cs="Segoe UI" w:eastAsia="Segoe UI" w:hAnsi="Segoe UI"/>
        </w:rPr>
        <w:br/>
        <w:t xml:space="preserve">Department of Immigration that the material that the wife and children had put to them to get their visa appeared to be fake documents. Now on that basis, the minister's delegate refused the</w:t>
      </w:r>
      <w:r>
        <w:rPr>
          <w:color w:val="323130"/>
          <w:sz w:val="4.3mm"/>
          <w:szCs w:val="4.3mm"/>
          <w:rFonts w:ascii="Segoe UI" w:cs="Segoe UI" w:eastAsia="Segoe UI" w:hAnsi="Segoe UI"/>
        </w:rPr>
        <w:br/>
        <w:t xml:space="preserve">the protection visas for the wife and children. And so the family sought review at the AAT. The AAT supported the decision of the minister on the grounds that Hadari could travel to Pakistan. That is, they were really downplaying</w:t>
      </w:r>
      <w:r>
        <w:rPr>
          <w:color w:val="323130"/>
          <w:sz w:val="4.3mm"/>
          <w:szCs w:val="4.3mm"/>
          <w:rFonts w:ascii="Segoe UI" w:cs="Segoe UI" w:eastAsia="Segoe UI" w:hAnsi="Segoe UI"/>
        </w:rPr>
        <w:br/>
        <w:t xml:space="preserve">the idea that there was an urgency, that there was any kind of really urgent sense in which the family needed to be joined here in Australia. But the basis for the AAT's decision was an incorrect reading</w:t>
      </w:r>
      <w:r>
        <w:rPr>
          <w:color w:val="323130"/>
          <w:sz w:val="4.3mm"/>
          <w:szCs w:val="4.3mm"/>
          <w:rFonts w:ascii="Segoe UI" w:cs="Segoe UI" w:eastAsia="Segoe UI" w:hAnsi="Segoe UI"/>
        </w:rPr>
        <w:br/>
        <w:t xml:space="preserve">of the travel advice from the Department of Foreign Affairs. As all of you will be aware when you travel, the Department of Foreign Affairs tell you whether there's something going on in a place where you're planning to travel to. They might tell you to reconsider your need for travel. But sometimes they actually say do not travel because it's dangerous.</w:t>
      </w:r>
      <w:r>
        <w:rPr>
          <w:color w:val="323130"/>
          <w:sz w:val="4.3mm"/>
          <w:szCs w:val="4.3mm"/>
          <w:rFonts w:ascii="Segoe UI" w:cs="Segoe UI" w:eastAsia="Segoe UI" w:hAnsi="Segoe UI"/>
        </w:rPr>
        <w:br/>
        <w:t xml:space="preserve">Now these people were from Balochistan and the capital was Quetta. At the time.</w:t>
      </w:r>
      <w:r>
        <w:rPr>
          <w:color w:val="323130"/>
          <w:sz w:val="4.3mm"/>
          <w:szCs w:val="4.3mm"/>
          <w:rFonts w:ascii="Segoe UI" w:cs="Segoe UI" w:eastAsia="Segoe UI" w:hAnsi="Segoe UI"/>
        </w:rPr>
        <w:br/>
        <w:t xml:space="preserve">So at the time there was a whole, a lot of insurgency going on, Taliban activity, the markets were bombed, some offices were bombed. So it really was quite dangerous. Hence the Department of Foreign Affairs changing the travel advice to do not.</w:t>
      </w:r>
      <w:r>
        <w:rPr>
          <w:color w:val="323130"/>
          <w:sz w:val="4.3mm"/>
          <w:szCs w:val="4.3mm"/>
          <w:rFonts w:ascii="Segoe UI" w:cs="Segoe UI" w:eastAsia="Segoe UI" w:hAnsi="Segoe UI"/>
        </w:rPr>
        <w:br/>
        <w:t xml:space="preserve">travel, but the AAT in their decision said that it wasn't that dangerous and it was just a because it was a reconsider your travel. So Hadari sought judicial review of the AAT decision and the</w:t>
      </w:r>
      <w:r>
        <w:rPr>
          <w:color w:val="323130"/>
          <w:sz w:val="4.3mm"/>
          <w:szCs w:val="4.3mm"/>
          <w:rFonts w:ascii="Segoe UI" w:cs="Segoe UI" w:eastAsia="Segoe UI" w:hAnsi="Segoe UI"/>
        </w:rPr>
        <w:br/>
        <w:t xml:space="preserve">The Federal Court highlighted this limitation in the AAT's decision, that they had actually got it wrong, they got their fact wrong. The jurisdictional fact required was a situation of urgency for the family to give that.</w:t>
      </w:r>
      <w:r>
        <w:rPr>
          <w:color w:val="323130"/>
          <w:sz w:val="4.3mm"/>
          <w:szCs w:val="4.3mm"/>
          <w:rFonts w:ascii="Segoe UI" w:cs="Segoe UI" w:eastAsia="Segoe UI" w:hAnsi="Segoe UI"/>
        </w:rPr>
        <w:br/>
        <w:t xml:space="preserve">protect need for the protection visa and they had their information, their information was incorrect. So the Federal Court overturned the AAT decision and allowed a protection visa for the family.</w:t>
      </w:r>
      <w:r>
        <w:rPr>
          <w:color w:val="323130"/>
          <w:sz w:val="4.3mm"/>
          <w:szCs w:val="4.3mm"/>
          <w:rFonts w:ascii="Segoe UI" w:cs="Segoe UI" w:eastAsia="Segoe UI" w:hAnsi="Segoe UI"/>
        </w:rPr>
        <w:br/>
        <w:t xml:space="preserve">So in looking at what the AAT did, the federal court said that the AAT's finding was unreasonable, that it had failed to perform its task appropriately because it hadn't identified the...</w:t>
      </w:r>
      <w:r>
        <w:rPr>
          <w:color w:val="323130"/>
          <w:sz w:val="4.3mm"/>
          <w:szCs w:val="4.3mm"/>
          <w:rFonts w:ascii="Segoe UI" w:cs="Segoe UI" w:eastAsia="Segoe UI" w:hAnsi="Segoe UI"/>
        </w:rPr>
        <w:br/>
        <w:t xml:space="preserve">different facts that were required, but it had also failed to take into account relevant material, which was the do not travel by DFAT, but also the events in the country at the time that were happening right then when the decision was being made. That wasn't new evidence. It was contemporaneous with the AAT decision.</w:t>
      </w:r>
      <w:r>
        <w:rPr>
          <w:color w:val="323130"/>
          <w:sz w:val="4.3mm"/>
          <w:szCs w:val="4.3mm"/>
          <w:rFonts w:ascii="Segoe UI" w:cs="Segoe UI" w:eastAsia="Segoe UI" w:hAnsi="Segoe UI"/>
        </w:rPr>
        <w:br/>
        <w:t xml:space="preserve">So because of those flaws in the reasoning of the AAT, the Federal Court said it was a jurisdictional error. Because it's a jurisdictional error, then that decision can be put aside. A jurisdictional error is a kind of error of law. Decision can be put aside and then relief is provided.</w:t>
      </w:r>
      <w:r>
        <w:rPr>
          <w:color w:val="323130"/>
          <w:sz w:val="4.3mm"/>
          <w:szCs w:val="4.3mm"/>
          <w:rFonts w:ascii="Segoe UI" w:cs="Segoe UI" w:eastAsia="Segoe UI" w:hAnsi="Segoe UI"/>
        </w:rPr>
        <w:br/>
        <w:t xml:space="preserve">on that basis.</w:t>
      </w:r>
      <w:r>
        <w:rPr>
          <w:color w:val="323130"/>
          <w:sz w:val="4.3mm"/>
          <w:szCs w:val="4.3mm"/>
          <w:rFonts w:ascii="Segoe UI" w:cs="Segoe UI" w:eastAsia="Segoe UI" w:hAnsi="Segoe UI"/>
        </w:rPr>
        <w:br/>
        <w:t xml:space="preserve">And so, that's the a diary case.</w:t>
      </w:r>
      <w:r>
        <w:rPr>
          <w:color w:val="323130"/>
          <w:sz w:val="4.3mm"/>
          <w:szCs w:val="4.3mm"/>
          <w:rFonts w:ascii="Segoe UI" w:cs="Segoe UI" w:eastAsia="Segoe UI" w:hAnsi="Segoe UI"/>
        </w:rPr>
        <w:br/>
        <w:t xml:space="preserve">In a similar, another migration case, and we do talk about migration cases a lot in administrative law, back 18 in the Minister for Home Affairs, it's another asylum seekers case. This one is 1 argued on common law grounds.</w:t>
      </w:r>
      <w:r>
        <w:rPr>
          <w:color w:val="323130"/>
          <w:sz w:val="4.3mm"/>
          <w:szCs w:val="4.3mm"/>
          <w:rFonts w:ascii="Segoe UI" w:cs="Segoe UI" w:eastAsia="Segoe UI" w:hAnsi="Segoe UI"/>
        </w:rPr>
        <w:br/>
        <w:t xml:space="preserve">And as I said before, you only need one ground to be successful, but you should never have all your eggs in one basket. This was a similar situation to the Hadari case. The wife and children were Tamils and were seeking protection visas for fear of persecution in Sri Lanka.</w:t>
      </w:r>
      <w:r>
        <w:rPr>
          <w:color w:val="323130"/>
          <w:sz w:val="4.3mm"/>
          <w:szCs w:val="4.3mm"/>
          <w:rFonts w:ascii="Segoe UI" w:cs="Segoe UI" w:eastAsia="Segoe UI" w:hAnsi="Segoe UI"/>
        </w:rPr>
        <w:br/>
        <w:t xml:space="preserve">There was a civil war at the time in Sri Lanka, as many of will be aware. The minister refused the application. It was reviewed by the Immigration Assessment Authority, which was a special tribunal set up. They also refused the application.</w:t>
      </w:r>
      <w:r>
        <w:rPr>
          <w:color w:val="323130"/>
          <w:sz w:val="4.3mm"/>
          <w:szCs w:val="4.3mm"/>
          <w:rFonts w:ascii="Segoe UI" w:cs="Segoe UI" w:eastAsia="Segoe UI" w:hAnsi="Segoe UI"/>
        </w:rPr>
        <w:br/>
        <w:t xml:space="preserve">In their assessment of the situation, the Immigration Assessment Authority had refused to consider new evidence and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in particular that there was captaincy of a cricket team, a Tamil cricket team, which suggested that the person was in fact Tamil. So there was sort of a question mark on, you know, maybe people were pretending to be Tamils trying to get to Australia when they weren't really under pressure.</w:t>
      </w:r>
      <w:r>
        <w:rPr>
          <w:color w:val="323130"/>
          <w:sz w:val="4.3mm"/>
          <w:szCs w:val="4.3mm"/>
          <w:rFonts w:ascii="Segoe UI" w:cs="Segoe UI" w:eastAsia="Segoe UI" w:hAnsi="Segoe UI"/>
        </w:rPr>
        <w:br/>
        <w:t xml:space="preserve">Whatever. Anyway, the court decided that the secretary had failed to provide material to the tribunal.</w:t>
      </w:r>
      <w:r>
        <w:rPr>
          <w:color w:val="323130"/>
          <w:sz w:val="4.3mm"/>
          <w:szCs w:val="4.3mm"/>
          <w:rFonts w:ascii="Segoe UI" w:cs="Segoe UI" w:eastAsia="Segoe UI" w:hAnsi="Segoe UI"/>
        </w:rPr>
        <w:br/>
        <w:t xml:space="preserve">that the mother and the brother of these people had already been granted protection visas for a similar situation, but the minister hadn't provided that to the tribunal. So the tribunal was questioning the material about whether or not the people were really Tamils, but it did not have in front of it</w:t>
      </w:r>
      <w:r>
        <w:rPr>
          <w:color w:val="323130"/>
          <w:sz w:val="4.3mm"/>
          <w:szCs w:val="4.3mm"/>
          <w:rFonts w:ascii="Segoe UI" w:cs="Segoe UI" w:eastAsia="Segoe UI" w:hAnsi="Segoe UI"/>
        </w:rPr>
        <w:br/>
        <w:t xml:space="preserve">information that the Minister's office did have about other members of the family where it had been accepted that they should be granted protection visas. And the Federal Court also set this one aside</w:t>
      </w:r>
      <w:r>
        <w:rPr>
          <w:color w:val="323130"/>
          <w:sz w:val="4.3mm"/>
          <w:szCs w:val="4.3mm"/>
          <w:rFonts w:ascii="Segoe UI" w:cs="Segoe UI" w:eastAsia="Segoe UI" w:hAnsi="Segoe UI"/>
        </w:rPr>
        <w:br/>
        <w:t xml:space="preserve">on the basis that it was unreasonable for the minister to not provide that material to the Immigration Assessment Authority. And so that also tainted the decision because it was made without adequate reference to</w:t>
      </w:r>
      <w:r>
        <w:rPr>
          <w:color w:val="323130"/>
          <w:sz w:val="4.3mm"/>
          <w:szCs w:val="4.3mm"/>
          <w:rFonts w:ascii="Segoe UI" w:cs="Segoe UI" w:eastAsia="Segoe UI" w:hAnsi="Segoe UI"/>
        </w:rPr>
        <w:br/>
        <w:t xml:space="preserve">that could have been very easily available to it, which would have affirmed for it the entitlement of these other family members to a protection visa. Subtext at this time, the Immigration Assessment Authority was actually set up at that time to limit the number of protection visas that were being granted.</w:t>
      </w:r>
      <w:r>
        <w:rPr>
          <w:color w:val="323130"/>
          <w:sz w:val="4.3mm"/>
          <w:szCs w:val="4.3mm"/>
          <w:rFonts w:ascii="Segoe UI" w:cs="Segoe UI" w:eastAsia="Segoe UI" w:hAnsi="Segoe UI"/>
        </w:rPr>
        <w:br/>
        <w:t xml:space="preserve">to Australians, the sort of a, you know, part of the political argy-bargy that was going on at that part. So this one was also a successful application that resulted in the giving of a protection visa to family members in circumstances where...</w:t>
      </w:r>
      <w:r>
        <w:rPr>
          <w:color w:val="323130"/>
          <w:sz w:val="4.3mm"/>
          <w:szCs w:val="4.3mm"/>
          <w:rFonts w:ascii="Segoe UI" w:cs="Segoe UI" w:eastAsia="Segoe UI" w:hAnsi="Segoe UI"/>
        </w:rPr>
        <w:br/>
        <w:t xml:space="preserve">Refugee status.</w:t>
      </w:r>
      <w:r>
        <w:rPr>
          <w:color w:val="323130"/>
          <w:sz w:val="4.3mm"/>
          <w:szCs w:val="4.3mm"/>
          <w:rFonts w:ascii="Segoe UI" w:cs="Segoe UI" w:eastAsia="Segoe UI" w:hAnsi="Segoe UI"/>
        </w:rPr>
        <w:br/>
        <w:t xml:space="preserve">was at play. Now, in the ADJR Act, those cases could be used to make out...</w:t>
      </w:r>
      <w:r>
        <w:rPr>
          <w:color w:val="323130"/>
          <w:sz w:val="4.3mm"/>
          <w:szCs w:val="4.3mm"/>
          <w:rFonts w:ascii="Segoe UI" w:cs="Segoe UI" w:eastAsia="Segoe UI" w:hAnsi="Segoe UI"/>
        </w:rPr>
        <w:br/>
        <w:t xml:space="preserve">these kind of parts of the acting beyond power. ADGR Act Section 51C, that the person did not have jurisdiction. Section 51D, that the decision was not authorised by the enactment in pursuance of which it was purported to be made.</w:t>
      </w:r>
      <w:r>
        <w:rPr>
          <w:color w:val="323130"/>
          <w:sz w:val="4.3mm"/>
          <w:szCs w:val="4.3mm"/>
          <w:rFonts w:ascii="Segoe UI" w:cs="Segoe UI" w:eastAsia="Segoe UI" w:hAnsi="Segoe UI"/>
        </w:rPr>
        <w:br/>
        <w:t xml:space="preserve">or Section 51J was otherwise contrary to law. So sometimes in these fact situations, perhaps the withholding advice to the administrative tribunal, it is contrary to law to do so. There may not have been a specific statutory provision that supported that particular error.</w:t>
      </w:r>
      <w:r>
        <w:rPr>
          <w:color w:val="323130"/>
          <w:sz w:val="4.3mm"/>
          <w:szCs w:val="4.3mm"/>
          <w:rFonts w:ascii="Segoe UI" w:cs="Segoe UI" w:eastAsia="Segoe UI" w:hAnsi="Segoe UI"/>
        </w:rPr>
        <w:br/>
        <w:t xml:space="preserve">But the ADGR Act covers that with this otherwise contrary to law.</w:t>
      </w:r>
      <w:r>
        <w:rPr>
          <w:color w:val="323130"/>
          <w:sz w:val="4.3mm"/>
          <w:szCs w:val="4.3mm"/>
          <w:rFonts w:ascii="Segoe UI" w:cs="Segoe UI" w:eastAsia="Segoe UI" w:hAnsi="Segoe UI"/>
        </w:rPr>
        <w:br/>
        <w:t xml:space="preserve">situation. So you'll sometimes see the courts arguing or indicating that one fact situation did actually generate a number of grounds of review. So as I said at the start, the basic principle is that all government action</w:t>
      </w:r>
      <w:r>
        <w:rPr>
          <w:color w:val="323130"/>
          <w:sz w:val="4.3mm"/>
          <w:szCs w:val="4.3mm"/>
          <w:rFonts w:ascii="Segoe UI" w:cs="Segoe UI" w:eastAsia="Segoe UI" w:hAnsi="Segoe UI"/>
        </w:rPr>
        <w:br/>
        <w:t xml:space="preserve">Must be sourced.</w:t>
      </w:r>
      <w:r>
        <w:rPr>
          <w:color w:val="323130"/>
          <w:sz w:val="4.3mm"/>
          <w:szCs w:val="4.3mm"/>
          <w:rFonts w:ascii="Segoe UI" w:cs="Segoe UI" w:eastAsia="Segoe UI" w:hAnsi="Segoe UI"/>
        </w:rPr>
        <w:br/>
        <w:t xml:space="preserve">in law and this applies to administrative acts as well as the making of delegation. Government power must not be exercised in excess of the power of the jurisdiction and just being elected. So just being elected is not enough. You've got to point to your statutory power in a statute.</w:t>
      </w:r>
      <w:r>
        <w:rPr>
          <w:color w:val="323130"/>
          <w:sz w:val="4.3mm"/>
          <w:szCs w:val="4.3mm"/>
          <w:rFonts w:ascii="Segoe UI" w:cs="Segoe UI" w:eastAsia="Segoe UI" w:hAnsi="Segoe UI"/>
        </w:rPr>
        <w:br/>
        <w:t xml:space="preserve">to do things. Now, we have talked about this already in a number of circumstances. Remember Entick and Carrington, which is where the king's men came looking for evidence of treason in the person's house, and he was successful in arguing that that was an intrusion on his</w:t>
      </w:r>
      <w:r>
        <w:rPr>
          <w:color w:val="323130"/>
          <w:sz w:val="4.3mm"/>
          <w:szCs w:val="4.3mm"/>
          <w:rFonts w:ascii="Segoe UI" w:cs="Segoe UI" w:eastAsia="Segoe UI" w:hAnsi="Segoe UI"/>
        </w:rPr>
        <w:br/>
        <w:t xml:space="preserve">private land and in the Australian context and closer in A and Hayden, this is a case where ACES officers were doing a training exercise in Melbourne in a hotel and things went a bit awry and they damaged property but they also hurt somebody.</w:t>
      </w:r>
      <w:r>
        <w:rPr>
          <w:color w:val="323130"/>
          <w:sz w:val="4.3mm"/>
          <w:szCs w:val="4.3mm"/>
          <w:rFonts w:ascii="Segoe UI" w:cs="Segoe UI" w:eastAsia="Segoe UI" w:hAnsi="Segoe UI"/>
        </w:rPr>
        <w:br/>
        <w:t xml:space="preserve">But they argued that they were exempt, because they were ACES, which is our social, our, you know, intelligence security guys, they argued that they were exempt from prosecution for criminal actions because of their status as our intelligence organisation, that they were above the law. And the High Court said that</w:t>
      </w:r>
      <w:r>
        <w:rPr>
          <w:color w:val="323130"/>
          <w:sz w:val="4.3mm"/>
          <w:szCs w:val="4.3mm"/>
          <w:rFonts w:ascii="Segoe UI" w:cs="Segoe UI" w:eastAsia="Segoe UI" w:hAnsi="Segoe UI"/>
        </w:rPr>
        <w:br/>
        <w:t xml:space="preserve">that kind of being above the law was dispensed with in 1689 with the Bill of Rights and that these security people were not above the law and hence they did actually get prosecuted. So this is just sort of further examples of that. You have to be able to point</w:t>
      </w:r>
      <w:r>
        <w:rPr>
          <w:color w:val="323130"/>
          <w:sz w:val="4.3mm"/>
          <w:szCs w:val="4.3mm"/>
          <w:rFonts w:ascii="Segoe UI" w:cs="Segoe UI" w:eastAsia="Segoe UI" w:hAnsi="Segoe UI"/>
        </w:rPr>
        <w:br/>
        <w:t xml:space="preserve">to the authority and power and nobody can claim that they are above the law in that kind of way.</w:t>
      </w:r>
      <w:r>
        <w:rPr>
          <w:color w:val="323130"/>
          <w:sz w:val="4.3mm"/>
          <w:szCs w:val="4.3mm"/>
          <w:rFonts w:ascii="Segoe UI" w:cs="Segoe UI" w:eastAsia="Segoe UI" w:hAnsi="Segoe UI"/>
        </w:rPr>
        <w:br/>
        <w:t xml:space="preserve">Other examples that we have looked at as we went through, ICAC and Cuneo, it's the</w:t>
      </w:r>
      <w:r>
        <w:rPr>
          <w:color w:val="323130"/>
          <w:sz w:val="4.3mm"/>
          <w:szCs w:val="4.3mm"/>
          <w:rFonts w:ascii="Segoe UI" w:cs="Segoe UI" w:eastAsia="Segoe UI" w:hAnsi="Segoe UI"/>
        </w:rPr>
        <w:br/>
        <w:t xml:space="preserve">The Anti-Corruption Commission in New South Wales, Cunneen was a magistrate that had given advice to a son's friend that you should fake a heart attack to avoid being breathalysed if you, you know, got pulled over.</w:t>
      </w:r>
      <w:r>
        <w:rPr>
          <w:color w:val="323130"/>
          <w:sz w:val="4.3mm"/>
          <w:szCs w:val="4.3mm"/>
          <w:rFonts w:ascii="Segoe UI" w:cs="Segoe UI" w:eastAsia="Segoe UI" w:hAnsi="Segoe UI"/>
        </w:rPr>
        <w:br/>
        <w:t xml:space="preserve">But in that instance, because it was in the person's private life and not in their capacity as a public official, ICIC said they had no authority to investigate. So this is another, you know, this is the limits of the power. Remember we talked about Foley and Padley, which is the Rundle Mall case.</w:t>
      </w:r>
      <w:r>
        <w:rPr>
          <w:color w:val="323130"/>
          <w:sz w:val="4.3mm"/>
          <w:szCs w:val="4.3mm"/>
          <w:rFonts w:ascii="Segoe UI" w:cs="Segoe UI" w:eastAsia="Segoe UI" w:hAnsi="Segoe UI"/>
        </w:rPr>
        <w:br/>
        <w:t xml:space="preserve">In that case, we looked at it as a delegation legislation case, but there was a very broad power in the legislation and which was sufficient to allow quite a broad regulation in that case.</w:t>
      </w:r>
      <w:r>
        <w:rPr>
          <w:color w:val="323130"/>
          <w:sz w:val="4.3mm"/>
          <w:szCs w:val="4.3mm"/>
          <w:rFonts w:ascii="Segoe UI" w:cs="Segoe UI" w:eastAsia="Segoe UI" w:hAnsi="Segoe UI"/>
        </w:rPr>
        <w:br/>
        <w:t xml:space="preserve">In the London City Council and Attorney-General, a statutory power to run tramways did not authorise running a bus service. In Vickers, in the Minister for Law, Business and Community Affairs, a statutory authority authorising customs agents to seize goods</w:t>
      </w:r>
      <w:r>
        <w:rPr>
          <w:color w:val="323130"/>
          <w:sz w:val="4.3mm"/>
          <w:szCs w:val="4.3mm"/>
          <w:rFonts w:ascii="Segoe UI" w:cs="Segoe UI" w:eastAsia="Segoe UI" w:hAnsi="Segoe UI"/>
        </w:rPr>
        <w:br/>
        <w:t xml:space="preserve">movable property or monies in the form of cash did not authorise the seizure of money in a bank account, right? So this is using, these are all using principles of statutory interpretation. In the Vickers case, the statutory power refers to tangible, concrete objects.</w:t>
      </w:r>
      <w:r>
        <w:rPr>
          <w:color w:val="323130"/>
          <w:sz w:val="4.3mm"/>
          <w:szCs w:val="4.3mm"/>
          <w:rFonts w:ascii="Segoe UI" w:cs="Segoe UI" w:eastAsia="Segoe UI" w:hAnsi="Segoe UI"/>
        </w:rPr>
        <w:br/>
        <w:t xml:space="preserve">But money in a bank account is digital, it's transient, it's not a real thing. So the court said, no, no, no, you've only got power to actually capture concrete goods. You can't capture a bank account. So these kind of sui generis rules of statutory interpretation become really important.</w:t>
      </w:r>
      <w:r>
        <w:rPr>
          <w:color w:val="323130"/>
          <w:sz w:val="4.3mm"/>
          <w:szCs w:val="4.3mm"/>
          <w:rFonts w:ascii="Segoe UI" w:cs="Segoe UI" w:eastAsia="Segoe UI" w:hAnsi="Segoe UI"/>
        </w:rPr>
        <w:br/>
        <w:t xml:space="preserve">You have the court, you'll see the court doing it and you will need to do it. A statutory interpretation of the powers in the statute to understand what is the scope of the authority.</w:t>
      </w:r>
      <w:r>
        <w:rPr>
          <w:color w:val="323130"/>
          <w:sz w:val="4.3mm"/>
          <w:szCs w:val="4.3mm"/>
          <w:rFonts w:ascii="Segoe UI" w:cs="Segoe UI" w:eastAsia="Segoe UI" w:hAnsi="Segoe UI"/>
        </w:rPr>
        <w:br/>
        <w:t xml:space="preserve">And if a decision maker has acted outside that authority, then they do not have authority for that action. The action is flawed and.</w:t>
      </w:r>
      <w:r>
        <w:rPr>
          <w:color w:val="323130"/>
          <w:sz w:val="4.3mm"/>
          <w:szCs w:val="4.3mm"/>
          <w:rFonts w:ascii="Segoe UI" w:cs="Segoe UI" w:eastAsia="Segoe UI" w:hAnsi="Segoe UI"/>
        </w:rPr>
        <w:br/>
        <w:t xml:space="preserve">And the decision can be put aside. Similarly, we talked about the World Youth Day case and also the Swan Hill Brewery case. So these cases sort of come back and are relevant in this other situation for us.</w:t>
      </w:r>
      <w:r>
        <w:rPr>
          <w:color w:val="323130"/>
          <w:sz w:val="4.3mm"/>
          <w:szCs w:val="4.3mm"/>
          <w:rFonts w:ascii="Segoe UI" w:cs="Segoe UI" w:eastAsia="Segoe UI" w:hAnsi="Segoe UI"/>
        </w:rPr>
        <w:br/>
        <w:t xml:space="preserve">When you're going through that statutory interpretation, you need to go back and look at our topic two, where we talked about statutory interpretation. The decision maker and the reviewer of the decision maker must always interpret the statute, not only the principles that we looked at,</w:t>
      </w:r>
      <w:r>
        <w:rPr>
          <w:color w:val="323130"/>
          <w:sz w:val="4.3mm"/>
          <w:szCs w:val="4.3mm"/>
          <w:rFonts w:ascii="Segoe UI" w:cs="Segoe UI" w:eastAsia="Segoe UI" w:hAnsi="Segoe UI"/>
        </w:rPr>
        <w:br/>
        <w:t xml:space="preserve">in topic two, but which included, remember you have to look at the acts interpretation acts, particularly 15 AA and 15 AB at the Commonwealth level, and remember our statutory presumptions. So principles of legality, consistency with international obligations,</w:t>
      </w:r>
      <w:r>
        <w:rPr>
          <w:color w:val="323130"/>
          <w:sz w:val="4.3mm"/>
          <w:szCs w:val="4.3mm"/>
          <w:rFonts w:ascii="Segoe UI" w:cs="Segoe UI" w:eastAsia="Segoe UI" w:hAnsi="Segoe UI"/>
        </w:rPr>
        <w:br/>
        <w:t xml:space="preserve">the principle of beneficial construction where it is something for the rights of people. All of these things become relevant in the way in which you have to ask the question, did a decision maker act beyond power?</w:t>
      </w:r>
      <w:r>
        <w:rPr>
          <w:color w:val="323130"/>
          <w:sz w:val="4.3mm"/>
          <w:szCs w:val="4.3mm"/>
          <w:rFonts w:ascii="Segoe UI" w:cs="Segoe UI" w:eastAsia="Segoe UI" w:hAnsi="Segoe UI"/>
        </w:rPr>
        <w:br/>
        <w:t xml:space="preserve">Now, some of the ways that that plays out, necessary or convenient clauses, I think we looked at some of these before, and these are in the context of delegated legislation again, but just some other examples. Often the legislation will provide that you can make regulations that are necessary and convenient.</w:t>
      </w:r>
      <w:r>
        <w:rPr>
          <w:color w:val="323130"/>
          <w:sz w:val="4.3mm"/>
          <w:szCs w:val="4.3mm"/>
          <w:rFonts w:ascii="Segoe UI" w:cs="Segoe UI" w:eastAsia="Segoe UI" w:hAnsi="Segoe UI"/>
        </w:rPr>
        <w:br/>
        <w:t xml:space="preserve">for the administering of the acts. So you have to think about what did Parliament actually mean by what was necessary and convenient? It seems very broad. And what then here you would expect.</w:t>
      </w:r>
      <w:r>
        <w:rPr>
          <w:color w:val="323130"/>
          <w:sz w:val="4.3mm"/>
          <w:szCs w:val="4.3mm"/>
          <w:rFonts w:ascii="Segoe UI" w:cs="Segoe UI" w:eastAsia="Segoe UI" w:hAnsi="Segoe UI"/>
        </w:rPr>
        <w:br/>
        <w:t xml:space="preserve">the regulations to have a wide ambit when you've got that, anything that's necessary, convenient would be a wide ambit. There may still be instances where the decision goes beyond that, but it's a wide, a pretty wide ambit. And here's an example of where the decision might go beyond.</w:t>
      </w:r>
      <w:r>
        <w:rPr>
          <w:color w:val="323130"/>
          <w:sz w:val="4.3mm"/>
          <w:szCs w:val="4.3mm"/>
          <w:rFonts w:ascii="Segoe UI" w:cs="Segoe UI" w:eastAsia="Segoe UI" w:hAnsi="Segoe UI"/>
        </w:rPr>
        <w:br/>
        <w:t xml:space="preserve">In the Shannon and Scott, it was about the egg board.</w:t>
      </w:r>
      <w:r>
        <w:rPr>
          <w:color w:val="323130"/>
          <w:sz w:val="4.3mm"/>
          <w:szCs w:val="4.3mm"/>
          <w:rFonts w:ascii="Segoe UI" w:cs="Segoe UI" w:eastAsia="Segoe UI" w:hAnsi="Segoe UI"/>
        </w:rPr>
        <w:br/>
        <w:t xml:space="preserve">and the Marketing of Primary Products Act in Victoria. And what that case said is that no person will place any eggs in cold storage without the permission of the egg and egg pulp marketing board.</w:t>
      </w:r>
      <w:r>
        <w:rPr>
          <w:color w:val="323130"/>
          <w:sz w:val="4.3mm"/>
          <w:szCs w:val="4.3mm"/>
          <w:rFonts w:ascii="Segoe UI" w:cs="Segoe UI" w:eastAsia="Segoe UI" w:hAnsi="Segoe UI"/>
        </w:rPr>
        <w:br/>
        <w:t xml:space="preserve">Now, and it said that there could be regulations that were necessary or expedient for the administration of the Act. So necessary or expedient, necessary for convenient, very broad, you expect the regulations to cover a whole range of things. Now, in this case,</w:t>
      </w:r>
      <w:r>
        <w:rPr>
          <w:color w:val="323130"/>
          <w:sz w:val="4.3mm"/>
          <w:szCs w:val="4.3mm"/>
          <w:rFonts w:ascii="Segoe UI" w:cs="Segoe UI" w:eastAsia="Segoe UI" w:hAnsi="Segoe UI"/>
        </w:rPr>
        <w:br/>
        <w:t xml:space="preserve">The High Court put some limits around that, so the Egg Board had actually said that where there were eggs.</w:t>
      </w:r>
      <w:r>
        <w:rPr>
          <w:color w:val="323130"/>
          <w:sz w:val="4.3mm"/>
          <w:szCs w:val="4.3mm"/>
          <w:rFonts w:ascii="Segoe UI" w:cs="Segoe UI" w:eastAsia="Segoe UI" w:hAnsi="Segoe UI"/>
        </w:rPr>
        <w:br/>
        <w:t xml:space="preserve">that had been laid in New South Wales or the New South Wales producers, that they still had to put them in cold storage and get permission of the Victorian Authority to put them in cold storage. And in this case, the High Court said that the regulations cannot extend the scope of the Act.</w:t>
      </w:r>
      <w:r>
        <w:rPr>
          <w:color w:val="323130"/>
          <w:sz w:val="4.3mm"/>
          <w:szCs w:val="4.3mm"/>
          <w:rFonts w:ascii="Segoe UI" w:cs="Segoe UI" w:eastAsia="Segoe UI" w:hAnsi="Segoe UI"/>
        </w:rPr>
        <w:br/>
        <w:t xml:space="preserve">So remember, that's the principle of our delegated legislation. The delegated legislation has to stay within the limitations of the Parent Act. In this one, the High Court said, yeah, yeah, okay, you can do what you can, you've got broad authority in Victoria, but you can't tell the New South Wales people what to do. So it was a...</w:t>
      </w:r>
      <w:r>
        <w:rPr>
          <w:color w:val="323130"/>
          <w:sz w:val="4.3mm"/>
          <w:szCs w:val="4.3mm"/>
          <w:rFonts w:ascii="Segoe UI" w:cs="Segoe UI" w:eastAsia="Segoe UI" w:hAnsi="Segoe UI"/>
        </w:rPr>
        <w:br/>
        <w:t xml:space="preserve">a geographic limit. The thinking that they gave us in this High Court case is that you have to think about does the regulation or the regulation power supplement or complement the legislation? Where it complements the legislation, it's going to be lawful and within power.</w:t>
      </w:r>
      <w:r>
        <w:rPr>
          <w:color w:val="323130"/>
          <w:sz w:val="4.3mm"/>
          <w:szCs w:val="4.3mm"/>
          <w:rFonts w:ascii="Segoe UI" w:cs="Segoe UI" w:eastAsia="Segoe UI" w:hAnsi="Segoe UI"/>
        </w:rPr>
        <w:br/>
        <w:t xml:space="preserve">If it supplements the legislation, the parent legislation, it is extending the powers of the parent legislation and therefore it is not a valid exercise of power. So just keep that clear in your minds about the limits of that.</w:t>
      </w:r>
      <w:r>
        <w:rPr>
          <w:color w:val="323130"/>
          <w:sz w:val="4.3mm"/>
          <w:szCs w:val="4.3mm"/>
          <w:rFonts w:ascii="Segoe UI" w:cs="Segoe UI" w:eastAsia="Segoe UI" w:hAnsi="Segoe UI"/>
        </w:rPr>
        <w:br/>
        <w:t xml:space="preserve">Of that thing.</w:t>
      </w:r>
      <w:r>
        <w:rPr>
          <w:color w:val="323130"/>
          <w:sz w:val="4.3mm"/>
          <w:szCs w:val="4.3mm"/>
          <w:rFonts w:ascii="Segoe UI" w:cs="Segoe UI" w:eastAsia="Segoe UI" w:hAnsi="Segoe UI"/>
        </w:rPr>
        <w:br/>
        <w:t xml:space="preserve">Now, okay, so another example.</w:t>
      </w:r>
      <w:r>
        <w:rPr>
          <w:color w:val="323130"/>
          <w:sz w:val="4.3mm"/>
          <w:szCs w:val="4.3mm"/>
          <w:rFonts w:ascii="Segoe UI" w:cs="Segoe UI" w:eastAsia="Segoe UI" w:hAnsi="Segoe UI"/>
        </w:rPr>
        <w:br/>
        <w:t xml:space="preserve">which also plays out generally in subordinate legislation, which is about purposive powers. So as I said, one of the grounds is whether the decision is made for a purpose other than the purposes set out in the legislation.</w:t>
      </w:r>
      <w:r>
        <w:rPr>
          <w:color w:val="323130"/>
          <w:sz w:val="4.3mm"/>
          <w:szCs w:val="4.3mm"/>
          <w:rFonts w:ascii="Segoe UI" w:cs="Segoe UI" w:eastAsia="Segoe UI" w:hAnsi="Segoe UI"/>
        </w:rPr>
        <w:br/>
        <w:t xml:space="preserve">Now, once again, you've got a statutory interpretation exercise. What is the purpose of the legislation? And what the courts do is distinguish between the subject matter of the regulatory powers</w:t>
      </w:r>
      <w:r>
        <w:rPr>
          <w:color w:val="323130"/>
          <w:sz w:val="4.3mm"/>
          <w:szCs w:val="4.3mm"/>
          <w:rFonts w:ascii="Segoe UI" w:cs="Segoe UI" w:eastAsia="Segoe UI" w:hAnsi="Segoe UI"/>
        </w:rPr>
        <w:br/>
        <w:t xml:space="preserve">and the purposes of powers. So here it gives you a little bit more of complexity. Here's A High Court case. It's called South Australia and Tanner. Now in this case, there was a Water Works Act in South Australia. What that did was give</w:t>
      </w:r>
      <w:r>
        <w:rPr>
          <w:color w:val="323130"/>
          <w:sz w:val="4.3mm"/>
          <w:szCs w:val="4.3mm"/>
          <w:rFonts w:ascii="Segoe UI" w:cs="Segoe UI" w:eastAsia="Segoe UI" w:hAnsi="Segoe UI"/>
        </w:rPr>
        <w:br/>
        <w:t xml:space="preserve">The power to make regulations, regulating, controlling or prohibiting the use of land within a watershed area to prevent the deterioration or pollution of any water within a watershed. So this is very typical. This is where you've got a catchment area and you need to, where you've got a catchment area for drinking water.</w:t>
      </w:r>
      <w:r>
        <w:rPr>
          <w:color w:val="323130"/>
          <w:sz w:val="4.3mm"/>
          <w:szCs w:val="4.3mm"/>
          <w:rFonts w:ascii="Segoe UI" w:cs="Segoe UI" w:eastAsia="Segoe UI" w:hAnsi="Segoe UI"/>
        </w:rPr>
        <w:br/>
        <w:t xml:space="preserve">need that water to be clean. There are usually regulations about the land use around that area and also within the lake. You know, people say, so you can't use motorboats, you can't swim in it. And in the area around, you usually can't do any farming or anything like that. Now these</w:t>
      </w:r>
      <w:r>
        <w:rPr>
          <w:color w:val="323130"/>
          <w:sz w:val="4.3mm"/>
          <w:szCs w:val="4.3mm"/>
          <w:rFonts w:ascii="Segoe UI" w:cs="Segoe UI" w:eastAsia="Segoe UI" w:hAnsi="Segoe UI"/>
        </w:rPr>
        <w:br/>
        <w:t xml:space="preserve">regulations prohibited the erection or enlargement of a piggery, a zoo or a feedlot. Piggeries being particularly notorious for polluting water, I might say, so fair enough. The power included a prohibition.</w:t>
      </w:r>
      <w:r>
        <w:rPr>
          <w:color w:val="323130"/>
          <w:sz w:val="4.3mm"/>
          <w:szCs w:val="4.3mm"/>
          <w:rFonts w:ascii="Segoe UI" w:cs="Segoe UI" w:eastAsia="Segoe UI" w:hAnsi="Segoe UI"/>
        </w:rPr>
        <w:br/>
        <w:t xml:space="preserve">and extended, which extended the prevention of pollution. Okay, so the High Court approved a proportionality test to check that the regulation was reasonably proportionate, appropriate, or adapted to the end to be achieved.</w:t>
      </w:r>
      <w:r>
        <w:rPr>
          <w:color w:val="323130"/>
          <w:sz w:val="4.3mm"/>
          <w:szCs w:val="4.3mm"/>
          <w:rFonts w:ascii="Segoe UI" w:cs="Segoe UI" w:eastAsia="Segoe UI" w:hAnsi="Segoe UI"/>
        </w:rPr>
        <w:br/>
        <w:t xml:space="preserve">Now, can you see the shift in logic here? In some of our cases that we went through, there was a very specific statutory interpretation. For example, if you've got power to run the tramways, you can't run a bus, right? They're being very specific about the sui generis interpretation.</w:t>
      </w:r>
      <w:r>
        <w:rPr>
          <w:color w:val="323130"/>
          <w:sz w:val="4.3mm"/>
          <w:szCs w:val="4.3mm"/>
          <w:rFonts w:ascii="Segoe UI" w:cs="Segoe UI" w:eastAsia="Segoe UI" w:hAnsi="Segoe UI"/>
        </w:rPr>
        <w:br/>
        <w:t xml:space="preserve">Here, you're having a purposive construction. The purpose of the legislation is to not pollute the water. The regulations make some specific prohibitions against particular activities like piggery zoo or feedlot. The question is,</w:t>
      </w:r>
      <w:r>
        <w:rPr>
          <w:color w:val="323130"/>
          <w:sz w:val="4.3mm"/>
          <w:szCs w:val="4.3mm"/>
          <w:rFonts w:ascii="Segoe UI" w:cs="Segoe UI" w:eastAsia="Segoe UI" w:hAnsi="Segoe UI"/>
        </w:rPr>
        <w:br/>
        <w:t xml:space="preserve">whether that prohibition extends and supplements the legislation rather than complements the legislation. But because it's a slightly trickier fact situation, the High Court introduced A proportionality test. So you had to think about</w:t>
      </w:r>
      <w:r>
        <w:rPr>
          <w:color w:val="323130"/>
          <w:sz w:val="4.3mm"/>
          <w:szCs w:val="4.3mm"/>
          <w:rFonts w:ascii="Segoe UI" w:cs="Segoe UI" w:eastAsia="Segoe UI" w:hAnsi="Segoe UI"/>
        </w:rPr>
        <w:br/>
        <w:t xml:space="preserve">in this context, whether the regulatory prohibition was reasonably proportionate or reasonably appropriate, reasonably adapted to the end to be achieved, that is the reduction of pollution or the elimination of, not the elimination, the prevention of pollution in that context.</w:t>
      </w:r>
      <w:r>
        <w:rPr>
          <w:color w:val="323130"/>
          <w:sz w:val="4.3mm"/>
          <w:szCs w:val="4.3mm"/>
          <w:rFonts w:ascii="Segoe UI" w:cs="Segoe UI" w:eastAsia="Segoe UI" w:hAnsi="Segoe UI"/>
        </w:rPr>
        <w:br/>
        <w:t xml:space="preserve">Okay, so most of the court said, oh, okay, so yeah, it seems to extend it a bit, but we actually, if we apply our proportionality test, we think it does achieve the purpose of the legislation. So we're happy with that.</w:t>
      </w:r>
      <w:r>
        <w:rPr>
          <w:color w:val="323130"/>
          <w:sz w:val="4.3mm"/>
          <w:szCs w:val="4.3mm"/>
          <w:rFonts w:ascii="Segoe UI" w:cs="Segoe UI" w:eastAsia="Segoe UI" w:hAnsi="Segoe UI"/>
        </w:rPr>
        <w:br/>
        <w:t xml:space="preserve">Justice Brennan gave a dissenting judgment. He thought that was too, that it was too broad an interpretation and that those prohibitory requirements did actually supplement the power of the parent legislation. But he was in the minority.</w:t>
      </w:r>
      <w:r>
        <w:rPr>
          <w:color w:val="323130"/>
          <w:sz w:val="4.3mm"/>
          <w:szCs w:val="4.3mm"/>
          <w:rFonts w:ascii="Segoe UI" w:cs="Segoe UI" w:eastAsia="Segoe UI" w:hAnsi="Segoe UI"/>
        </w:rPr>
        <w:br/>
        <w:t xml:space="preserve">So that's not what we're doing. Now, do you remember the Hanif case? So Hanif is the doctor whose migration application was refused because he had some cousins who were involved in supporting terrorist organisations.</w:t>
      </w:r>
      <w:r>
        <w:rPr>
          <w:color w:val="323130"/>
          <w:sz w:val="4.3mm"/>
          <w:szCs w:val="4.3mm"/>
          <w:rFonts w:ascii="Segoe UI" w:cs="Segoe UI" w:eastAsia="Segoe UI" w:hAnsi="Segoe UI"/>
        </w:rPr>
        <w:br/>
        <w:t xml:space="preserve">And it was understood as part of the character test under the Migration Act, which is what he failed for. So the visa can be cancelled if there's an association whom the minister reasonably suspects has been involved in criminal conduct.</w:t>
      </w:r>
      <w:r>
        <w:rPr>
          <w:color w:val="323130"/>
          <w:sz w:val="4.3mm"/>
          <w:szCs w:val="4.3mm"/>
          <w:rFonts w:ascii="Segoe UI" w:cs="Segoe UI" w:eastAsia="Segoe UI" w:hAnsi="Segoe UI"/>
        </w:rPr>
        <w:br/>
        <w:t xml:space="preserve">Here, the High Court said that you needed to read this in a narrow way. It was too broad to say any old association. The association needed to have some bearing on the person's character.</w:t>
      </w:r>
      <w:r>
        <w:rPr>
          <w:color w:val="323130"/>
          <w:sz w:val="4.3mm"/>
          <w:szCs w:val="4.3mm"/>
          <w:rFonts w:ascii="Segoe UI" w:cs="Segoe UI" w:eastAsia="Segoe UI" w:hAnsi="Segoe UI"/>
        </w:rPr>
        <w:br/>
        <w:t xml:space="preserve">So the High Court here is accepting that basically it was too long a sword, too long a bow to draw, that there wasn't a real connection between Hanif and despite that there are his relatives, there wasn't really a connection between them.</w:t>
      </w:r>
      <w:r>
        <w:rPr>
          <w:color w:val="323130"/>
          <w:sz w:val="4.3mm"/>
          <w:szCs w:val="4.3mm"/>
          <w:rFonts w:ascii="Segoe UI" w:cs="Segoe UI" w:eastAsia="Segoe UI" w:hAnsi="Segoe UI"/>
        </w:rPr>
        <w:br/>
        <w:t xml:space="preserve">and that there was no, he was not involved with them in any way. He wasn't aware of what they were doing. There was no, he wasn't engaged with them in any way. And the High Court said you could make, you needed to make a narrow reading of that requirement because it actually needed to have some relationship to the person, some bearing on the person's character.</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that, yes, Hanif did get his visa in the end, but after lots of trials and tribulations and being kept in detention and all sorts of things. Okay.</w:t>
      </w:r>
      <w:r>
        <w:rPr>
          <w:color w:val="323130"/>
          <w:sz w:val="4.3mm"/>
          <w:szCs w:val="4.3mm"/>
          <w:rFonts w:ascii="Segoe UI" w:cs="Segoe UI" w:eastAsia="Segoe UI" w:hAnsi="Segoe UI"/>
        </w:rPr>
        <w:br/>
        <w:t xml:space="preserve">As I said before, at the London City Council, we mentioned a statutory power to run tramways does not authorise to run a bus service.</w:t>
      </w:r>
      <w:r>
        <w:rPr>
          <w:color w:val="323130"/>
          <w:sz w:val="4.3mm"/>
          <w:szCs w:val="4.3mm"/>
          <w:rFonts w:ascii="Segoe UI" w:cs="Segoe UI" w:eastAsia="Segoe UI" w:hAnsi="Segoe UI"/>
        </w:rPr>
        <w:br/>
        <w:t xml:space="preserve">And the same one as we mentioned before, Vic is in the Minister of Business and Consumer Affairs. If you, a customs agent is allowed to seize real real goods, but not money in a bank account.</w:t>
      </w:r>
      <w:r>
        <w:rPr>
          <w:color w:val="323130"/>
          <w:sz w:val="4.3mm"/>
          <w:szCs w:val="4.3mm"/>
          <w:rFonts w:ascii="Segoe UI" w:cs="Segoe UI" w:eastAsia="Segoe UI" w:hAnsi="Segoe UI"/>
        </w:rPr>
        <w:br/>
        <w:t xml:space="preserve">Now, what is the equivalent ADAJR Act ground for these common law cases that we've been looking at? ADJR Act grounds section 1 5D that the decision was not authorised by the enactment in pursuance of which it was purported to be made.</w:t>
      </w:r>
      <w:r>
        <w:rPr>
          <w:color w:val="323130"/>
          <w:sz w:val="4.3mm"/>
          <w:szCs w:val="4.3mm"/>
          <w:rFonts w:ascii="Segoe UI" w:cs="Segoe UI" w:eastAsia="Segoe UI" w:hAnsi="Segoe UI"/>
        </w:rPr>
        <w:br/>
        <w:t xml:space="preserve">Okay, so often a delegated legislation situation, but not necessarily. You see it there in the common law cases. Those common law cases you can adduce to when you're arguing or pointing out what does ADJ</w:t>
      </w:r>
      <w:r>
        <w:rPr>
          <w:color w:val="323130"/>
          <w:sz w:val="4.3mm"/>
          <w:szCs w:val="4.3mm"/>
          <w:rFonts w:ascii="Segoe UI" w:cs="Segoe UI" w:eastAsia="Segoe UI" w:hAnsi="Segoe UI"/>
        </w:rPr>
        <w:br/>
        <w:t xml:space="preserve">Jr. Act Ground 51D mean? It means those kind of situations where the where the enactment does not authorise.</w:t>
      </w:r>
      <w:r>
        <w:rPr>
          <w:color w:val="323130"/>
          <w:sz w:val="4.3mm"/>
          <w:szCs w:val="4.3mm"/>
          <w:rFonts w:ascii="Segoe UI" w:cs="Segoe UI" w:eastAsia="Segoe UI" w:hAnsi="Segoe UI"/>
        </w:rPr>
        <w:br/>
        <w:t xml:space="preserve">the activity that is in question. So you've got a whole range of examples there about how that might play out in a particular fact situation.</w:t>
      </w:r>
      <w:r>
        <w:rPr>
          <w:color w:val="323130"/>
          <w:sz w:val="4.3mm"/>
          <w:szCs w:val="4.3mm"/>
          <w:rFonts w:ascii="Segoe UI" w:cs="Segoe UI" w:eastAsia="Segoe UI" w:hAnsi="Segoe UI"/>
        </w:rPr>
        <w:br/>
        <w:t xml:space="preserve">I did already run through some of these, some more...</w:t>
      </w:r>
      <w:r>
        <w:rPr>
          <w:color w:val="323130"/>
          <w:sz w:val="4.3mm"/>
          <w:szCs w:val="4.3mm"/>
          <w:rFonts w:ascii="Segoe UI" w:cs="Segoe UI" w:eastAsia="Segoe UI" w:hAnsi="Segoe UI"/>
        </w:rPr>
        <w:br/>
        <w:t xml:space="preserve">The old case of Entink and Carrington, which we mentioned, the ISIS officers not being able to be prosecuted, the</w:t>
      </w:r>
      <w:r>
        <w:rPr>
          <w:color w:val="323130"/>
          <w:sz w:val="4.3mm"/>
          <w:szCs w:val="4.3mm"/>
          <w:rFonts w:ascii="Segoe UI" w:cs="Segoe UI" w:eastAsia="Segoe UI" w:hAnsi="Segoe UI"/>
        </w:rPr>
        <w:br/>
        <w:t xml:space="preserve">This ICAC and the Queen and faking your chest pains, these are all acting beyond powers. Now.</w:t>
      </w:r>
      <w:r>
        <w:rPr>
          <w:color w:val="323130"/>
          <w:sz w:val="4.3mm"/>
          <w:szCs w:val="4.3mm"/>
          <w:rFonts w:ascii="Segoe UI" w:cs="Segoe UI" w:eastAsia="Segoe UI" w:hAnsi="Segoe UI"/>
        </w:rPr>
        <w:br/>
        <w:t xml:space="preserve">Let's return to this purposive powers situation. And here we have another situation which was Vanstone and Clark. So Amanda Vanstone, some of you may recall, was a minister in the government for a while.</w:t>
      </w:r>
      <w:r>
        <w:rPr>
          <w:color w:val="323130"/>
          <w:sz w:val="4.3mm"/>
          <w:szCs w:val="4.3mm"/>
          <w:rFonts w:ascii="Segoe UI" w:cs="Segoe UI" w:eastAsia="Segoe UI" w:hAnsi="Segoe UI"/>
        </w:rPr>
        <w:br/>
        <w:t xml:space="preserve">And Mister Clark was the head of ATSIC, which is the Aboriginal Torres Strait Islander Commission. Now, Mister Clark had engaged in some activities that Amanda didn't approve of, and.</w:t>
      </w:r>
      <w:r>
        <w:rPr>
          <w:color w:val="323130"/>
          <w:sz w:val="4.3mm"/>
          <w:szCs w:val="4.3mm"/>
          <w:rFonts w:ascii="Segoe UI" w:cs="Segoe UI" w:eastAsia="Segoe UI" w:hAnsi="Segoe UI"/>
        </w:rPr>
        <w:br/>
        <w:t xml:space="preserve">She dismissed, she dismissed him or suspended him from his post for misbehaviour.</w:t>
      </w:r>
      <w:r>
        <w:rPr>
          <w:color w:val="323130"/>
          <w:sz w:val="4.3mm"/>
          <w:szCs w:val="4.3mm"/>
          <w:rFonts w:ascii="Segoe UI" w:cs="Segoe UI" w:eastAsia="Segoe UI" w:hAnsi="Segoe UI"/>
        </w:rPr>
        <w:br/>
        <w:t xml:space="preserve">So, the ATSIC Act, which set up the Aboriginal and Torres Strait Island Commission, provided that the Minister could suspend a commissioner for misbehaviour after making a determination under Section 4A. So, Minister Vanstone made...</w:t>
      </w:r>
      <w:r>
        <w:rPr>
          <w:color w:val="323130"/>
          <w:sz w:val="4.3mm"/>
          <w:szCs w:val="4.3mm"/>
          <w:rFonts w:ascii="Segoe UI" w:cs="Segoe UI" w:eastAsia="Segoe UI" w:hAnsi="Segoe UI"/>
        </w:rPr>
        <w:br/>
        <w:t xml:space="preserve">a misbehaviour determination. So there were misbehaviour determination regulations specifying conduct, including disruption of meetings, harassment, dishonoury, dishonesty, bribery,</w:t>
      </w:r>
      <w:r>
        <w:rPr>
          <w:color w:val="323130"/>
          <w:sz w:val="4.3mm"/>
          <w:szCs w:val="4.3mm"/>
          <w:rFonts w:ascii="Segoe UI" w:cs="Segoe UI" w:eastAsia="Segoe UI" w:hAnsi="Segoe UI"/>
        </w:rPr>
        <w:br/>
        <w:t xml:space="preserve">criminal conviction, carrying term of imprisonment and various things. Jeff Clark, the Commissioner in question, who had been convicted of obstructing police, challenged his suspension. The High Court said that the Minister failed to take into account</w:t>
      </w:r>
      <w:r>
        <w:rPr>
          <w:color w:val="323130"/>
          <w:sz w:val="4.3mm"/>
          <w:szCs w:val="4.3mm"/>
          <w:rFonts w:ascii="Segoe UI" w:cs="Segoe UI" w:eastAsia="Segoe UI" w:hAnsi="Segoe UI"/>
        </w:rPr>
        <w:br/>
        <w:t xml:space="preserve">a relevant consideration, i.e. that in some jurisdictions, offences carrying in terms of imprisonment were relatively trivial, such as intoxication and offensive language offences, and that therefore the determination, the Minister's determination was</w:t>
      </w:r>
      <w:r>
        <w:rPr>
          <w:color w:val="323130"/>
          <w:sz w:val="4.3mm"/>
          <w:szCs w:val="4.3mm"/>
          <w:rFonts w:ascii="Segoe UI" w:cs="Segoe UI" w:eastAsia="Segoe UI" w:hAnsi="Segoe UI"/>
        </w:rPr>
        <w:br/>
        <w:t xml:space="preserve">Disproportionate. OK, so, so here the court accepted that.</w:t>
      </w:r>
      <w:r>
        <w:rPr>
          <w:color w:val="323130"/>
          <w:sz w:val="4.3mm"/>
          <w:szCs w:val="4.3mm"/>
          <w:rFonts w:ascii="Segoe UI" w:cs="Segoe UI" w:eastAsia="Segoe UI" w:hAnsi="Segoe UI"/>
        </w:rPr>
        <w:br/>
        <w:t xml:space="preserve">that Jeff Clark had been convicted of obstructing police, but they're saying actually that's a fairly minor offence. It might have been an offence in one state and not in another state, didn't really have much substance to it. And therefore,</w:t>
      </w:r>
      <w:r>
        <w:rPr>
          <w:color w:val="323130"/>
          <w:sz w:val="4.3mm"/>
          <w:szCs w:val="4.3mm"/>
          <w:rFonts w:ascii="Segoe UI" w:cs="Segoe UI" w:eastAsia="Segoe UI" w:hAnsi="Segoe UI"/>
        </w:rPr>
        <w:br/>
        <w:t xml:space="preserve">the court set aside the suspension and Jeff Clark was reinstated. Now, in actual fact, as it transpired afterwards, there was a fair bit of other behaviour which certainly might have fallen into the terms of that determination.</w:t>
      </w:r>
      <w:r>
        <w:rPr>
          <w:color w:val="323130"/>
          <w:sz w:val="4.3mm"/>
          <w:szCs w:val="4.3mm"/>
          <w:rFonts w:ascii="Segoe UI" w:cs="Segoe UI" w:eastAsia="Segoe UI" w:hAnsi="Segoe UI"/>
        </w:rPr>
        <w:br/>
        <w:t xml:space="preserve">Eventually, Mister Clark was actually...</w:t>
      </w:r>
      <w:r>
        <w:rPr>
          <w:color w:val="323130"/>
          <w:sz w:val="4.3mm"/>
          <w:szCs w:val="4.3mm"/>
          <w:rFonts w:ascii="Segoe UI" w:cs="Segoe UI" w:eastAsia="Segoe UI" w:hAnsi="Segoe UI"/>
        </w:rPr>
        <w:br/>
        <w:t xml:space="preserve">taken out of office. But at this point, at this point, the High Court said that that was not sufficient, even though on the face of it, it seemed to fall under the criminal conviction carrying a term of imprisonment. The High Court said being convicted for obstructing police and I don't believe it had a term of imprisonment.</w:t>
      </w:r>
      <w:r>
        <w:rPr>
          <w:color w:val="323130"/>
          <w:sz w:val="4.3mm"/>
          <w:szCs w:val="4.3mm"/>
          <w:rFonts w:ascii="Segoe UI" w:cs="Segoe UI" w:eastAsia="Segoe UI" w:hAnsi="Segoe UI"/>
        </w:rPr>
        <w:br/>
        <w:t xml:space="preserve">was not sufficient to meet that ground. So what is the legal term for this kind of consideration that the High Court made? It's a lack of reasonable proportionality, right? It means that the grounds on which he was dismissed</w:t>
      </w:r>
      <w:r>
        <w:rPr>
          <w:color w:val="323130"/>
          <w:sz w:val="4.3mm"/>
          <w:szCs w:val="4.3mm"/>
          <w:rFonts w:ascii="Segoe UI" w:cs="Segoe UI" w:eastAsia="Segoe UI" w:hAnsi="Segoe UI"/>
        </w:rPr>
        <w:br/>
        <w:t xml:space="preserve">was not serious enough to satisfy the requirement in the misbehaviour determination regulations. A lack of reasonable proportionality potentially is easier to establish than a Wednesbury unreasonableness test.</w:t>
      </w:r>
      <w:r>
        <w:rPr>
          <w:color w:val="323130"/>
          <w:sz w:val="4.3mm"/>
          <w:szCs w:val="4.3mm"/>
          <w:rFonts w:ascii="Segoe UI" w:cs="Segoe UI" w:eastAsia="Segoe UI" w:hAnsi="Segoe UI"/>
        </w:rPr>
        <w:br/>
        <w:t xml:space="preserve">and we'll talk about a Wednesday unreasonableness as we go through this course, but it's quite a high bar. It only applies when you've got a particular, a clear purpose in the legislation, and it's also very similar to the notion of an irrational</w:t>
      </w:r>
      <w:r>
        <w:rPr>
          <w:color w:val="323130"/>
          <w:sz w:val="4.3mm"/>
          <w:szCs w:val="4.3mm"/>
          <w:rFonts w:ascii="Segoe UI" w:cs="Segoe UI" w:eastAsia="Segoe UI" w:hAnsi="Segoe UI"/>
        </w:rPr>
        <w:br/>
        <w:t xml:space="preserve">irrationality test. So it's unreasonably proportionate or it's irrational. Basically, Amanda Van Stone had picked too slight a point of behaviour to exercise the power that she did.</w:t>
      </w:r>
      <w:r>
        <w:rPr>
          <w:color w:val="323130"/>
          <w:sz w:val="4.3mm"/>
          <w:szCs w:val="4.3mm"/>
          <w:rFonts w:ascii="Segoe UI" w:cs="Segoe UI" w:eastAsia="Segoe UI" w:hAnsi="Segoe UI"/>
        </w:rPr>
        <w:br/>
        <w:t xml:space="preserve">exercise. So again, this kind of notion of proportionality or irrationality, which affects the decision.</w:t>
      </w:r>
      <w:r>
        <w:rPr>
          <w:color w:val="323130"/>
          <w:sz w:val="4.3mm"/>
          <w:szCs w:val="4.3mm"/>
          <w:rFonts w:ascii="Segoe UI" w:cs="Segoe UI" w:eastAsia="Segoe UI" w:hAnsi="Segoe UI"/>
        </w:rPr>
        <w:br/>
        <w:t xml:space="preserve">OK, plaintiff M47 and the director of.</w:t>
      </w:r>
      <w:r>
        <w:rPr>
          <w:color w:val="323130"/>
          <w:sz w:val="4.3mm"/>
          <w:szCs w:val="4.3mm"/>
          <w:rFonts w:ascii="Segoe UI" w:cs="Segoe UI" w:eastAsia="Segoe UI" w:hAnsi="Segoe UI"/>
        </w:rPr>
        <w:br/>
        <w:t xml:space="preserve">Director General of Security and we'll come back to Plaintiff M47 a few times in the next few weeks. In this case, the plaintiff was confirmed as a refugee by a delegate of the minister, but refused a permanent protection visa.</w:t>
      </w:r>
      <w:r>
        <w:rPr>
          <w:color w:val="323130"/>
          <w:sz w:val="4.3mm"/>
          <w:szCs w:val="4.3mm"/>
          <w:rFonts w:ascii="Segoe UI" w:cs="Segoe UI" w:eastAsia="Segoe UI" w:hAnsi="Segoe UI"/>
        </w:rPr>
        <w:br/>
        <w:t xml:space="preserve">on the basis of public interest criteria number 4002, which was part of the migration regulations 1994. So part of the regulations due to an adverse ASIO assessment. So there had been, so</w:t>
      </w:r>
      <w:r>
        <w:rPr>
          <w:color w:val="323130"/>
          <w:sz w:val="4.3mm"/>
          <w:szCs w:val="4.3mm"/>
          <w:rFonts w:ascii="Segoe UI" w:cs="Segoe UI" w:eastAsia="Segoe UI" w:hAnsi="Segoe UI"/>
        </w:rPr>
        <w:br/>
        <w:t xml:space="preserve">So the plaintiff 47, M47 was a refugee established, but there was an adverse AZO assessment, so a permanent protection visa was refused, because normally that would flow.</w:t>
      </w:r>
      <w:r>
        <w:rPr>
          <w:color w:val="323130"/>
          <w:sz w:val="4.3mm"/>
          <w:szCs w:val="4.3mm"/>
          <w:rFonts w:ascii="Segoe UI" w:cs="Segoe UI" w:eastAsia="Segoe UI" w:hAnsi="Segoe UI"/>
        </w:rPr>
        <w:br/>
        <w:t xml:space="preserve">The High Court held this was invalid, the decision to refuse the permanent protection visa was invalid because the merits review process under Section 500 of the Migration Act had effectively handed power to</w:t>
      </w:r>
      <w:r>
        <w:rPr>
          <w:color w:val="323130"/>
          <w:sz w:val="4.3mm"/>
          <w:szCs w:val="4.3mm"/>
          <w:rFonts w:ascii="Segoe UI" w:cs="Segoe UI" w:eastAsia="Segoe UI" w:hAnsi="Segoe UI"/>
        </w:rPr>
        <w:br/>
        <w:t xml:space="preserve">ASIO to make the decision and the subordinate legislation was inconsistent with the act. Okay, so what's happened here? The subordinate legislation allowing the minister to make a public interest criteria, however, allowing that to be, but it said that</w:t>
      </w:r>
      <w:r>
        <w:rPr>
          <w:color w:val="323130"/>
          <w:sz w:val="4.3mm"/>
          <w:szCs w:val="4.3mm"/>
          <w:rFonts w:ascii="Segoe UI" w:cs="Segoe UI" w:eastAsia="Segoe UI" w:hAnsi="Segoe UI"/>
        </w:rPr>
        <w:br/>
        <w:t xml:space="preserve">an adverse effect by ASIO would be sufficient to satisfy that ground. The High Court held that that took, that inclusion in the regulation, took the power beyond the power of the Parent Act because ASIO could just say, yeah, this one's in, that one's not in, it didn't have to tell people the reason or the basis for their</w:t>
      </w:r>
      <w:r>
        <w:rPr>
          <w:color w:val="323130"/>
          <w:sz w:val="4.3mm"/>
          <w:szCs w:val="4.3mm"/>
          <w:rFonts w:ascii="Segoe UI" w:cs="Segoe UI" w:eastAsia="Segoe UI" w:hAnsi="Segoe UI"/>
        </w:rPr>
        <w:br/>
        <w:t xml:space="preserve">for their decision and it was housed in the regulations. So that would be different if it was in the legislation, but it wasn't. It was in the regulations. So the High Court said, no, that's no good. Handing power, effectively handing power to ASIO. So it's a, and therefore beyond the scope.</w:t>
      </w:r>
      <w:r>
        <w:rPr>
          <w:color w:val="323130"/>
          <w:sz w:val="4.3mm"/>
          <w:szCs w:val="4.3mm"/>
          <w:rFonts w:ascii="Segoe UI" w:cs="Segoe UI" w:eastAsia="Segoe UI" w:hAnsi="Segoe UI"/>
        </w:rPr>
        <w:br/>
        <w:t xml:space="preserve">of the Parent Act and was extending the regulation. So again, another example.</w:t>
      </w:r>
      <w:r>
        <w:rPr>
          <w:color w:val="323130"/>
          <w:sz w:val="4.3mm"/>
          <w:szCs w:val="4.3mm"/>
          <w:rFonts w:ascii="Segoe UI" w:cs="Segoe UI" w:eastAsia="Segoe UI" w:hAnsi="Segoe UI"/>
        </w:rPr>
        <w:br/>
        <w:t xml:space="preserve">of the way in which you need to be careful about the scope of the power.</w:t>
      </w:r>
      <w:r>
        <w:rPr>
          <w:color w:val="323130"/>
          <w:sz w:val="4.3mm"/>
          <w:szCs w:val="4.3mm"/>
          <w:rFonts w:ascii="Segoe UI" w:cs="Segoe UI" w:eastAsia="Segoe UI" w:hAnsi="Segoe UI"/>
        </w:rPr>
        <w:br/>
        <w:t xml:space="preserve">and make sure it stays within the power. Another example of this kind of staying within the power, Djokovic and the Minister for Immigration and Migrant Multicultural Affairs. I don't know if any of you remember, we were in the middle of COVID and Djokovic wanted to come and play at the Australian</w:t>
      </w:r>
      <w:r>
        <w:rPr>
          <w:color w:val="323130"/>
          <w:sz w:val="4.3mm"/>
          <w:szCs w:val="4.3mm"/>
          <w:rFonts w:ascii="Segoe UI" w:cs="Segoe UI" w:eastAsia="Segoe UI" w:hAnsi="Segoe UI"/>
        </w:rPr>
        <w:br/>
        <w:t xml:space="preserve">open. But there were question marks about his vaccination status and he was saying things about vaccinations that people didn't like. He'd actually come in and landed in Australia. But</w:t>
      </w:r>
      <w:r>
        <w:rPr>
          <w:color w:val="323130"/>
          <w:sz w:val="4.3mm"/>
          <w:szCs w:val="4.3mm"/>
          <w:rFonts w:ascii="Segoe UI" w:cs="Segoe UI" w:eastAsia="Segoe UI" w:hAnsi="Segoe UI"/>
        </w:rPr>
        <w:br/>
        <w:t xml:space="preserve">his, the minister, the Minister for Immigration made a decision to cancel his visa. Now the question in this case was in, so that decision to cancel his visa was challenged. What was the basis of the power for the minister to cancel the visa? And were there</w:t>
      </w:r>
      <w:r>
        <w:rPr>
          <w:color w:val="323130"/>
          <w:sz w:val="4.3mm"/>
          <w:szCs w:val="4.3mm"/>
          <w:rFonts w:ascii="Segoe UI" w:cs="Segoe UI" w:eastAsia="Segoe UI" w:hAnsi="Segoe UI"/>
        </w:rPr>
        <w:br/>
        <w:t xml:space="preserve">Yes, the minister had some discretion, but were there preconditions or requirements for the exercise of that discretion? So the court had to think about what was it that the minister had to be satisfied of in order to exercise his discretion. And it is a</w:t>
      </w:r>
      <w:r>
        <w:rPr>
          <w:color w:val="323130"/>
          <w:sz w:val="4.3mm"/>
          <w:szCs w:val="4.3mm"/>
          <w:rFonts w:ascii="Segoe UI" w:cs="Segoe UI" w:eastAsia="Segoe UI" w:hAnsi="Segoe UI"/>
        </w:rPr>
        <w:br/>
        <w:t xml:space="preserve">Public, its public interest grounds under the Migration Act, and the question was, can the Minister be satisfied?</w:t>
      </w:r>
      <w:r>
        <w:rPr>
          <w:color w:val="323130"/>
          <w:sz w:val="4.3mm"/>
          <w:szCs w:val="4.3mm"/>
          <w:rFonts w:ascii="Segoe UI" w:cs="Segoe UI" w:eastAsia="Segoe UI" w:hAnsi="Segoe UI"/>
        </w:rPr>
        <w:br/>
        <w:t xml:space="preserve">Thanks, Paula. No problem. The Minister can be satisfied of respecting the interest to cancel. Is it in the public interest to cancel the visa under Section 16 of the Migration Act? Judge Kelly said that the ministerial</w:t>
      </w:r>
      <w:r>
        <w:rPr>
          <w:color w:val="323130"/>
          <w:sz w:val="4.3mm"/>
          <w:szCs w:val="4.3mm"/>
          <w:rFonts w:ascii="Segoe UI" w:cs="Segoe UI" w:eastAsia="Segoe UI" w:hAnsi="Segoe UI"/>
        </w:rPr>
        <w:br/>
        <w:t xml:space="preserve">satisfaction respecting the matters in each limb of Section 133C, 3A and B is essential to the existence of the Minister's statutory discretion power to consider the cancellation. In each case, the nature of the satisfaction of the Minister that is necessary and sufficient to engage the power</w:t>
      </w:r>
      <w:r>
        <w:rPr>
          <w:color w:val="323130"/>
          <w:sz w:val="4.3mm"/>
          <w:szCs w:val="4.3mm"/>
          <w:rFonts w:ascii="Segoe UI" w:cs="Segoe UI" w:eastAsia="Segoe UI" w:hAnsi="Segoe UI"/>
        </w:rPr>
        <w:br/>
        <w:t xml:space="preserve">is a state of mind formed reasonably and on a correct understanding and application of the applicable law. Okay, so even what they're saying is the minister's got a discretion, yes, but it's not an open-ended and unlimited discretion. It's A discretion that must be exercised</w:t>
      </w:r>
      <w:r>
        <w:rPr>
          <w:color w:val="323130"/>
          <w:sz w:val="4.3mm"/>
          <w:szCs w:val="4.3mm"/>
          <w:rFonts w:ascii="Segoe UI" w:cs="Segoe UI" w:eastAsia="Segoe UI" w:hAnsi="Segoe UI"/>
        </w:rPr>
        <w:br/>
        <w:t xml:space="preserve">by understanding what are the requirements of the law, what does the law require him to be satisfied about? And he must make that exercise, forming a correct understanding and application of the law. So he needs to look at the requirements in the</w:t>
      </w:r>
      <w:r>
        <w:rPr>
          <w:color w:val="323130"/>
          <w:sz w:val="4.3mm"/>
          <w:szCs w:val="4.3mm"/>
          <w:rFonts w:ascii="Segoe UI" w:cs="Segoe UI" w:eastAsia="Segoe UI" w:hAnsi="Segoe UI"/>
        </w:rPr>
        <w:br/>
        <w:t xml:space="preserve">in the Migration Act. I think you'll do this in more detail in the tutorial, but whether you do or don't, go and have a look at the relevant sections of the Immigration Act, the public interest exclusion sections, because once you read those parts of the legislation, it will actually, much easier in your mind to understand the logic here that there are requirements written in the legislation about what they</w:t>
      </w:r>
      <w:r>
        <w:rPr>
          <w:color w:val="323130"/>
          <w:sz w:val="4.3mm"/>
          <w:szCs w:val="4.3mm"/>
          <w:rFonts w:ascii="Segoe UI" w:cs="Segoe UI" w:eastAsia="Segoe UI" w:hAnsi="Segoe UI"/>
        </w:rPr>
        <w:br/>
        <w:t xml:space="preserve">minister has to think about. Now, the cancellation in this case was upheld. Djokovic had to go and but the minister discretion is never or very rarely unlimited in these situations. There will be a legislative framework.</w:t>
      </w:r>
      <w:r>
        <w:rPr>
          <w:color w:val="323130"/>
          <w:sz w:val="4.3mm"/>
          <w:szCs w:val="4.3mm"/>
          <w:rFonts w:ascii="Segoe UI" w:cs="Segoe UI" w:eastAsia="Segoe UI" w:hAnsi="Segoe UI"/>
        </w:rPr>
        <w:br/>
        <w:t xml:space="preserve">that requires statutory interpretation and the Minister must be able to demonstrate that they have considered the requirements as set out in the legislation in order for their decision to remain valid.</w:t>
      </w:r>
      <w:r>
        <w:rPr>
          <w:color w:val="323130"/>
          <w:sz w:val="4.3mm"/>
          <w:szCs w:val="4.3mm"/>
          <w:rFonts w:ascii="Segoe UI" w:cs="Segoe UI" w:eastAsia="Segoe UI" w:hAnsi="Segoe UI"/>
        </w:rPr>
        <w:br/>
        <w:t xml:space="preserve">Okay. Mandatory procedures.</w:t>
      </w:r>
      <w:r>
        <w:rPr>
          <w:color w:val="323130"/>
          <w:sz w:val="4.3mm"/>
          <w:szCs w:val="4.3mm"/>
          <w:rFonts w:ascii="Segoe UI" w:cs="Segoe UI" w:eastAsia="Segoe UI" w:hAnsi="Segoe UI"/>
        </w:rPr>
        <w:br/>
        <w:t xml:space="preserve">So, any, just before I go on, any questions about that last, that last *****?</w:t>
      </w:r>
      <w:r>
        <w:rPr>
          <w:color w:val="323130"/>
          <w:sz w:val="4.3mm"/>
          <w:szCs w:val="4.3mm"/>
          <w:rFonts w:ascii="Segoe UI" w:cs="Segoe UI" w:eastAsia="Segoe UI" w:hAnsi="Segoe UI"/>
        </w:rPr>
        <w:br/>
        <w:t xml:space="preserve">Okay, so ADGR section 51b, procedures that were required by law to be observed in connection with the making of the decision were not observed. So there are some things that are set out in the statute that have to be observed. If they're not observed, it's a jurisdictional error.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In the common law, we call that disregard of essential procedural requirements. In the ADGR Act, it's section 501B. Now, historically, the courts have distinguished between mandatory and directory rules. So for example, a mandatory rule is where, you know, the legislation will say, you must.</w:t>
      </w:r>
      <w:r>
        <w:rPr>
          <w:color w:val="323130"/>
          <w:sz w:val="4.3mm"/>
          <w:szCs w:val="4.3mm"/>
          <w:rFonts w:ascii="Segoe UI" w:cs="Segoe UI" w:eastAsia="Segoe UI" w:hAnsi="Segoe UI"/>
        </w:rPr>
        <w:br/>
        <w:t xml:space="preserve">And when you must, you know, you must.</w:t>
      </w:r>
      <w:r>
        <w:rPr>
          <w:color w:val="323130"/>
          <w:sz w:val="4.3mm"/>
          <w:szCs w:val="4.3mm"/>
          <w:rFonts w:ascii="Segoe UI" w:cs="Segoe UI" w:eastAsia="Segoe UI" w:hAnsi="Segoe UI"/>
        </w:rPr>
        <w:br/>
        <w:t xml:space="preserve">So sometimes there are things like having a copy of a warrant or a public notification of something before you can take some action. We come back to Project Blue Sky on some of these things. And some acts spell out</w:t>
      </w:r>
      <w:r>
        <w:rPr>
          <w:color w:val="323130"/>
          <w:sz w:val="4.3mm"/>
          <w:szCs w:val="4.3mm"/>
          <w:rFonts w:ascii="Segoe UI" w:cs="Segoe UI" w:eastAsia="Segoe UI" w:hAnsi="Segoe UI"/>
        </w:rPr>
        <w:br/>
        <w:t xml:space="preserve">The consequences of not of not adhering to these procedural rules, so, in particular, there's a...</w:t>
      </w:r>
      <w:r>
        <w:rPr>
          <w:color w:val="323130"/>
          <w:sz w:val="4.3mm"/>
          <w:szCs w:val="4.3mm"/>
          <w:rFonts w:ascii="Segoe UI" w:cs="Segoe UI" w:eastAsia="Segoe UI" w:hAnsi="Segoe UI"/>
        </w:rPr>
        <w:br/>
        <w:t xml:space="preserve">So some things might be unenforceable depending on how the legislation sets out. Now remember our Project Blue Sky people. It's the Australian Broadcasting Authority trying to make regulations about Australian content and the New Zealand people are wanting to put their films in and there is...</w:t>
      </w:r>
      <w:r>
        <w:rPr>
          <w:color w:val="323130"/>
          <w:sz w:val="4.3mm"/>
          <w:szCs w:val="4.3mm"/>
          <w:rFonts w:ascii="Segoe UI" w:cs="Segoe UI" w:eastAsia="Segoe UI" w:hAnsi="Segoe UI"/>
        </w:rPr>
        <w:br/>
        <w:t xml:space="preserve">a bit of confusion about the scope of the legislation because it says that you have to take account of international obligations and treaties and we have a treaty with New Zealand about free trade, but we're wanting to restrict therein. So the question was, was the failure to follow</w:t>
      </w:r>
      <w:r>
        <w:rPr>
          <w:color w:val="323130"/>
          <w:sz w:val="4.3mm"/>
          <w:szCs w:val="4.3mm"/>
          <w:rFonts w:ascii="Segoe UI" w:cs="Segoe UI" w:eastAsia="Segoe UI" w:hAnsi="Segoe UI"/>
        </w:rPr>
        <w:br/>
        <w:t xml:space="preserve">Section 160D, and that's the one above.</w:t>
      </w:r>
      <w:r>
        <w:rPr>
          <w:color w:val="323130"/>
          <w:sz w:val="4.3mm"/>
          <w:szCs w:val="4.3mm"/>
          <w:rFonts w:ascii="Segoe UI" w:cs="Segoe UI" w:eastAsia="Segoe UI" w:hAnsi="Segoe UI"/>
        </w:rPr>
        <w:br/>
        <w:t xml:space="preserve">about the treaties, you must perform a function in a manner consistent with Australia's international obligations, conventions and agreements with other countries. Was the failure to follow Section 60D a procedural requirement, a breach of which would lead to the</w:t>
      </w:r>
      <w:r>
        <w:rPr>
          <w:color w:val="323130"/>
          <w:sz w:val="4.3mm"/>
          <w:szCs w:val="4.3mm"/>
          <w:rFonts w:ascii="Segoe UI" w:cs="Segoe UI" w:eastAsia="Segoe UI" w:hAnsi="Segoe UI"/>
        </w:rPr>
        <w:br/>
        <w:t xml:space="preserve">validity of the content standard rule under section 122, right? So remember they made the standard content rules, it's going to chop out New Zealand, but that's the rule that there is subordinate legislation under legislation. Apparent legislation requires you to take the treaty into account.</w:t>
      </w:r>
      <w:r>
        <w:rPr>
          <w:color w:val="323130"/>
          <w:sz w:val="4.3mm"/>
          <w:szCs w:val="4.3mm"/>
          <w:rFonts w:ascii="Segoe UI" w:cs="Segoe UI" w:eastAsia="Segoe UI" w:hAnsi="Segoe UI"/>
        </w:rPr>
        <w:br/>
        <w:t xml:space="preserve">How does the court go about resolving this dilemma? So Justice McHugh, Gamon, Kirby, an act done in breach of a condition regulating the exercise of a statutory power is not necessarily...</w:t>
      </w:r>
      <w:r>
        <w:rPr>
          <w:color w:val="323130"/>
          <w:sz w:val="4.3mm"/>
          <w:szCs w:val="4.3mm"/>
          <w:rFonts w:ascii="Segoe UI" w:cs="Segoe UI" w:eastAsia="Segoe UI" w:hAnsi="Segoe UI"/>
        </w:rPr>
        <w:br/>
        <w:t xml:space="preserve">invalid and of no effect. So in one of the important parts about Project Blue Sky Blue here, Project Blue Sky, I should say, I beg your pardon, is they rejected the mandatory and discretionary, the mandatory directory distinction which the common law had developed, and they took a more statutory interpretation approach.</w:t>
      </w:r>
      <w:r>
        <w:rPr>
          <w:color w:val="323130"/>
          <w:sz w:val="4.3mm"/>
          <w:szCs w:val="4.3mm"/>
          <w:rFonts w:ascii="Segoe UI" w:cs="Segoe UI" w:eastAsia="Segoe UI" w:hAnsi="Segoe UI"/>
        </w:rPr>
        <w:br/>
        <w:t xml:space="preserve">This is why Project Blue Sky is a key statutory interpretation case, but they said rather than imposing this mandatory directory distinction, what you should do is look at the language of the statute, look at the subject matter of the statute, the objectives of the statute, the objects clauses,</w:t>
      </w:r>
      <w:r>
        <w:rPr>
          <w:color w:val="323130"/>
          <w:sz w:val="4.3mm"/>
          <w:szCs w:val="4.3mm"/>
          <w:rFonts w:ascii="Segoe UI" w:cs="Segoe UI" w:eastAsia="Segoe UI" w:hAnsi="Segoe UI"/>
        </w:rPr>
        <w:br/>
        <w:t xml:space="preserve">and the consequences to the parties of finding that an action done in breach of the conditions are void. So you need to look at the statute, but also look at the consequences. And the reason that you're looking at the consequences is because you're making a judgement in your statutory interpretation</w:t>
      </w:r>
      <w:r>
        <w:rPr>
          <w:color w:val="323130"/>
          <w:sz w:val="4.3mm"/>
          <w:szCs w:val="4.3mm"/>
          <w:rFonts w:ascii="Segoe UI" w:cs="Segoe UI" w:eastAsia="Segoe UI" w:hAnsi="Segoe UI"/>
        </w:rPr>
        <w:br/>
        <w:t xml:space="preserve">About what Parliament would have intended in this circumstance.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SoL.</w:t>
      </w:r>
      <w:r>
        <w:rPr>
          <w:color w:val="323130"/>
          <w:sz w:val="4.3mm"/>
          <w:szCs w:val="4.3mm"/>
          <w:rFonts w:ascii="Segoe UI" w:cs="Segoe UI" w:eastAsia="Segoe UI" w:hAnsi="Segoe UI"/>
        </w:rPr>
        <w:br/>
        <w:t xml:space="preserve">They really decided that it was impossible in practice to have regard to all of the treaties to which Australia was a signatory.</w:t>
      </w:r>
      <w:r>
        <w:rPr>
          <w:color w:val="323130"/>
          <w:sz w:val="4.3mm"/>
          <w:szCs w:val="4.3mm"/>
          <w:rFonts w:ascii="Segoe UI" w:cs="Segoe UI" w:eastAsia="Segoe UI" w:hAnsi="Segoe UI"/>
        </w:rPr>
        <w:br/>
        <w:t xml:space="preserve">And therefore, it could not have been the case that Parliament would intend that a breach of Section 160 would lead to invalidity of the regulations. So New Zealand was failed in that.</w:t>
      </w:r>
      <w:r>
        <w:rPr>
          <w:color w:val="323130"/>
          <w:sz w:val="4.3mm"/>
          <w:szCs w:val="4.3mm"/>
          <w:rFonts w:ascii="Segoe UI" w:cs="Segoe UI" w:eastAsia="Segoe UI" w:hAnsi="Segoe UI"/>
        </w:rPr>
        <w:br/>
        <w:t xml:space="preserve">tent. Foreign producers could sue for a breach of section 160 and the effect was a threat to local content. So they did this exercise in statutory interpretation that looked at all of the elements of the legislation and said that ultimately the standard was valid.</w:t>
      </w:r>
      <w:r>
        <w:rPr>
          <w:color w:val="323130"/>
          <w:sz w:val="4.3mm"/>
          <w:szCs w:val="4.3mm"/>
          <w:rFonts w:ascii="Segoe UI" w:cs="Segoe UI" w:eastAsia="Segoe UI" w:hAnsi="Segoe UI"/>
        </w:rPr>
        <w:br/>
        <w:t xml:space="preserve">because Parliament could not have intended that the consequences would be such. Now, again, in this, we see quite a strong dissenting judgment from Chief Justice Brennan. He said that the appropriate way to think about this is that the standard would be invalid. So he thought that the others had gone through a bit of a...</w:t>
      </w:r>
      <w:r>
        <w:rPr>
          <w:color w:val="323130"/>
          <w:sz w:val="4.3mm"/>
          <w:szCs w:val="4.3mm"/>
          <w:rFonts w:ascii="Segoe UI" w:cs="Segoe UI" w:eastAsia="Segoe UI" w:hAnsi="Segoe UI"/>
        </w:rPr>
        <w:br/>
        <w:t xml:space="preserve">A gymnastics exercise to get to get to the to get to the answer that they went to, but nevertheless, they were the majority they were the majority discussion, but it is exactly this reasoning and and the way in which they construct their argument, which is instructive.</w:t>
      </w:r>
      <w:r>
        <w:rPr>
          <w:color w:val="323130"/>
          <w:sz w:val="4.3mm"/>
          <w:szCs w:val="4.3mm"/>
          <w:rFonts w:ascii="Segoe UI" w:cs="Segoe UI" w:eastAsia="Segoe UI" w:hAnsi="Segoe UI"/>
        </w:rPr>
        <w:br/>
        <w:t xml:space="preserve">for statutory interpretation. Some people were pretty disappointed that you might dismiss international agreements with such alacrity. Okay, have we got some other examples? SAAP and the Minister for Immigration.</w:t>
      </w:r>
      <w:r>
        <w:rPr>
          <w:color w:val="323130"/>
          <w:sz w:val="4.3mm"/>
          <w:szCs w:val="4.3mm"/>
          <w:rFonts w:ascii="Segoe UI" w:cs="Segoe UI" w:eastAsia="Segoe UI" w:hAnsi="Segoe UI"/>
        </w:rPr>
        <w:br/>
        <w:t xml:space="preserve">Section 424A of the Immigration Act is information used to reach a decision must be provided to the applicant in writing. So this is some of the, this is application of the PBS decision. So they're looking at other parts of the Migration Act.</w:t>
      </w:r>
      <w:r>
        <w:rPr>
          <w:color w:val="323130"/>
          <w:sz w:val="4.3mm"/>
          <w:szCs w:val="4.3mm"/>
          <w:rFonts w:ascii="Segoe UI" w:cs="Segoe UI" w:eastAsia="Segoe UI" w:hAnsi="Segoe UI"/>
        </w:rPr>
        <w:br/>
        <w:t xml:space="preserve">to see how that statutory interpret construction and the intention of Parliament would apply in other situations. Now, in this particular case, the Refugee Tribunal had given oral comment rather than a written comment to the parties. And in this case, the High Court held that there was a breach of Section 424A.</w:t>
      </w:r>
      <w:r>
        <w:rPr>
          <w:color w:val="323130"/>
          <w:sz w:val="4.3mm"/>
          <w:szCs w:val="4.3mm"/>
          <w:rFonts w:ascii="Segoe UI" w:cs="Segoe UI" w:eastAsia="Segoe UI" w:hAnsi="Segoe UI"/>
        </w:rPr>
        <w:br/>
        <w:t xml:space="preserve">Because the obligation in the scheme of the act was to give.</w:t>
      </w:r>
      <w:r>
        <w:rPr>
          <w:color w:val="323130"/>
          <w:sz w:val="4.3mm"/>
          <w:szCs w:val="4.3mm"/>
          <w:rFonts w:ascii="Segoe UI" w:cs="Segoe UI" w:eastAsia="Segoe UI" w:hAnsi="Segoe UI"/>
        </w:rPr>
        <w:br/>
        <w:t xml:space="preserve">information in writing to the applicants. And in here, the Parliament noted the language of must. You must give information in writing to the applicants. So in that case, the Refugee Review Tribunal had aired in only giving</w:t>
      </w:r>
      <w:r>
        <w:rPr>
          <w:color w:val="323130"/>
          <w:sz w:val="4.3mm"/>
          <w:szCs w:val="4.3mm"/>
          <w:rFonts w:ascii="Segoe UI" w:cs="Segoe UI" w:eastAsia="Segoe UI" w:hAnsi="Segoe UI"/>
        </w:rPr>
        <w:br/>
        <w:t xml:space="preserve">oral information and not written because of the word must.</w:t>
      </w:r>
      <w:r>
        <w:rPr>
          <w:color w:val="323130"/>
          <w:sz w:val="4.3mm"/>
          <w:szCs w:val="4.3mm"/>
          <w:rFonts w:ascii="Segoe UI" w:cs="Segoe UI" w:eastAsia="Segoe UI" w:hAnsi="Segoe UI"/>
        </w:rPr>
        <w:br/>
        <w:t xml:space="preserve">Contrast that with the Minister of Immigration and SZIZO, a 2009 case, where again in the Migration Act, but the Migration Act authorised the recipient to receive certain documents.</w:t>
      </w:r>
      <w:r>
        <w:rPr>
          <w:color w:val="323130"/>
          <w:sz w:val="4.3mm"/>
          <w:szCs w:val="4.3mm"/>
          <w:rFonts w:ascii="Segoe UI" w:cs="Segoe UI" w:eastAsia="Segoe UI" w:hAnsi="Segoe UI"/>
        </w:rPr>
        <w:br/>
        <w:t xml:space="preserve">And here, the High Court, again, applying this, looking at the objectives and the whole of the legislation, a failure to notify the authorised recipient did not lead to unfairness or injustice, as the applicant had attended hearings and</w:t>
      </w:r>
      <w:r>
        <w:rPr>
          <w:color w:val="323130"/>
          <w:sz w:val="4.3mm"/>
          <w:szCs w:val="4.3mm"/>
          <w:rFonts w:ascii="Segoe UI" w:cs="Segoe UI" w:eastAsia="Segoe UI" w:hAnsi="Segoe UI"/>
        </w:rPr>
        <w:br/>
        <w:t xml:space="preserve">had made submissions, so the decision was still valid, right? So here, the purpose of requiring that the person was, the recipient received documents was exactly so they could participate in the proceedings before the Refugee Review Tribunal.</w:t>
      </w:r>
      <w:r>
        <w:rPr>
          <w:color w:val="323130"/>
          <w:sz w:val="4.3mm"/>
          <w:szCs w:val="4.3mm"/>
          <w:rFonts w:ascii="Segoe UI" w:cs="Segoe UI" w:eastAsia="Segoe UI" w:hAnsi="Segoe UI"/>
        </w:rPr>
        <w:br/>
        <w:t xml:space="preserve">They had participated in the proceedings of the Refugee Tribunal in an effective way. Therefore, the failure to give them the documents in this instance did not result in an invalidity of the decision. So you can see in each instance quite a careful statutory construction going on about what is required.</w:t>
      </w:r>
      <w:r>
        <w:rPr>
          <w:color w:val="323130"/>
          <w:sz w:val="4.3mm"/>
          <w:szCs w:val="4.3mm"/>
          <w:rFonts w:ascii="Segoe UI" w:cs="Segoe UI" w:eastAsia="Segoe UI" w:hAnsi="Segoe UI"/>
        </w:rPr>
        <w:br/>
        <w:t xml:space="preserve">In different circumstances, now there was a bit of.</w:t>
      </w:r>
      <w:r>
        <w:rPr>
          <w:color w:val="323130"/>
          <w:sz w:val="4.3mm"/>
          <w:szCs w:val="4.3mm"/>
          <w:rFonts w:ascii="Segoe UI" w:cs="Segoe UI" w:eastAsia="Segoe UI" w:hAnsi="Segoe UI"/>
        </w:rPr>
        <w:br/>
        <w:t xml:space="preserve">There was a bit of the Project Blue, sorry, the Project Blue Sky decision had a bit of sort of political consequences afterwards, as the New Zealand was upset and Australia was upset, everybody was upset, and eventually we did we did come to a</w:t>
      </w:r>
      <w:r>
        <w:rPr>
          <w:color w:val="323130"/>
          <w:sz w:val="4.3mm"/>
          <w:szCs w:val="4.3mm"/>
          <w:rFonts w:ascii="Segoe UI" w:cs="Segoe UI" w:eastAsia="Segoe UI" w:hAnsi="Segoe UI"/>
        </w:rPr>
        <w:br/>
        <w:t xml:space="preserve">policy decision where we recognised New Zealand content. So after the High Court decision, there was a bit of a flurry of policy and action so that we could watch Xena Warrior Princess, because otherwise we wouldn't have got there. Okay. Now, more application of Project</w:t>
      </w:r>
      <w:r>
        <w:rPr>
          <w:color w:val="323130"/>
          <w:sz w:val="4.3mm"/>
          <w:szCs w:val="4.3mm"/>
          <w:rFonts w:ascii="Segoe UI" w:cs="Segoe UI" w:eastAsia="Segoe UI" w:hAnsi="Segoe UI"/>
        </w:rPr>
        <w:br/>
        <w:t xml:space="preserve">Blue sky decisions in the migration.</w:t>
      </w:r>
      <w:r>
        <w:rPr>
          <w:color w:val="323130"/>
          <w:sz w:val="4.3mm"/>
          <w:szCs w:val="4.3mm"/>
          <w:rFonts w:ascii="Segoe UI" w:cs="Segoe UI" w:eastAsia="Segoe UI" w:hAnsi="Segoe UI"/>
        </w:rPr>
        <w:br/>
        <w:t xml:space="preserve">Ohh, that's the same slide; it's the SAP and CISO decisions which we have already looked at.</w:t>
      </w:r>
      <w:r>
        <w:rPr>
          <w:color w:val="323130"/>
          <w:sz w:val="4.3mm"/>
          <w:szCs w:val="4.3mm"/>
          <w:rFonts w:ascii="Segoe UI" w:cs="Segoe UI" w:eastAsia="Segoe UI" w:hAnsi="Segoe UI"/>
        </w:rPr>
        <w:br/>
        <w:t xml:space="preserve">Now, questions about that particular one, the key message there is statutory interpretation and you need to show in an exam or other context that you've had a good go at interpreting the statute in the following the framework of Project Blue Sky.</w:t>
      </w:r>
      <w:r>
        <w:rPr>
          <w:color w:val="323130"/>
          <w:sz w:val="4.3mm"/>
          <w:szCs w:val="4.3mm"/>
          <w:rFonts w:ascii="Segoe UI" w:cs="Segoe UI" w:eastAsia="Segoe UI" w:hAnsi="Segoe UI"/>
        </w:rPr>
        <w:br/>
        <w:t xml:space="preserve">Okay, now I want to move on to improper delegation. This is quite an important area. In ADGR Act Section 5 and also in Section 61, that the person did not have the jurisdiction or D was not authorised by the statute to make the decision.</w:t>
      </w:r>
      <w:r>
        <w:rPr>
          <w:color w:val="323130"/>
          <w:sz w:val="4.3mm"/>
          <w:szCs w:val="4.3mm"/>
          <w:rFonts w:ascii="Segoe UI" w:cs="Segoe UI" w:eastAsia="Segoe UI" w:hAnsi="Segoe UI"/>
        </w:rPr>
        <w:br/>
        <w:t xml:space="preserve">So this area is a little bit different in that we're talking about the person who is making the decision and whether they had the authority to make the decision. So generally most of the legislation, as you have seen already, is the minister. But the minister gets to delegate his authority, but usually the parent legislation will say,</w:t>
      </w:r>
      <w:r>
        <w:rPr>
          <w:color w:val="323130"/>
          <w:sz w:val="4.3mm"/>
          <w:szCs w:val="4.3mm"/>
          <w:rFonts w:ascii="Segoe UI" w:cs="Segoe UI" w:eastAsia="Segoe UI" w:hAnsi="Segoe UI"/>
        </w:rPr>
        <w:br/>
        <w:t xml:space="preserve">the minister can delegate his authority to X. So this is quite normal in the public service, if any of you have worked in the public service. But usually it is required that it's quite clear that the minister has to be very clear in</w:t>
      </w:r>
      <w:r>
        <w:rPr>
          <w:color w:val="323130"/>
          <w:sz w:val="4.3mm"/>
          <w:szCs w:val="4.3mm"/>
          <w:rFonts w:ascii="Segoe UI" w:cs="Segoe UI" w:eastAsia="Segoe UI" w:hAnsi="Segoe UI"/>
        </w:rPr>
        <w:br/>
        <w:t xml:space="preserve">either instructions, policy or in the legislation about to whom they are delegating their powers. Now, there's usually 3 distinct categories of delegation here. First of all, there's the express power to delegate. So it'll say in the legislation, the minister may delegate the decision-making power to X.</w:t>
      </w:r>
      <w:r>
        <w:rPr>
          <w:color w:val="323130"/>
          <w:sz w:val="4.3mm"/>
          <w:szCs w:val="4.3mm"/>
          <w:rFonts w:ascii="Segoe UI" w:cs="Segoe UI" w:eastAsia="Segoe UI" w:hAnsi="Segoe UI"/>
        </w:rPr>
        <w:br/>
        <w:t xml:space="preserve">The second situation is where we might assume from our statutory construction that there is an applied delegation, so...</w:t>
      </w:r>
      <w:r>
        <w:rPr>
          <w:color w:val="323130"/>
          <w:sz w:val="4.3mm"/>
          <w:szCs w:val="4.3mm"/>
          <w:rFonts w:ascii="Segoe UI" w:cs="Segoe UI" w:eastAsia="Segoe UI" w:hAnsi="Segoe UI"/>
        </w:rPr>
        <w:br/>
        <w:t xml:space="preserve">And partly this occurs because, I'll show you through the foundation case, but obviously a minister cannot personally make all the decisions in their department. So it's just not possible. So you have to have an implied delegation in many circumstances. And then there's this situation about whether...</w:t>
      </w:r>
      <w:r>
        <w:rPr>
          <w:color w:val="323130"/>
          <w:sz w:val="4.3mm"/>
          <w:szCs w:val="4.3mm"/>
          <w:rFonts w:ascii="Segoe UI" w:cs="Segoe UI" w:eastAsia="Segoe UI" w:hAnsi="Segoe UI"/>
        </w:rPr>
        <w:br/>
        <w:t xml:space="preserve">There's somebody has agency or is acting as the alter ego of the minister. And I'll show you some examples of how this work. When we're talking about this in common law, we call it, the Latin language is ultra vires or beyond power. So in common law, it would be ultra vires if you're making a decision, but you don't have authority to make the decision.</w:t>
      </w:r>
      <w:r>
        <w:rPr>
          <w:color w:val="323130"/>
          <w:sz w:val="4.3mm"/>
          <w:szCs w:val="4.3mm"/>
          <w:rFonts w:ascii="Segoe UI" w:cs="Segoe UI" w:eastAsia="Segoe UI" w:hAnsi="Segoe UI"/>
        </w:rPr>
        <w:br/>
        <w:t xml:space="preserve">and in ADJR Act, it's Section 51C or Section 61C, as I've said now.</w:t>
      </w:r>
      <w:r>
        <w:rPr>
          <w:color w:val="323130"/>
          <w:sz w:val="4.3mm"/>
          <w:szCs w:val="4.3mm"/>
          <w:rFonts w:ascii="Segoe UI" w:cs="Segoe UI" w:eastAsia="Segoe UI" w:hAnsi="Segoe UI"/>
        </w:rPr>
        <w:br/>
        <w:t xml:space="preserve">There is, to talk about the express power to delegate, we have particular provisions in the Acts Interpretation Act, which helps us here, Section 34 AA. Power to delegate a function allows you to delegate to a named person or to an office or position.</w:t>
      </w:r>
      <w:r>
        <w:rPr>
          <w:color w:val="323130"/>
          <w:sz w:val="4.3mm"/>
          <w:szCs w:val="4.3mm"/>
          <w:rFonts w:ascii="Segoe UI" w:cs="Segoe UI" w:eastAsia="Segoe UI" w:hAnsi="Segoe UI"/>
        </w:rPr>
        <w:br/>
        <w:t xml:space="preserve">So, you will see a, you know, a specific specified delegation, but it can be a person or an office.</w:t>
      </w:r>
      <w:r>
        <w:rPr>
          <w:color w:val="323130"/>
          <w:sz w:val="4.3mm"/>
          <w:szCs w:val="4.3mm"/>
          <w:rFonts w:ascii="Segoe UI" w:cs="Segoe UI" w:eastAsia="Segoe UI" w:hAnsi="Segoe UI"/>
        </w:rPr>
        <w:br/>
        <w:t xml:space="preserve">Section 34 AB, power to delegate does not include a power to delegate that power of delegation. So if I'm the minister, I can delegate someone to make the decisions for me. The person I delegate may not delegate their power. So you can't do the next one on. Section 34 A, if an exercise of power depends on forming an opinion,</w:t>
      </w:r>
      <w:r>
        <w:rPr>
          <w:color w:val="323130"/>
          <w:sz w:val="4.3mm"/>
          <w:szCs w:val="4.3mm"/>
          <w:rFonts w:ascii="Segoe UI" w:cs="Segoe UI" w:eastAsia="Segoe UI" w:hAnsi="Segoe UI"/>
        </w:rPr>
        <w:br/>
        <w:t xml:space="preserve">And that power is delegated, the power is exercised on the basis of the delegates' opinion.</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So when you are the recipient of a delegated power, it is your discretion that you're exercising, not the minister's. The example is the Taxation Administration Act 1953. Here's the wording, the Commissioner of Taxation may, by writing under his hand,</w:t>
      </w:r>
      <w:r>
        <w:rPr>
          <w:color w:val="323130"/>
          <w:sz w:val="4.3mm"/>
          <w:szCs w:val="4.3mm"/>
          <w:rFonts w:ascii="Segoe UI" w:cs="Segoe UI" w:eastAsia="Segoe UI" w:hAnsi="Segoe UI"/>
        </w:rPr>
        <w:br/>
        <w:t xml:space="preserve">delegate to a Deputy Commissioner all or any of his functions under this Act, other than the power to delegate. So that's the kind of statutory interpretation you get. If you've received that delegation power, it's the Deputy Commissioner who's exercising the discretion, not the Minister.</w:t>
      </w:r>
      <w:r>
        <w:rPr>
          <w:color w:val="323130"/>
          <w:sz w:val="4.3mm"/>
          <w:szCs w:val="4.3mm"/>
          <w:rFonts w:ascii="Segoe UI" w:cs="Segoe UI" w:eastAsia="Segoe UI" w:hAnsi="Segoe UI"/>
        </w:rPr>
        <w:br/>
        <w:t xml:space="preserve">Okay. Now, I said that the, so that's an express delegation and we're all clear, you've got an express delegation of who's doing it. There is an implied delegation.</w:t>
      </w:r>
      <w:r>
        <w:rPr>
          <w:color w:val="323130"/>
          <w:sz w:val="4.3mm"/>
          <w:szCs w:val="4.3mm"/>
          <w:rFonts w:ascii="Segoe UI" w:cs="Segoe UI" w:eastAsia="Segoe UI" w:hAnsi="Segoe UI"/>
        </w:rPr>
        <w:br/>
        <w:t xml:space="preserve">The courts may imply into the statute a power to delegate if circumstances dictate need. So this usually turns on the words, structure or subject matter of the statute. Okay, so you've got a piece of legislation in front of you. It does not have an express power to delegate.</w:t>
      </w:r>
      <w:r>
        <w:rPr>
          <w:color w:val="323130"/>
          <w:sz w:val="4.3mm"/>
          <w:szCs w:val="4.3mm"/>
          <w:rFonts w:ascii="Segoe UI" w:cs="Segoe UI" w:eastAsia="Segoe UI" w:hAnsi="Segoe UI"/>
        </w:rPr>
        <w:br/>
        <w:t xml:space="preserve">but you will undertake an exercise of statutory construction to find an implied power of delegation in that legislation.</w:t>
      </w:r>
      <w:r>
        <w:rPr>
          <w:color w:val="323130"/>
          <w:sz w:val="4.3mm"/>
          <w:szCs w:val="4.3mm"/>
          <w:rFonts w:ascii="Segoe UI" w:cs="Segoe UI" w:eastAsia="Segoe UI" w:hAnsi="Segoe UI"/>
        </w:rPr>
        <w:br/>
        <w:t xml:space="preserve">So, an example here is ex parte Forster and the University of Sydney, which is in 1963.</w:t>
      </w:r>
      <w:r>
        <w:rPr>
          <w:color w:val="323130"/>
          <w:sz w:val="4.3mm"/>
          <w:szCs w:val="4.3mm"/>
          <w:rFonts w:ascii="Segoe UI" w:cs="Segoe UI" w:eastAsia="Segoe UI" w:hAnsi="Segoe UI"/>
        </w:rPr>
        <w:br/>
        <w:t xml:space="preserve">case and in particular, it's looking at this general rule. So you're allowed to delegate, but you're not allowed to sub-delegate.</w:t>
      </w:r>
      <w:r>
        <w:rPr>
          <w:color w:val="323130"/>
          <w:sz w:val="4.3mm"/>
          <w:szCs w:val="4.3mm"/>
          <w:rFonts w:ascii="Segoe UI" w:cs="Segoe UI" w:eastAsia="Segoe UI" w:hAnsi="Segoe UI"/>
        </w:rPr>
        <w:br/>
        <w:t xml:space="preserve">And even when it's implied, you're still not allowed to sub-delegate.</w:t>
      </w:r>
      <w:r>
        <w:rPr>
          <w:color w:val="323130"/>
          <w:sz w:val="4.3mm"/>
          <w:szCs w:val="4.3mm"/>
          <w:rFonts w:ascii="Segoe UI" w:cs="Segoe UI" w:eastAsia="Segoe UI" w:hAnsi="Segoe UI"/>
        </w:rPr>
        <w:br/>
        <w:t xml:space="preserve">When you're engaging in this exercise of statutory construction, due regard to the purpose and object of the statute, the character of the power which is conferred, the existence of the occasions which may arise with respect to its exercise, and other relevant considerations.</w:t>
      </w:r>
      <w:r>
        <w:rPr>
          <w:color w:val="323130"/>
          <w:sz w:val="4.3mm"/>
          <w:szCs w:val="4.3mm"/>
          <w:rFonts w:ascii="Segoe UI" w:cs="Segoe UI" w:eastAsia="Segoe UI" w:hAnsi="Segoe UI"/>
        </w:rPr>
        <w:br/>
        <w:t xml:space="preserve">Okay, so that's kind of very general, but you've got to have a close look at the legislation and decide whether or not it contains or ought to contain an implied delegation. In this case, the University Senate, which is, yeah, kind of like the council of the university, authorised</w:t>
      </w:r>
      <w:r>
        <w:rPr>
          <w:color w:val="323130"/>
          <w:sz w:val="4.3mm"/>
          <w:szCs w:val="4.3mm"/>
          <w:rFonts w:ascii="Segoe UI" w:cs="Segoe UI" w:eastAsia="Segoe UI" w:hAnsi="Segoe UI"/>
        </w:rPr>
        <w:br/>
        <w:t xml:space="preserve">faculties to terminate the employment of students who had, sorry, to terminate the enrollment of students who had failed twice and.</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court held that this was fine. The Senate was allowed to delegate the statutory authority to a faculty committee, to the initial delegation being from the legislature to the Senate.</w:t>
      </w:r>
      <w:r>
        <w:rPr>
          <w:color w:val="323130"/>
          <w:sz w:val="4.3mm"/>
          <w:szCs w:val="4.3mm"/>
          <w:rFonts w:ascii="Segoe UI" w:cs="Segoe UI" w:eastAsia="Segoe UI" w:hAnsi="Segoe UI"/>
        </w:rPr>
        <w:br/>
        <w:t xml:space="preserve">So the legislature said that the Senate had the power, they were able to delegate to a faculty. So.</w:t>
      </w:r>
      <w:r>
        <w:rPr>
          <w:color w:val="323130"/>
          <w:sz w:val="4.3mm"/>
          <w:szCs w:val="4.3mm"/>
          <w:rFonts w:ascii="Segoe UI" w:cs="Segoe UI" w:eastAsia="Segoe UI" w:hAnsi="Segoe UI"/>
        </w:rPr>
        <w:br/>
        <w:t xml:space="preserve">You need to be clear about where the power is, where it is in the legislation and where it might arise.</w:t>
      </w:r>
      <w:r>
        <w:rPr>
          <w:color w:val="323130"/>
          <w:sz w:val="4.3mm"/>
          <w:szCs w:val="4.3mm"/>
          <w:rFonts w:ascii="Segoe UI" w:cs="Segoe UI" w:eastAsia="Segoe UI" w:hAnsi="Segoe UI"/>
        </w:rPr>
        <w:br/>
        <w:t xml:space="preserve">Okay, now what happens when there's an improper delegation? So sometimes, for example, sometimes in...</w:t>
      </w:r>
      <w:r>
        <w:rPr>
          <w:color w:val="323130"/>
          <w:sz w:val="4.3mm"/>
          <w:szCs w:val="4.3mm"/>
          <w:rFonts w:ascii="Segoe UI" w:cs="Segoe UI" w:eastAsia="Segoe UI" w:hAnsi="Segoe UI"/>
        </w:rPr>
        <w:br/>
        <w:t xml:space="preserve">In police, so for example, there was a, here's an example of the way this works. In the police force, they had sworn in a whole lot of new police officers, but they'd mucked up their delegations. So the person who, the power to swear in a police officer sits with the commissioner.</w:t>
      </w:r>
      <w:r>
        <w:rPr>
          <w:color w:val="323130"/>
          <w:sz w:val="4.3mm"/>
          <w:szCs w:val="4.3mm"/>
          <w:rFonts w:ascii="Segoe UI" w:cs="Segoe UI" w:eastAsia="Segoe UI" w:hAnsi="Segoe UI"/>
        </w:rPr>
        <w:br/>
        <w:t xml:space="preserve">And you need to have a direct line of delegation from the commissioner to another person. So the power has to sit with another person. This was a couple of years ago. They hadn't got their delegation correct. And so somebody swore in all the police officers who did not have the power. So the court held that the police officers had not been sworn in correctly.</w:t>
      </w:r>
      <w:r>
        <w:rPr>
          <w:color w:val="323130"/>
          <w:sz w:val="4.3mm"/>
          <w:szCs w:val="4.3mm"/>
          <w:rFonts w:ascii="Segoe UI" w:cs="Segoe UI" w:eastAsia="Segoe UI" w:hAnsi="Segoe UI"/>
        </w:rPr>
        <w:br/>
        <w:t xml:space="preserve">therefore that it was unlawful that they could exercise their police powers because they hadn't been sworn in. So they had to do a procedure where they swore in all the police again because it hadn't been lawful the way in which their powers were. So it's very important. You have to get your delegations right. And if you haven't got your delegations right,</w:t>
      </w:r>
      <w:r>
        <w:rPr>
          <w:color w:val="323130"/>
          <w:sz w:val="4.3mm"/>
          <w:szCs w:val="4.3mm"/>
          <w:rFonts w:ascii="Segoe UI" w:cs="Segoe UI" w:eastAsia="Segoe UI" w:hAnsi="Segoe UI"/>
        </w:rPr>
        <w:br/>
        <w:t xml:space="preserve">you haven't got the lawful authority to do the thing. And it does actually come up quite a few times in quite practical circumstances, so it's quite important. Okay. Agency and the alter eager principle. Now,</w:t>
      </w:r>
      <w:r>
        <w:rPr>
          <w:color w:val="323130"/>
          <w:sz w:val="4.3mm"/>
          <w:szCs w:val="4.3mm"/>
          <w:rFonts w:ascii="Segoe UI" w:cs="Segoe UI" w:eastAsia="Segoe UI" w:hAnsi="Segoe UI"/>
        </w:rPr>
        <w:br/>
        <w:t xml:space="preserve">Yeah, but only just, but only just managed to reign it in. Okay, the common law recognises that in certain cases, agents can act in the name of the principal. Okay, now, I've just told you that the power sits with a person and they can delegate.</w:t>
      </w:r>
      <w:r>
        <w:rPr>
          <w:color w:val="323130"/>
          <w:sz w:val="4.3mm"/>
          <w:szCs w:val="4.3mm"/>
          <w:rFonts w:ascii="Segoe UI" w:cs="Segoe UI" w:eastAsia="Segoe UI" w:hAnsi="Segoe UI"/>
        </w:rPr>
        <w:br/>
        <w:t xml:space="preserve">but you can't sub-delegate and you've got to get it right. Then I told you, you might read a statute and imply that there was a delegation of power there, and then you've got the power. The common law, however, says that you can actually have an agent who acts in the name of the principal.</w:t>
      </w:r>
      <w:r>
        <w:rPr>
          <w:color w:val="323130"/>
          <w:sz w:val="4.3mm"/>
          <w:szCs w:val="4.3mm"/>
          <w:rFonts w:ascii="Segoe UI" w:cs="Segoe UI" w:eastAsia="Segoe UI" w:hAnsi="Segoe UI"/>
        </w:rPr>
        <w:br/>
        <w:t xml:space="preserve">So, so this is different again. So when you've got a delegation, remember I said that the exercise of discretion goes with the delegation. If the minister delegates his power.</w:t>
      </w:r>
      <w:r>
        <w:rPr>
          <w:color w:val="323130"/>
          <w:sz w:val="4.3mm"/>
          <w:szCs w:val="4.3mm"/>
          <w:rFonts w:ascii="Segoe UI" w:cs="Segoe UI" w:eastAsia="Segoe UI" w:hAnsi="Segoe UI"/>
        </w:rPr>
        <w:br/>
        <w:t xml:space="preserve">To the Deputy Minister.</w:t>
      </w:r>
      <w:r>
        <w:rPr>
          <w:color w:val="323130"/>
          <w:sz w:val="4.3mm"/>
          <w:szCs w:val="4.3mm"/>
          <w:rFonts w:ascii="Segoe UI" w:cs="Segoe UI" w:eastAsia="Segoe UI" w:hAnsi="Segoe UI"/>
        </w:rPr>
        <w:br/>
        <w:t xml:space="preserve">It's the Deputy Minister's discretion that's being exercised.</w:t>
      </w:r>
      <w:r>
        <w:rPr>
          <w:color w:val="323130"/>
          <w:sz w:val="4.3mm"/>
          <w:szCs w:val="4.3mm"/>
          <w:rFonts w:ascii="Segoe UI" w:cs="Segoe UI" w:eastAsia="Segoe UI" w:hAnsi="Segoe UI"/>
        </w:rPr>
        <w:br/>
        <w:t xml:space="preserve">If we accept, as the common law does, that there might be an agent, that someone is acting as an agent for a minister.</w:t>
      </w:r>
      <w:r>
        <w:rPr>
          <w:color w:val="323130"/>
          <w:sz w:val="4.3mm"/>
          <w:szCs w:val="4.3mm"/>
          <w:rFonts w:ascii="Segoe UI" w:cs="Segoe UI" w:eastAsia="Segoe UI" w:hAnsi="Segoe UI"/>
        </w:rPr>
        <w:br/>
        <w:t xml:space="preserve">Then the agent is actually just like a vehicle for the minister and it's the minister's discretion that's being exercised but being communicated by the agent. All right, so they're quite different questions about whose discretion is being</w:t>
      </w:r>
      <w:r>
        <w:rPr>
          <w:color w:val="323130"/>
          <w:sz w:val="4.3mm"/>
          <w:szCs w:val="4.3mm"/>
          <w:rFonts w:ascii="Segoe UI" w:cs="Segoe UI" w:eastAsia="Segoe UI" w:hAnsi="Segoe UI"/>
        </w:rPr>
        <w:br/>
        <w:t xml:space="preserve">Exercised.</w:t>
      </w:r>
      <w:r>
        <w:rPr>
          <w:color w:val="323130"/>
          <w:sz w:val="4.3mm"/>
          <w:szCs w:val="4.3mm"/>
          <w:rFonts w:ascii="Segoe UI" w:cs="Segoe UI" w:eastAsia="Segoe UI" w:hAnsi="Segoe UI"/>
        </w:rPr>
        <w:br/>
        <w:t xml:space="preserve">Where there's a delegation, the person or the delegate acts in their own name.</w:t>
      </w:r>
      <w:r>
        <w:rPr>
          <w:color w:val="323130"/>
          <w:sz w:val="4.3mm"/>
          <w:szCs w:val="4.3mm"/>
          <w:rFonts w:ascii="Segoe UI" w:cs="Segoe UI" w:eastAsia="Segoe UI" w:hAnsi="Segoe UI"/>
        </w:rPr>
        <w:br/>
        <w:t xml:space="preserve">And for example, yeah, so when you act in your own name and you are, the minister can sign for the minister. If you have the delegated power, you exercise the discretion and you sign your name for yourself.</w:t>
      </w:r>
      <w:r>
        <w:rPr>
          <w:color w:val="323130"/>
          <w:sz w:val="4.3mm"/>
          <w:szCs w:val="4.3mm"/>
          <w:rFonts w:ascii="Segoe UI" w:cs="Segoe UI" w:eastAsia="Segoe UI" w:hAnsi="Segoe UI"/>
        </w:rPr>
        <w:br/>
        <w:t xml:space="preserve">In the agency context.</w:t>
      </w:r>
      <w:r>
        <w:rPr>
          <w:color w:val="323130"/>
          <w:sz w:val="4.3mm"/>
          <w:szCs w:val="4.3mm"/>
          <w:rFonts w:ascii="Segoe UI" w:cs="Segoe UI" w:eastAsia="Segoe UI" w:hAnsi="Segoe UI"/>
        </w:rPr>
        <w:br/>
        <w:t xml:space="preserve">where we talk about an agency or an alter ego principle, the junior person who's acting on behalf of the minister signs their own name but always says on behalf of the minister because it's the minister's discretion that's being exercised. Do you get the distinction between these two things?</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I might say this is a very common exam question. Delegation is a common exam question. We give you a set of facts and you've got to look at.</w:t>
      </w:r>
      <w:r>
        <w:rPr>
          <w:color w:val="323130"/>
          <w:sz w:val="4.3mm"/>
          <w:szCs w:val="4.3mm"/>
          <w:rFonts w:ascii="Segoe UI" w:cs="Segoe UI" w:eastAsia="Segoe UI" w:hAnsi="Segoe UI"/>
        </w:rPr>
        <w:br/>
        <w:t xml:space="preserve">Where the power is, was there a delegation? Was there an implied delegation? Is the person acting as a delegate or is the person acting as an alter ego? And often, you know, the little thing that gives it away is how they've signed their name, but then you need to analyze what</w:t>
      </w:r>
      <w:r>
        <w:rPr>
          <w:color w:val="323130"/>
          <w:sz w:val="4.3mm"/>
          <w:szCs w:val="4.3mm"/>
          <w:rFonts w:ascii="Segoe UI" w:cs="Segoe UI" w:eastAsia="Segoe UI" w:hAnsi="Segoe UI"/>
        </w:rPr>
        <w:br/>
        <w:t xml:space="preserve">you know, was it a lawful exercise of power in this delegated situation? Okay. So the case that we talk about for the agency alter ego principle, remember this is a common law principle, is the Carlo Toner and Commissioner of Works case, which is a 1943 case.</w:t>
      </w:r>
      <w:r>
        <w:rPr>
          <w:color w:val="323130"/>
          <w:sz w:val="4.3mm"/>
          <w:szCs w:val="4.3mm"/>
          <w:rFonts w:ascii="Segoe UI" w:cs="Segoe UI" w:eastAsia="Segoe UI" w:hAnsi="Segoe UI"/>
        </w:rPr>
        <w:br/>
        <w:t xml:space="preserve">and we're actually in wartime UK. There is a war effort on the minister. The Ministry for Works is scooping up factories and properties in the national interest for the</w:t>
      </w:r>
      <w:r>
        <w:rPr>
          <w:color w:val="323130"/>
          <w:sz w:val="4.3mm"/>
          <w:szCs w:val="4.3mm"/>
          <w:rFonts w:ascii="Segoe UI" w:cs="Segoe UI" w:eastAsia="Segoe UI" w:hAnsi="Segoe UI"/>
        </w:rPr>
        <w:br/>
        <w:t xml:space="preserve">for the war effort because it needs storerooms and things to put more stuff in. The Defence General Regulations 1939 says a competent authority, which included the Commissioner of Works and the Planning Commission, could requisition land in the national interest.</w:t>
      </w:r>
      <w:r>
        <w:rPr>
          <w:color w:val="323130"/>
          <w:sz w:val="4.3mm"/>
          <w:szCs w:val="4.3mm"/>
          <w:rFonts w:ascii="Segoe UI" w:cs="Segoe UI" w:eastAsia="Segoe UI" w:hAnsi="Segoe UI"/>
        </w:rPr>
        <w:br/>
        <w:t xml:space="preserve">So they wrote, Caltona was the owner of some big factory by the wharf at the quayside. They sent a letter to them.</w:t>
      </w:r>
      <w:r>
        <w:rPr>
          <w:color w:val="323130"/>
          <w:sz w:val="4.3mm"/>
          <w:szCs w:val="4.3mm"/>
          <w:rFonts w:ascii="Segoe UI" w:cs="Segoe UI" w:eastAsia="Segoe UI" w:hAnsi="Segoe UI"/>
        </w:rPr>
        <w:br/>
        <w:t xml:space="preserve">signed by Mr. Morse on behalf of the Minister. And Mr. Morse was the officer in the Planning Department. And because they were just writing to Carlo Toner and saying, yeah, we're requisitioning your factory, we're taking it over for War Works now. Anyway, Carlo Toner wasn't happy about that. He didn't want his factory to be taken over.</w:t>
      </w:r>
      <w:r>
        <w:rPr>
          <w:color w:val="323130"/>
          <w:sz w:val="4.3mm"/>
          <w:szCs w:val="4.3mm"/>
          <w:rFonts w:ascii="Segoe UI" w:cs="Segoe UI" w:eastAsia="Segoe UI" w:hAnsi="Segoe UI"/>
        </w:rPr>
        <w:br/>
        <w:t xml:space="preserve">And he argued that the decision was ultra vires. He argued the decision was beyond power because Mr. Morse was not a competent authority as was required by the statute, right? So it seems like there hadn't been a proper delegation going on here. The statute required a competent authority and the person whose factory was about to be scooped up in the war effort</w:t>
      </w:r>
      <w:r>
        <w:rPr>
          <w:color w:val="323130"/>
          <w:sz w:val="4.3mm"/>
          <w:szCs w:val="4.3mm"/>
          <w:rFonts w:ascii="Segoe UI" w:cs="Segoe UI" w:eastAsia="Segoe UI" w:hAnsi="Segoe UI"/>
        </w:rPr>
        <w:br/>
        <w:t xml:space="preserve">that was arguing that he wasn't giving up his factory for Mr. Morse. Anyway, it went to the United Kingdom Court of Appeal and the Court of Appeal in their decision introduced this idea of the alter ego principle. And basically, so they say that ministers were in a very special position, were in the middle of the war, they've got constitutional</w:t>
      </w:r>
      <w:r>
        <w:rPr>
          <w:color w:val="323130"/>
          <w:sz w:val="4.3mm"/>
          <w:szCs w:val="4.3mm"/>
          <w:rFonts w:ascii="Segoe UI" w:cs="Segoe UI" w:eastAsia="Segoe UI" w:hAnsi="Segoe UI"/>
        </w:rPr>
        <w:br/>
        <w:t xml:space="preserve">responsibility. They've got a million multifarious and complex tasks, and that by sheer administrative necessity, some of their work had to be done by agents. They can't possibly be in 200 places on one day. And that Parliament</w:t>
      </w:r>
      <w:r>
        <w:rPr>
          <w:color w:val="323130"/>
          <w:sz w:val="4.3mm"/>
          <w:szCs w:val="4.3mm"/>
          <w:rFonts w:ascii="Segoe UI" w:cs="Segoe UI" w:eastAsia="Segoe UI" w:hAnsi="Segoe UI"/>
        </w:rPr>
        <w:br/>
        <w:t xml:space="preserve">must have intended that the power of the minister could be exercised by agents. So that was that was their reasoning.</w:t>
      </w:r>
      <w:r>
        <w:rPr>
          <w:color w:val="323130"/>
          <w:sz w:val="4.3mm"/>
          <w:szCs w:val="4.3mm"/>
          <w:rFonts w:ascii="Segoe UI" w:cs="Segoe UI" w:eastAsia="Segoe UI" w:hAnsi="Segoe UI"/>
        </w:rPr>
        <w:br/>
        <w:t xml:space="preserve">that the minister, so the minister has got all these little agents running around doing the work and people like Mr. Morse are saying, Mr. Morse on behalf of the minister, but it's the minister's decision, the minister's discretion, it's the minister's power that's being exercised. It's just that Mr. Morse or the others.</w:t>
      </w:r>
      <w:r>
        <w:rPr>
          <w:color w:val="323130"/>
          <w:sz w:val="4.3mm"/>
          <w:szCs w:val="4.3mm"/>
          <w:rFonts w:ascii="Segoe UI" w:cs="Segoe UI" w:eastAsia="Segoe UI" w:hAnsi="Segoe UI"/>
        </w:rPr>
        <w:br/>
        <w:t xml:space="preserve">are exercising the power on behalf of the minister. So this kind of idea of the alter eager principle was actually invented by the UK kind of Court of Appeal in the 1940s. Ministerial responsibility to Parliament remains, but the ever-growing complexity and size of modern government</w:t>
      </w:r>
      <w:r>
        <w:rPr>
          <w:color w:val="323130"/>
          <w:sz w:val="4.3mm"/>
          <w:szCs w:val="4.3mm"/>
          <w:rFonts w:ascii="Segoe UI" w:cs="Segoe UI" w:eastAsia="Segoe UI" w:hAnsi="Segoe UI"/>
        </w:rPr>
        <w:br/>
        <w:t xml:space="preserve">makes any other result unworkable. So you can have these little people going around doing the work.</w:t>
      </w:r>
      <w:r>
        <w:rPr>
          <w:color w:val="323130"/>
          <w:sz w:val="4.3mm"/>
          <w:szCs w:val="4.3mm"/>
          <w:rFonts w:ascii="Segoe UI" w:cs="Segoe UI" w:eastAsia="Segoe UI" w:hAnsi="Segoe UI"/>
        </w:rPr>
        <w:br/>
        <w:t xml:space="preserve">Now, how does this translate into more contemporary Australian case law? In the O'Reilly State Bank of Victoria, the Commissioner of Taxation expressly and validly delegated certain functions to the</w:t>
      </w:r>
      <w:r>
        <w:rPr>
          <w:color w:val="323130"/>
          <w:sz w:val="4.3mm"/>
          <w:szCs w:val="4.3mm"/>
          <w:rFonts w:ascii="Segoe UI" w:cs="Segoe UI" w:eastAsia="Segoe UI" w:hAnsi="Segoe UI"/>
        </w:rPr>
        <w:br/>
        <w:t xml:space="preserve">Deputy Commissioner of Taxation. Notices were sent to the Chief Investigative Officer, but not personally signed by the Deputy Commissioner. They just had a facsimile of this signature. These days we do e-signing.</w:t>
      </w:r>
      <w:r>
        <w:rPr>
          <w:color w:val="323130"/>
          <w:sz w:val="4.3mm"/>
          <w:szCs w:val="4.3mm"/>
          <w:rFonts w:ascii="Segoe UI" w:cs="Segoe UI" w:eastAsia="Segoe UI" w:hAnsi="Segoe UI"/>
        </w:rPr>
        <w:br/>
        <w:t xml:space="preserve">The question was whether H was acting under the authorisation of the Deputy Commissioner. Taxpayers argued that the notices were invalid because they breached the rule against sub-delegation. And so they were saying invalid delegation, invalid delegation of power, I'm not...</w:t>
      </w:r>
      <w:r>
        <w:rPr>
          <w:color w:val="323130"/>
          <w:sz w:val="4.3mm"/>
          <w:szCs w:val="4.3mm"/>
          <w:rFonts w:ascii="Segoe UI" w:cs="Segoe UI" w:eastAsia="Segoe UI" w:hAnsi="Segoe UI"/>
        </w:rPr>
        <w:br/>
        <w:t xml:space="preserve">It's not correct to raise this tax with me. The Deputy Commissioner responded that he had he was applying and expecting the Carlo Toner principle, which is that he's got agents doing the work on his behalf. Now, what did the High Court say?</w:t>
      </w:r>
      <w:r>
        <w:rPr>
          <w:color w:val="323130"/>
          <w:sz w:val="4.3mm"/>
          <w:szCs w:val="4.3mm"/>
          <w:rFonts w:ascii="Segoe UI" w:cs="Segoe UI" w:eastAsia="Segoe UI" w:hAnsi="Segoe UI"/>
        </w:rPr>
        <w:br/>
        <w:t xml:space="preserve">The High Court said they discussed this.</w:t>
      </w:r>
      <w:r>
        <w:rPr>
          <w:color w:val="323130"/>
          <w:sz w:val="4.3mm"/>
          <w:szCs w:val="4.3mm"/>
          <w:rFonts w:ascii="Segoe UI" w:cs="Segoe UI" w:eastAsia="Segoe UI" w:hAnsi="Segoe UI"/>
        </w:rPr>
        <w:br/>
        <w:t xml:space="preserve">delegation versus the agency idea as cited in Caltona. And they said that the Caltona principle is equally persuasive to the head of any large government department, such as the Deputy Commissioner of Taxation, who typically oversees a whole branch in any state or territory.</w:t>
      </w:r>
      <w:r>
        <w:rPr>
          <w:color w:val="323130"/>
          <w:sz w:val="4.3mm"/>
          <w:szCs w:val="4.3mm"/>
          <w:rFonts w:ascii="Segoe UI" w:cs="Segoe UI" w:eastAsia="Segoe UI" w:hAnsi="Segoe UI"/>
        </w:rPr>
        <w:br/>
        <w:t xml:space="preserve">Commissioners, like the ministers, are given functions so multifarious that they could not personally attend to them all. Practical administrative necessity may require a decision maker to act via an agent, despite the existence of an express power to delegation. Okay, so there was an express power of delegation. The minister could have made an express delegation.</w:t>
      </w:r>
      <w:r>
        <w:rPr>
          <w:color w:val="323130"/>
          <w:sz w:val="4.3mm"/>
          <w:szCs w:val="4.3mm"/>
          <w:rFonts w:ascii="Segoe UI" w:cs="Segoe UI" w:eastAsia="Segoe UI" w:hAnsi="Segoe UI"/>
        </w:rPr>
        <w:br/>
        <w:t xml:space="preserve">but didn't. And the High Court said, oh, well, that's okay. Administrative necessity means that we'll accept that that person is your agent. And so it was all decided to be a proper exercise of power. Note</w:t>
      </w:r>
      <w:r>
        <w:rPr>
          <w:color w:val="323130"/>
          <w:sz w:val="4.3mm"/>
          <w:szCs w:val="4.3mm"/>
          <w:rFonts w:ascii="Segoe UI" w:cs="Segoe UI" w:eastAsia="Segoe UI" w:hAnsi="Segoe UI"/>
        </w:rPr>
        <w:br/>
        <w:t xml:space="preserve">Justice Mason's dissent, that where you do have an express delegation of power, you should have delegated it properly, because, especially in the case of taxation, there's a significant power of people's rights. But Justice Mason was in the minority, and so the Kal Toner principle</w:t>
      </w:r>
      <w:r>
        <w:rPr>
          <w:color w:val="323130"/>
          <w:sz w:val="4.3mm"/>
          <w:szCs w:val="4.3mm"/>
          <w:rFonts w:ascii="Segoe UI" w:cs="Segoe UI" w:eastAsia="Segoe UI" w:hAnsi="Segoe UI"/>
        </w:rPr>
        <w:br/>
        <w:t xml:space="preserve">is alive and well and exists. Another example is a Northern Land Council and Kaur case, full federal court, which was a delegation of whether it was again delegation versus agency is whether some groups</w:t>
      </w:r>
      <w:r>
        <w:rPr>
          <w:color w:val="323130"/>
          <w:sz w:val="4.3mm"/>
          <w:szCs w:val="4.3mm"/>
          <w:rFonts w:ascii="Segoe UI" w:cs="Segoe UI" w:eastAsia="Segoe UI" w:hAnsi="Segoe UI"/>
        </w:rPr>
        <w:br/>
        <w:t xml:space="preserve">could be delegated to certify Indigenous land agreements. The Native Title Act had power to do necessary and convenient clauses so the regulations could stand. The court carefully examined the purposes and context of the Act following Project Sky Blue.</w:t>
      </w:r>
      <w:r>
        <w:rPr>
          <w:color w:val="323130"/>
          <w:sz w:val="4.3mm"/>
          <w:szCs w:val="4.3mm"/>
          <w:rFonts w:ascii="Segoe UI" w:cs="Segoe UI" w:eastAsia="Segoe UI" w:hAnsi="Segoe UI"/>
        </w:rPr>
        <w:br/>
        <w:t xml:space="preserve">applied the Shannon case and concluded that the section allowed the Northern Lands Council to come to certain mutual arrangements with others, but not to delegate its power unilaterally. So it couldn't outsource its functions, but it could have some arrangements. So it accepted the agency.</w:t>
      </w:r>
      <w:r>
        <w:rPr>
          <w:color w:val="323130"/>
          <w:sz w:val="4.3mm"/>
          <w:szCs w:val="4.3mm"/>
          <w:rFonts w:ascii="Segoe UI" w:cs="Segoe UI" w:eastAsia="Segoe UI" w:hAnsi="Segoe UI"/>
        </w:rPr>
        <w:br/>
        <w:t xml:space="preserve">principle there too.</w:t>
      </w:r>
      <w:r>
        <w:rPr>
          <w:color w:val="323130"/>
          <w:sz w:val="4.3mm"/>
          <w:szCs w:val="4.3mm"/>
          <w:rFonts w:ascii="Segoe UI" w:cs="Segoe UI" w:eastAsia="Segoe UI" w:hAnsi="Segoe UI"/>
        </w:rPr>
        <w:br/>
        <w:t xml:space="preserve">Now, just to finish up, just to be clear, as I said, this is a typical exam question. Have a think about these questions. If someone is a delegate, can they also be an agent? So can you have both?</w:t>
      </w:r>
      <w:r>
        <w:rPr>
          <w:color w:val="323130"/>
          <w:sz w:val="4.3mm"/>
          <w:szCs w:val="4.3mm"/>
          <w:rFonts w:ascii="Segoe UI" w:cs="Segoe UI" w:eastAsia="Segoe UI" w:hAnsi="Segoe UI"/>
        </w:rPr>
        <w:br/>
        <w:t xml:space="preserve">Can A delegate appoint an agent? Interesting. And can an agent appoint an agent? All right, so it can get quite complicated. You've got to think about where's the chain of authority? Does it get broken? Does it change in nature? Does it apply? And I'd encourage you to have a stronger chat about all of these things.</w:t>
      </w:r>
      <w:r>
        <w:rPr>
          <w:color w:val="323130"/>
          <w:sz w:val="4.3mm"/>
          <w:szCs w:val="4.3mm"/>
          <w:rFonts w:ascii="Segoe UI" w:cs="Segoe UI" w:eastAsia="Segoe UI" w:hAnsi="Segoe UI"/>
        </w:rPr>
        <w:br/>
        <w:t xml:space="preserve">In the.</w:t>
      </w:r>
      <w:r>
        <w:rPr>
          <w:color w:val="323130"/>
          <w:sz w:val="4.3mm"/>
          <w:szCs w:val="4.3mm"/>
          <w:rFonts w:ascii="Segoe UI" w:cs="Segoe UI" w:eastAsia="Segoe UI" w:hAnsi="Segoe UI"/>
        </w:rPr>
        <w:br/>
        <w:t xml:space="preserve">in the tutorial where they get when you get there. A delegation, a power to delegate must be expressed or implied in the statute. The delegate acts and signs in their own name. The delegate must exercise their own discretion, and the delegate retains the power. Therefore, you can appeal the decision of a delegate.</w:t>
      </w:r>
      <w:r>
        <w:rPr>
          <w:color w:val="323130"/>
          <w:sz w:val="4.3mm"/>
          <w:szCs w:val="4.3mm"/>
          <w:rFonts w:ascii="Segoe UI" w:cs="Segoe UI" w:eastAsia="Segoe UI" w:hAnsi="Segoe UI"/>
        </w:rPr>
        <w:br/>
        <w:t xml:space="preserve">On the other hand, an agent...</w:t>
      </w:r>
      <w:r>
        <w:rPr>
          <w:color w:val="323130"/>
          <w:sz w:val="4.3mm"/>
          <w:szCs w:val="4.3mm"/>
          <w:rFonts w:ascii="Segoe UI" w:cs="Segoe UI" w:eastAsia="Segoe UI" w:hAnsi="Segoe UI"/>
        </w:rPr>
        <w:br/>
        <w:t xml:space="preserve">You can appoint an agent where there is a practical administrative necessity to do so. The agent acts and signs as the principal. The agent exercises the principal's discretionary power, and the principal's power is spent once the agent</w:t>
      </w:r>
      <w:r>
        <w:rPr>
          <w:color w:val="323130"/>
          <w:sz w:val="4.3mm"/>
          <w:szCs w:val="4.3mm"/>
          <w:rFonts w:ascii="Segoe UI" w:cs="Segoe UI" w:eastAsia="Segoe UI" w:hAnsi="Segoe UI"/>
        </w:rPr>
        <w:br/>
        <w:t xml:space="preserve">exercises it. All right, so it's not an ongoing power with the agent. And as is implied in the delegation, it's the minister's, you can challenge the decision, but it's the minister's decision that you're challenging.</w:t>
      </w:r>
      <w:r>
        <w:rPr>
          <w:color w:val="323130"/>
          <w:sz w:val="4.3mm"/>
          <w:szCs w:val="4.3mm"/>
          <w:rFonts w:ascii="Segoe UI" w:cs="Segoe UI" w:eastAsia="Segoe UI" w:hAnsi="Segoe UI"/>
        </w:rPr>
        <w:br/>
        <w:t xml:space="preserve">Okay, does that make sense? I've already given you the exam hint.</w:t>
      </w:r>
      <w:r>
        <w:rPr>
          <w:color w:val="323130"/>
          <w:sz w:val="4.3mm"/>
          <w:szCs w:val="4.3mm"/>
          <w:rFonts w:ascii="Segoe UI" w:cs="Segoe UI" w:eastAsia="Segoe UI" w:hAnsi="Segoe UI"/>
        </w:rPr>
        <w:br/>
        <w:t xml:space="preserve">Any questions in our last little minute? I didn't have the chat going, so I don't know if you've written any questions. So principal can't remake agents use of their power. I'm not sure I understand your question. You can, you could, you have to do it again. Like the agent will do one task, but that same person can do another task.</w:t>
      </w:r>
      <w:r>
        <w:rPr>
          <w:color w:val="323130"/>
          <w:sz w:val="4.3mm"/>
          <w:szCs w:val="4.3mm"/>
          <w:rFonts w:ascii="Segoe UI" w:cs="Segoe UI" w:eastAsia="Segoe UI" w:hAnsi="Segoe UI"/>
        </w:rPr>
        <w:br/>
        <w:t xml:space="preserve">But each time, it's has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Adrian Reeders   </w:t>
      </w:r>
      <w:r>
        <w:rPr>
          <w:color w:val="a19f9d"/>
          <w:sz w:val="4.3mm"/>
          <w:szCs w:val="4.3mm"/>
          <w:rFonts w:ascii="Segoe UI" w:cs="Segoe UI" w:eastAsia="Segoe UI" w:hAnsi="Segoe UI"/>
        </w:rPr>
        <w:t xml:space="preserve">1:29:57</w:t>
      </w:r>
      <w:r>
        <w:rPr>
          <w:color w:val="323130"/>
          <w:sz w:val="4.3mm"/>
          <w:szCs w:val="4.3mm"/>
          <w:rFonts w:ascii="Segoe UI" w:cs="Segoe UI" w:eastAsia="Segoe UI" w:hAnsi="Segoe UI"/>
        </w:rPr>
        <w:br/>
        <w:t xml:space="preserve">Sorry, I didn't word the question very well, but if the principal...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Penelope June Weller   </w:t>
      </w:r>
      <w:r>
        <w:rPr>
          <w:color w:val="a19f9d"/>
          <w:sz w:val="4.3mm"/>
          <w:szCs w:val="4.3mm"/>
          <w:rFonts w:ascii="Segoe UI" w:cs="Segoe UI" w:eastAsia="Segoe UI" w:hAnsi="Segoe UI"/>
        </w:rPr>
        <w:t xml:space="preserve">1:29:59</w:t>
      </w:r>
      <w:r>
        <w:rPr>
          <w:color w:val="323130"/>
          <w:sz w:val="4.3mm"/>
          <w:szCs w:val="4.3mm"/>
          <w:rFonts w:ascii="Segoe UI" w:cs="Segoe UI" w:eastAsia="Segoe UI" w:hAnsi="Segoe UI"/>
        </w:rPr>
        <w:br/>
        <w:t xml:space="preserve">because they need to know what the minister's instructions are in order to be an agent in that way.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alright, so we've come to 6:00. That means the end of the time. Thank you, everyone, for your...</w:t>
      </w:r>
      <w:r>
        <w:rPr>
          <w:color w:val="323130"/>
          <w:sz w:val="4.3mm"/>
          <w:szCs w:val="4.3mm"/>
          <w:rFonts w:ascii="Segoe UI" w:cs="Segoe UI" w:eastAsia="Segoe UI" w:hAnsi="Segoe UI"/>
        </w:rPr>
        <w:br/>
        <w:t xml:space="preserve">Attention.</w:t>
      </w:r>
      <w:r>
        <w:rPr>
          <w:color w:val="323130"/>
          <w:sz w:val="4.3mm"/>
          <w:szCs w:val="4.3mm"/>
          <w:rFonts w:ascii="Segoe UI" w:cs="Segoe UI" w:eastAsia="Segoe UI" w:hAnsi="Segoe UI"/>
        </w:rPr>
        <w:br/>
        <w:t xml:space="preserve">And have a good week and I'll see you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Benjaman Hughes   </w:t>
      </w:r>
      <w:r>
        <w:rPr>
          <w:color w:val="a19f9d"/>
          <w:sz w:val="4.3mm"/>
          <w:szCs w:val="4.3mm"/>
          <w:rFonts w:ascii="Segoe UI" w:cs="Segoe UI" w:eastAsia="Segoe UI" w:hAnsi="Segoe UI"/>
        </w:rPr>
        <w:t xml:space="preserve">1:30:29</w:t>
      </w:r>
      <w:r>
        <w:rPr>
          <w:color w:val="323130"/>
          <w:sz w:val="4.3mm"/>
          <w:szCs w:val="4.3mm"/>
          <w:rFonts w:ascii="Segoe UI" w:cs="Segoe UI" w:eastAsia="Segoe UI" w:hAnsi="Segoe UI"/>
        </w:rPr>
        <w:br/>
        <w:t xml:space="preserve">Thanks, Feng.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Kristen Beck   </w:t>
      </w:r>
      <w:r>
        <w:rPr>
          <w:color w:val="a19f9d"/>
          <w:sz w:val="4.3mm"/>
          <w:szCs w:val="4.3mm"/>
          <w:rFonts w:ascii="Segoe UI" w:cs="Segoe UI" w:eastAsia="Segoe UI" w:hAnsi="Segoe UI"/>
        </w:rPr>
        <w:t xml:space="preserve">1:30:30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Sophia Anagnostakos   </w:t>
      </w:r>
      <w:r>
        <w:rPr>
          <w:color w:val="a19f9d"/>
          <w:sz w:val="4.3mm"/>
          <w:szCs w:val="4.3mm"/>
          <w:rFonts w:ascii="Segoe UI" w:cs="Segoe UI" w:eastAsia="Segoe UI" w:hAnsi="Segoe UI"/>
        </w:rPr>
        <w:t xml:space="preserve">1:30:32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Penelope June Weller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qtfdnr-48mqzufvievdw.png"/><Relationship Id="rId7" Type="http://schemas.openxmlformats.org/officeDocument/2006/relationships/image" Target="media/b2mrxtsfbsjpattshbvym.png"/><Relationship Id="rId8" Type="http://schemas.openxmlformats.org/officeDocument/2006/relationships/image" Target="media/w6tqx3mzakehrlfsu8glc.png"/><Relationship Id="rId9" Type="http://schemas.openxmlformats.org/officeDocument/2006/relationships/image" Target="media/choanxaymei_ppbkplmft.png"/><Relationship Id="rId10" Type="http://schemas.openxmlformats.org/officeDocument/2006/relationships/image" Target="media/srrrvphnu8y1t7r3uaxnr.png"/><Relationship Id="rId11" Type="http://schemas.openxmlformats.org/officeDocument/2006/relationships/image" Target="media/2sgze0yw_fxlmnrmiezom.png"/><Relationship Id="rId12" Type="http://schemas.openxmlformats.org/officeDocument/2006/relationships/image" Target="media/ptuvfgcgutvyhnsqxn4pp.png"/><Relationship Id="rId13" Type="http://schemas.openxmlformats.org/officeDocument/2006/relationships/image" Target="media/sm2repc3s_bpgqgp_s-w0.png"/><Relationship Id="rId14" Type="http://schemas.openxmlformats.org/officeDocument/2006/relationships/image" Target="media/tpbtd_32po7s-ju_5towo.png"/><Relationship Id="rId15" Type="http://schemas.openxmlformats.org/officeDocument/2006/relationships/image" Target="media/0gxsmd_mr3s5gsd0smek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2026-09-07T08:36:29.403Z</dcterms:created>
  <dcterms:modified xsi:type="dcterms:W3CDTF">2026-09-07T08:36:29.403Z</dcterms:modified>
</cp:coreProperties>
</file>

<file path=docProps/custom.xml><?xml version="1.0" encoding="utf-8"?>
<Properties xmlns="http://schemas.openxmlformats.org/officeDocument/2006/custom-properties" xmlns:vt="http://schemas.openxmlformats.org/officeDocument/2006/docPropsVTypes"/>
</file>