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3015"/>
        <w:gridCol w:w="2364"/>
        <w:gridCol w:w="2356"/>
        <w:gridCol w:w="6825"/>
      </w:tblGrid>
      <w:tr w:rsidR="00193B87" w:rsidRPr="006547EE" w14:paraId="53511FAB" w14:textId="77777777" w:rsidTr="009D44CC">
        <w:trPr>
          <w:trHeight w:val="416"/>
          <w:tblHeader/>
        </w:trPr>
        <w:tc>
          <w:tcPr>
            <w:tcW w:w="3015" w:type="dxa"/>
            <w:shd w:val="clear" w:color="auto" w:fill="C5E0B3" w:themeFill="accent6" w:themeFillTint="66"/>
          </w:tcPr>
          <w:p w14:paraId="53511FA7" w14:textId="77777777" w:rsidR="006547EE" w:rsidRPr="006547EE" w:rsidRDefault="006547EE" w:rsidP="006547EE">
            <w:pPr>
              <w:jc w:val="center"/>
              <w:rPr>
                <w:b/>
              </w:rPr>
            </w:pPr>
            <w:r w:rsidRPr="006547EE">
              <w:rPr>
                <w:b/>
              </w:rPr>
              <w:t>CASE</w:t>
            </w:r>
          </w:p>
        </w:tc>
        <w:tc>
          <w:tcPr>
            <w:tcW w:w="2364" w:type="dxa"/>
            <w:shd w:val="clear" w:color="auto" w:fill="C5E0B3" w:themeFill="accent6" w:themeFillTint="66"/>
          </w:tcPr>
          <w:p w14:paraId="53511FA8" w14:textId="77777777" w:rsidR="006547EE" w:rsidRPr="006547EE" w:rsidRDefault="006547EE" w:rsidP="006547EE">
            <w:pPr>
              <w:jc w:val="center"/>
              <w:rPr>
                <w:b/>
              </w:rPr>
            </w:pPr>
            <w:r w:rsidRPr="006547EE">
              <w:rPr>
                <w:b/>
              </w:rPr>
              <w:t>ISSUE</w:t>
            </w:r>
          </w:p>
        </w:tc>
        <w:tc>
          <w:tcPr>
            <w:tcW w:w="2356" w:type="dxa"/>
            <w:shd w:val="clear" w:color="auto" w:fill="C5E0B3" w:themeFill="accent6" w:themeFillTint="66"/>
          </w:tcPr>
          <w:p w14:paraId="53511FA9" w14:textId="77777777" w:rsidR="006547EE" w:rsidRPr="006547EE" w:rsidRDefault="006547EE" w:rsidP="006547EE">
            <w:pPr>
              <w:jc w:val="center"/>
              <w:rPr>
                <w:b/>
              </w:rPr>
            </w:pPr>
            <w:r w:rsidRPr="006547EE">
              <w:rPr>
                <w:b/>
              </w:rPr>
              <w:t>AD(JR)</w:t>
            </w:r>
          </w:p>
        </w:tc>
        <w:tc>
          <w:tcPr>
            <w:tcW w:w="6825" w:type="dxa"/>
            <w:shd w:val="clear" w:color="auto" w:fill="C5E0B3" w:themeFill="accent6" w:themeFillTint="66"/>
          </w:tcPr>
          <w:p w14:paraId="53511FAA" w14:textId="77777777" w:rsidR="006547EE" w:rsidRPr="006547EE" w:rsidRDefault="006547EE" w:rsidP="006547EE">
            <w:pPr>
              <w:jc w:val="center"/>
              <w:rPr>
                <w:b/>
              </w:rPr>
            </w:pPr>
            <w:r w:rsidRPr="006547EE">
              <w:rPr>
                <w:b/>
              </w:rPr>
              <w:t>DISCUSSION</w:t>
            </w:r>
          </w:p>
        </w:tc>
      </w:tr>
      <w:tr w:rsidR="002954B8" w14:paraId="53511FC5" w14:textId="77777777" w:rsidTr="009D44CC">
        <w:tc>
          <w:tcPr>
            <w:tcW w:w="3015" w:type="dxa"/>
          </w:tcPr>
          <w:p w14:paraId="53511FAC" w14:textId="39A6C88E" w:rsidR="00F87893" w:rsidRDefault="00A45BA6" w:rsidP="00A45BA6">
            <w:pPr>
              <w:rPr>
                <w:noProof/>
                <w:color w:val="0000FF"/>
                <w:sz w:val="21"/>
                <w:szCs w:val="21"/>
                <w:lang w:eastAsia="en-AU"/>
              </w:rPr>
            </w:pPr>
            <w:r>
              <w:rPr>
                <w:b/>
              </w:rPr>
              <w:t>Entick v</w:t>
            </w:r>
            <w:r>
              <w:rPr>
                <w:noProof/>
                <w:color w:val="0000FF"/>
                <w:sz w:val="21"/>
                <w:szCs w:val="21"/>
                <w:lang w:eastAsia="en-AU"/>
              </w:rPr>
              <w:t xml:space="preserve"> </w:t>
            </w:r>
            <w:r>
              <w:rPr>
                <w:b/>
              </w:rPr>
              <w:t>Carrington</w:t>
            </w:r>
            <w:r w:rsidR="00451CE9">
              <w:rPr>
                <w:b/>
              </w:rPr>
              <w:t xml:space="preserve"> </w:t>
            </w:r>
            <w:r w:rsidR="00D57F1B">
              <w:rPr>
                <w:b/>
              </w:rPr>
              <w:t>[1765] EWHC KB J98</w:t>
            </w:r>
            <w:r>
              <w:rPr>
                <w:noProof/>
                <w:color w:val="0000FF"/>
                <w:sz w:val="21"/>
                <w:szCs w:val="21"/>
                <w:lang w:eastAsia="en-AU"/>
              </w:rPr>
              <w:t xml:space="preserve"> </w:t>
            </w:r>
          </w:p>
          <w:p w14:paraId="53511FAD" w14:textId="77777777" w:rsidR="00A45BA6" w:rsidRPr="00A45BA6" w:rsidRDefault="00A45BA6" w:rsidP="00A45BA6">
            <w:pPr>
              <w:rPr>
                <w:b/>
              </w:rPr>
            </w:pPr>
            <w:r>
              <w:rPr>
                <w:b/>
              </w:rPr>
              <w:t xml:space="preserve"> </w:t>
            </w:r>
          </w:p>
        </w:tc>
        <w:tc>
          <w:tcPr>
            <w:tcW w:w="2364" w:type="dxa"/>
          </w:tcPr>
          <w:p w14:paraId="53511FAE" w14:textId="77777777" w:rsidR="00A45BA6" w:rsidRDefault="00A45BA6">
            <w:r>
              <w:t>Principle of legality</w:t>
            </w:r>
          </w:p>
          <w:p w14:paraId="53511FAF" w14:textId="77777777" w:rsidR="00A45BA6" w:rsidRDefault="006213FE">
            <w:r>
              <w:rPr>
                <w:noProof/>
                <w:lang w:eastAsia="en-AU"/>
              </w:rPr>
              <w:drawing>
                <wp:anchor distT="0" distB="0" distL="114300" distR="114300" simplePos="0" relativeHeight="251658240" behindDoc="0" locked="0" layoutInCell="1" allowOverlap="1" wp14:anchorId="53512114" wp14:editId="53512115">
                  <wp:simplePos x="0" y="0"/>
                  <wp:positionH relativeFrom="column">
                    <wp:posOffset>-1563370</wp:posOffset>
                  </wp:positionH>
                  <wp:positionV relativeFrom="paragraph">
                    <wp:posOffset>937260</wp:posOffset>
                  </wp:positionV>
                  <wp:extent cx="2447925" cy="4376283"/>
                  <wp:effectExtent l="0" t="0" r="0" b="5715"/>
                  <wp:wrapNone/>
                  <wp:docPr id="2" name="Picture 2" descr="https://upload.wikimedia.org/wikipedia/en/d/da/John_Ent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en/d/da/John_Entick.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7925" cy="4376283"/>
                          </a:xfrm>
                          <a:prstGeom prst="rect">
                            <a:avLst/>
                          </a:prstGeom>
                          <a:noFill/>
                          <a:ln>
                            <a:noFill/>
                          </a:ln>
                        </pic:spPr>
                      </pic:pic>
                    </a:graphicData>
                  </a:graphic>
                  <wp14:sizeRelH relativeFrom="page">
                    <wp14:pctWidth>0</wp14:pctWidth>
                  </wp14:sizeRelH>
                  <wp14:sizeRelV relativeFrom="page">
                    <wp14:pctHeight>0</wp14:pctHeight>
                  </wp14:sizeRelV>
                </wp:anchor>
              </w:drawing>
            </w:r>
            <w:r w:rsidR="00A45BA6">
              <w:t>that requires legal authority for any action it undertakes.</w:t>
            </w:r>
          </w:p>
        </w:tc>
        <w:tc>
          <w:tcPr>
            <w:tcW w:w="2356" w:type="dxa"/>
          </w:tcPr>
          <w:p w14:paraId="53511FB0" w14:textId="77777777" w:rsidR="00A45BA6" w:rsidRDefault="00A45BA6">
            <w:r>
              <w:t>Not relevant here (English Case)</w:t>
            </w:r>
            <w:r w:rsidR="00E41B23">
              <w:t>.</w:t>
            </w:r>
          </w:p>
          <w:p w14:paraId="53511FB1" w14:textId="77777777" w:rsidR="00E41B23" w:rsidRDefault="00E41B23"/>
          <w:p w14:paraId="53511FB2" w14:textId="77777777" w:rsidR="00E41B23" w:rsidRDefault="00E41B23">
            <w:r>
              <w:t>Common law issue of Ultra Vires there was no right under statute or precedent to issue a warrant.</w:t>
            </w:r>
          </w:p>
        </w:tc>
        <w:tc>
          <w:tcPr>
            <w:tcW w:w="6825" w:type="dxa"/>
          </w:tcPr>
          <w:p w14:paraId="53511FB3" w14:textId="77777777" w:rsidR="00C5359B" w:rsidRPr="00C5359B" w:rsidRDefault="00F87893" w:rsidP="00F87893">
            <w:r w:rsidRPr="00C5359B">
              <w:t xml:space="preserve">On 11 November 1762, the King's Messengers broke into the home of the </w:t>
            </w:r>
            <w:hyperlink r:id="rId8" w:tooltip="Grub Street" w:history="1">
              <w:r w:rsidRPr="00C5359B">
                <w:t>Grub Street</w:t>
              </w:r>
            </w:hyperlink>
            <w:r w:rsidRPr="00C5359B">
              <w:t xml:space="preserve"> writer, </w:t>
            </w:r>
            <w:hyperlink r:id="rId9" w:tooltip="John Entick" w:history="1">
              <w:r w:rsidRPr="00C5359B">
                <w:t>John Entick</w:t>
              </w:r>
            </w:hyperlink>
            <w:r w:rsidRPr="00C5359B">
              <w:t xml:space="preserve"> (1703?-1773) in the </w:t>
            </w:r>
            <w:hyperlink r:id="rId10" w:tooltip="Parish" w:history="1">
              <w:r w:rsidRPr="00C5359B">
                <w:t>parish</w:t>
              </w:r>
            </w:hyperlink>
            <w:r w:rsidRPr="00C5359B">
              <w:t xml:space="preserve"> of </w:t>
            </w:r>
            <w:hyperlink r:id="rId11" w:tooltip="St Dunstan's, Stepney" w:history="1">
              <w:r w:rsidRPr="00C5359B">
                <w:t>St Dunstan, Stepney</w:t>
              </w:r>
            </w:hyperlink>
            <w:r w:rsidRPr="00C5359B">
              <w:t xml:space="preserve"> "</w:t>
            </w:r>
            <w:r w:rsidRPr="00C5359B">
              <w:rPr>
                <w:i/>
              </w:rPr>
              <w:t>with force and arms</w:t>
            </w:r>
            <w:r w:rsidRPr="00C5359B">
              <w:t xml:space="preserve">". Over the course of four hours, they broke open locks and doors and searched all of the rooms before taking away 100 charts and 100 pamphlets, causing £2,000 of damage. </w:t>
            </w:r>
          </w:p>
          <w:p w14:paraId="53511FB4" w14:textId="77777777" w:rsidR="00C5359B" w:rsidRPr="00C5359B" w:rsidRDefault="00C5359B" w:rsidP="00F87893"/>
          <w:p w14:paraId="53511FB5" w14:textId="77777777" w:rsidR="00F87893" w:rsidRPr="00C5359B" w:rsidRDefault="00F87893" w:rsidP="00F87893">
            <w:r w:rsidRPr="00C5359B">
              <w:t xml:space="preserve">The King's messengers were acting on the orders of </w:t>
            </w:r>
            <w:hyperlink r:id="rId12" w:tooltip="George Montague-Dunk, 2nd Earl of Halifax" w:history="1">
              <w:r w:rsidRPr="00C5359B">
                <w:t>Lord Halifax</w:t>
              </w:r>
            </w:hyperlink>
            <w:r w:rsidRPr="00C5359B">
              <w:t xml:space="preserve">, newly appointed </w:t>
            </w:r>
            <w:hyperlink r:id="rId13" w:tooltip="Secretary of State for the Northern Department" w:history="1">
              <w:r w:rsidRPr="00C5359B">
                <w:t>Secretary of State for the Northern Department</w:t>
              </w:r>
            </w:hyperlink>
            <w:r w:rsidRPr="00C5359B">
              <w:t>, "</w:t>
            </w:r>
            <w:r w:rsidRPr="00C5359B">
              <w:rPr>
                <w:i/>
              </w:rPr>
              <w:t>to make strict and diligent search for . . . the author, or one concerned in the writing of several weekly very seditious papers intitled, The Monitor, or British Freeholder</w:t>
            </w:r>
            <w:r w:rsidRPr="00C5359B">
              <w:t>".</w:t>
            </w:r>
          </w:p>
          <w:p w14:paraId="53511FB6" w14:textId="77777777" w:rsidR="00F87893" w:rsidRPr="00C5359B" w:rsidRDefault="00F87893" w:rsidP="00F87893">
            <w:r w:rsidRPr="00C5359B">
              <w:t xml:space="preserve">Entick sued the messengers for </w:t>
            </w:r>
            <w:hyperlink r:id="rId14" w:tooltip="Trespass" w:history="1">
              <w:r w:rsidRPr="00C5359B">
                <w:t>trespassing</w:t>
              </w:r>
            </w:hyperlink>
            <w:r w:rsidRPr="00C5359B">
              <w:t xml:space="preserve"> on his land.</w:t>
            </w:r>
          </w:p>
          <w:p w14:paraId="53511FB7" w14:textId="77777777" w:rsidR="00A45BA6" w:rsidRPr="00C5359B" w:rsidRDefault="00A45BA6"/>
          <w:p w14:paraId="53511FB8" w14:textId="77777777" w:rsidR="00F87893" w:rsidRPr="00C5359B" w:rsidRDefault="00F87893">
            <w:r w:rsidRPr="00C5359B">
              <w:t xml:space="preserve">The trial took place in </w:t>
            </w:r>
            <w:hyperlink r:id="rId15" w:tooltip="Westminster Hall" w:history="1">
              <w:r w:rsidRPr="00C5359B">
                <w:t>Westminster Hall</w:t>
              </w:r>
            </w:hyperlink>
            <w:r w:rsidRPr="00C5359B">
              <w:t xml:space="preserve"> presided over by Lord Camden, the </w:t>
            </w:r>
            <w:hyperlink r:id="rId16" w:tooltip="Chief Justice of the Common Pleas" w:history="1">
              <w:r w:rsidRPr="00C5359B">
                <w:t>Chief Justice of the Common Pleas</w:t>
              </w:r>
            </w:hyperlink>
            <w:r w:rsidRPr="00C5359B">
              <w:t xml:space="preserve">. The messengers claimed that they acted on Halifax's </w:t>
            </w:r>
            <w:hyperlink r:id="rId17" w:tooltip="Warrant (legal)" w:history="1">
              <w:r w:rsidRPr="00C5359B">
                <w:t>warrant</w:t>
              </w:r>
            </w:hyperlink>
            <w:r w:rsidRPr="00C5359B">
              <w:t xml:space="preserve">, which gave them legal authority to search Entick's home; they therefore could not be liable for the </w:t>
            </w:r>
            <w:hyperlink r:id="rId18" w:tooltip="Tort" w:history="1">
              <w:r w:rsidRPr="00C5359B">
                <w:t>tort</w:t>
              </w:r>
            </w:hyperlink>
            <w:r w:rsidRPr="00C5359B">
              <w:t xml:space="preserve">. </w:t>
            </w:r>
          </w:p>
          <w:p w14:paraId="53511FB9" w14:textId="77777777" w:rsidR="00F87893" w:rsidRPr="00C5359B" w:rsidRDefault="00F87893"/>
          <w:p w14:paraId="53511FBA" w14:textId="77777777" w:rsidR="00F87893" w:rsidRPr="00C5359B" w:rsidRDefault="00F87893" w:rsidP="00C5359B">
            <w:r w:rsidRPr="00C5359B">
              <w:t xml:space="preserve">However, Camden held that Halifax had no right under </w:t>
            </w:r>
            <w:hyperlink r:id="rId19" w:tooltip="Statute" w:history="1">
              <w:r w:rsidRPr="00C5359B">
                <w:t>statute</w:t>
              </w:r>
            </w:hyperlink>
            <w:r w:rsidRPr="00C5359B">
              <w:t xml:space="preserve"> or under </w:t>
            </w:r>
            <w:hyperlink r:id="rId20" w:tooltip="Precedent" w:history="1">
              <w:r w:rsidRPr="00C5359B">
                <w:t>precedent</w:t>
              </w:r>
            </w:hyperlink>
            <w:r w:rsidRPr="00C5359B">
              <w:t xml:space="preserve"> to issue such a warrant and therefore found in Entick's favour</w:t>
            </w:r>
            <w:r w:rsidR="00C5359B" w:rsidRPr="00C5359B">
              <w:t>.</w:t>
            </w:r>
          </w:p>
          <w:p w14:paraId="53511FBB" w14:textId="77777777" w:rsidR="00C5359B" w:rsidRPr="00F87893" w:rsidRDefault="00C5359B" w:rsidP="00C5359B">
            <w:pPr>
              <w:rPr>
                <w:sz w:val="18"/>
                <w:szCs w:val="18"/>
              </w:rPr>
            </w:pPr>
          </w:p>
          <w:p w14:paraId="53511FBC" w14:textId="77777777" w:rsidR="00F87893" w:rsidRDefault="00F87893">
            <w:pPr>
              <w:rPr>
                <w:lang w:val="en"/>
              </w:rPr>
            </w:pPr>
            <w:r>
              <w:rPr>
                <w:lang w:val="en"/>
              </w:rPr>
              <w:t>Lord Camden ruled, as later became viewed as a general principle, that the state may do nothing but that which is expressly authorised by law, while the individual may do anything but that which is forbidden by law.</w:t>
            </w:r>
          </w:p>
          <w:p w14:paraId="53511FBD" w14:textId="77777777" w:rsidR="00F87893" w:rsidRDefault="00F87893"/>
          <w:p w14:paraId="53511FBE" w14:textId="77777777" w:rsidR="00A45BA6" w:rsidRDefault="00A45BA6">
            <w:r>
              <w:t xml:space="preserve">This is one of the first cases to establish that government action which intrudes </w:t>
            </w:r>
            <w:r w:rsidR="00F87893">
              <w:t>on individuals existing rights will be unlawful unless there is legal authority to support the action.</w:t>
            </w:r>
          </w:p>
          <w:p w14:paraId="53511FBF" w14:textId="77777777" w:rsidR="00C5359B" w:rsidRDefault="00C5359B"/>
          <w:p w14:paraId="53511FC0" w14:textId="77777777" w:rsidR="00C5359B" w:rsidRDefault="00C5359B"/>
          <w:p w14:paraId="53511FC1" w14:textId="77777777" w:rsidR="00C5359B" w:rsidRDefault="00C5359B"/>
          <w:p w14:paraId="53511FC2" w14:textId="77777777" w:rsidR="00C5359B" w:rsidRDefault="00C5359B"/>
          <w:p w14:paraId="53511FC3" w14:textId="77777777" w:rsidR="00C5359B" w:rsidRDefault="00C5359B"/>
          <w:p w14:paraId="53511FC4" w14:textId="77777777" w:rsidR="00C5359B" w:rsidRPr="00A45BA6" w:rsidRDefault="00C5359B"/>
        </w:tc>
      </w:tr>
      <w:tr w:rsidR="002954B8" w14:paraId="53511FDF" w14:textId="77777777" w:rsidTr="009D44CC">
        <w:tc>
          <w:tcPr>
            <w:tcW w:w="3015" w:type="dxa"/>
          </w:tcPr>
          <w:p w14:paraId="53511FC6" w14:textId="00A5EE00" w:rsidR="006547EE" w:rsidRDefault="00027F7C">
            <w:pPr>
              <w:rPr>
                <w:b/>
              </w:rPr>
            </w:pPr>
            <w:r w:rsidRPr="00A45BA6">
              <w:rPr>
                <w:b/>
              </w:rPr>
              <w:lastRenderedPageBreak/>
              <w:t xml:space="preserve">A v Hayden </w:t>
            </w:r>
            <w:r w:rsidR="003E4E2E">
              <w:rPr>
                <w:b/>
              </w:rPr>
              <w:t>[</w:t>
            </w:r>
            <w:r w:rsidR="004775F7">
              <w:rPr>
                <w:b/>
              </w:rPr>
              <w:t>19</w:t>
            </w:r>
            <w:r w:rsidR="003E4E2E">
              <w:rPr>
                <w:b/>
              </w:rPr>
              <w:t>84] HC 67</w:t>
            </w:r>
          </w:p>
          <w:p w14:paraId="53511FC7" w14:textId="77777777" w:rsidR="00C5359B" w:rsidRPr="00A45BA6" w:rsidRDefault="00C5359B">
            <w:pPr>
              <w:rPr>
                <w:b/>
              </w:rPr>
            </w:pPr>
          </w:p>
        </w:tc>
        <w:tc>
          <w:tcPr>
            <w:tcW w:w="2364" w:type="dxa"/>
          </w:tcPr>
          <w:p w14:paraId="53511FC8" w14:textId="77777777" w:rsidR="00A45BA6" w:rsidRDefault="006213FE">
            <w:r>
              <w:rPr>
                <w:rFonts w:ascii="Arial" w:hAnsi="Arial" w:cs="Arial"/>
                <w:noProof/>
                <w:color w:val="001BA0"/>
                <w:sz w:val="20"/>
                <w:szCs w:val="20"/>
                <w:lang w:eastAsia="en-AU"/>
              </w:rPr>
              <w:drawing>
                <wp:anchor distT="0" distB="0" distL="114300" distR="114300" simplePos="0" relativeHeight="251659264" behindDoc="0" locked="0" layoutInCell="1" allowOverlap="1" wp14:anchorId="53512116" wp14:editId="53512117">
                  <wp:simplePos x="0" y="0"/>
                  <wp:positionH relativeFrom="column">
                    <wp:posOffset>-1525270</wp:posOffset>
                  </wp:positionH>
                  <wp:positionV relativeFrom="paragraph">
                    <wp:posOffset>1298575</wp:posOffset>
                  </wp:positionV>
                  <wp:extent cx="2547049" cy="3705225"/>
                  <wp:effectExtent l="0" t="0" r="5715" b="0"/>
                  <wp:wrapNone/>
                  <wp:docPr id="3" name="Picture 3" descr="https://tse1.mm.bing.net/th?&amp;id=OIP.Me2e088a6d8b4eac169194d757c9c8063o1&amp;w=145&amp;h=211&amp;c=0&amp;pid=1.9&amp;rs=0&amp;p=0&amp;r=0">
                    <a:hlinkClick xmlns:a="http://schemas.openxmlformats.org/drawingml/2006/main" r:id="rId21" tooltip="&quot;View image detail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1.mm.bing.net/th?&amp;id=OIP.Me2e088a6d8b4eac169194d757c9c8063o1&amp;w=145&amp;h=211&amp;c=0&amp;pid=1.9&amp;rs=0&amp;p=0&amp;r=0">
                            <a:hlinkClick r:id="rId21" tooltip="&quot;View image details&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47049" cy="3705225"/>
                          </a:xfrm>
                          <a:prstGeom prst="rect">
                            <a:avLst/>
                          </a:prstGeom>
                          <a:noFill/>
                          <a:ln>
                            <a:noFill/>
                          </a:ln>
                        </pic:spPr>
                      </pic:pic>
                    </a:graphicData>
                  </a:graphic>
                  <wp14:sizeRelH relativeFrom="page">
                    <wp14:pctWidth>0</wp14:pctWidth>
                  </wp14:sizeRelH>
                  <wp14:sizeRelV relativeFrom="page">
                    <wp14:pctHeight>0</wp14:pctHeight>
                  </wp14:sizeRelV>
                </wp:anchor>
              </w:drawing>
            </w:r>
            <w:r w:rsidR="00A45BA6">
              <w:t>Principle of legality that requires legal authority for any action it undertakes.</w:t>
            </w:r>
          </w:p>
        </w:tc>
        <w:tc>
          <w:tcPr>
            <w:tcW w:w="2356" w:type="dxa"/>
          </w:tcPr>
          <w:p w14:paraId="53511FC9" w14:textId="77777777" w:rsidR="00E41B23" w:rsidRDefault="00A45BA6" w:rsidP="00E41B23">
            <w:r>
              <w:t xml:space="preserve">Not strictly an AD(JR) Act matter, but based essentially on acting beyond the scope </w:t>
            </w:r>
          </w:p>
          <w:p w14:paraId="53511FCA" w14:textId="77777777" w:rsidR="00C5359B" w:rsidRDefault="00312835">
            <w:r>
              <w:t>prerogative.</w:t>
            </w:r>
          </w:p>
        </w:tc>
        <w:tc>
          <w:tcPr>
            <w:tcW w:w="6825" w:type="dxa"/>
          </w:tcPr>
          <w:p w14:paraId="53511FCB" w14:textId="77777777" w:rsidR="00027F7C" w:rsidRDefault="00027F7C">
            <w:r>
              <w:t xml:space="preserve">The plaintiffs :  -4 Australian Secret Intelligence </w:t>
            </w:r>
            <w:r w:rsidR="00C5359B">
              <w:t>S</w:t>
            </w:r>
            <w:r>
              <w:t>ervice Officers (ASIS)</w:t>
            </w:r>
          </w:p>
          <w:p w14:paraId="53511FCC" w14:textId="77777777" w:rsidR="00027F7C" w:rsidRDefault="00027F7C">
            <w:r>
              <w:tab/>
            </w:r>
            <w:r>
              <w:tab/>
              <w:t xml:space="preserve">6 Civilians under part time employment </w:t>
            </w:r>
            <w:r w:rsidR="00C5359B">
              <w:tab/>
            </w:r>
            <w:r>
              <w:t>with ASIS</w:t>
            </w:r>
          </w:p>
          <w:p w14:paraId="53511FCD" w14:textId="77777777" w:rsidR="00027F7C" w:rsidRDefault="00027F7C">
            <w:r>
              <w:tab/>
            </w:r>
            <w:r>
              <w:tab/>
              <w:t>1 Army Rep</w:t>
            </w:r>
          </w:p>
          <w:p w14:paraId="53511FCE" w14:textId="77777777" w:rsidR="00027F7C" w:rsidRDefault="00027F7C"/>
          <w:p w14:paraId="53511FCF" w14:textId="77777777" w:rsidR="00027F7C" w:rsidRDefault="00027F7C">
            <w:r>
              <w:t>The Defendant:</w:t>
            </w:r>
            <w:r>
              <w:tab/>
              <w:t>Commonwealth</w:t>
            </w:r>
          </w:p>
          <w:p w14:paraId="53511FD0" w14:textId="77777777" w:rsidR="00027F7C" w:rsidRDefault="00027F7C"/>
          <w:p w14:paraId="53511FD1" w14:textId="77777777" w:rsidR="00027F7C" w:rsidRDefault="00027F7C">
            <w:r>
              <w:t>The Plaintiffs participated in a security training exercise at the Sheraton Hotel in Melbourne which involved freeing a hostage from a hotel room using masks and carrying weapons.</w:t>
            </w:r>
          </w:p>
          <w:p w14:paraId="53511FD2" w14:textId="77777777" w:rsidR="00027F7C" w:rsidRDefault="00027F7C"/>
          <w:p w14:paraId="53511FD3" w14:textId="77777777" w:rsidR="00027F7C" w:rsidRDefault="00027F7C">
            <w:r>
              <w:t>The Victorian Government though this was a criminal activity and wanted the names of the participants from the Commonwealth Government in order to investigate the crimes and consider prosecution.</w:t>
            </w:r>
          </w:p>
          <w:p w14:paraId="53511FD4" w14:textId="77777777" w:rsidR="00027F7C" w:rsidRDefault="00027F7C"/>
          <w:p w14:paraId="53511FD5" w14:textId="77777777" w:rsidR="00027F7C" w:rsidRDefault="00027F7C">
            <w:r>
              <w:t xml:space="preserve">The Plaintiffs </w:t>
            </w:r>
            <w:r w:rsidR="00C5359B">
              <w:t xml:space="preserve">sought an injunction to prevent </w:t>
            </w:r>
            <w:r>
              <w:t>the release of their names on the grounds of:</w:t>
            </w:r>
          </w:p>
          <w:p w14:paraId="53511FD6" w14:textId="77777777" w:rsidR="00027F7C" w:rsidRDefault="00027F7C" w:rsidP="00027F7C">
            <w:pPr>
              <w:pStyle w:val="ListParagraph"/>
              <w:numPr>
                <w:ilvl w:val="0"/>
                <w:numId w:val="1"/>
              </w:numPr>
            </w:pPr>
            <w:r>
              <w:t>contract of employment confidentiality</w:t>
            </w:r>
          </w:p>
          <w:p w14:paraId="53511FD7" w14:textId="77777777" w:rsidR="00027F7C" w:rsidRDefault="00027F7C" w:rsidP="00027F7C">
            <w:pPr>
              <w:pStyle w:val="ListParagraph"/>
              <w:numPr>
                <w:ilvl w:val="0"/>
                <w:numId w:val="1"/>
              </w:numPr>
            </w:pPr>
            <w:r>
              <w:t>the training had ministerial approval</w:t>
            </w:r>
          </w:p>
          <w:p w14:paraId="53511FD8" w14:textId="77777777" w:rsidR="00027F7C" w:rsidRDefault="00027F7C" w:rsidP="00027F7C">
            <w:pPr>
              <w:pStyle w:val="ListParagraph"/>
              <w:numPr>
                <w:ilvl w:val="0"/>
                <w:numId w:val="1"/>
              </w:numPr>
            </w:pPr>
            <w:r>
              <w:t>carried out with ASIS instruction</w:t>
            </w:r>
          </w:p>
          <w:p w14:paraId="53511FD9" w14:textId="77777777" w:rsidR="00027F7C" w:rsidRDefault="00027F7C" w:rsidP="00027F7C">
            <w:pPr>
              <w:pStyle w:val="ListParagraph"/>
              <w:numPr>
                <w:ilvl w:val="0"/>
                <w:numId w:val="1"/>
              </w:numPr>
            </w:pPr>
            <w:r>
              <w:t>participants given “training cards” saying it was a commonwealth exercise.</w:t>
            </w:r>
          </w:p>
          <w:p w14:paraId="53511FDA" w14:textId="77777777" w:rsidR="00A45BA6" w:rsidRDefault="00A45BA6" w:rsidP="00027F7C"/>
          <w:p w14:paraId="53511FDB" w14:textId="77777777" w:rsidR="00F87893" w:rsidRDefault="00F87893" w:rsidP="00027F7C">
            <w:r w:rsidRPr="00F87893">
              <w:rPr>
                <w:b/>
              </w:rPr>
              <w:t>HELD</w:t>
            </w:r>
            <w:r>
              <w:t>:  Case held that the governments, even in their pursuit of national security objectives, do not inherently possess power to authorise their officials to act in defiance of the criminal law</w:t>
            </w:r>
            <w:r w:rsidR="00C5359B">
              <w:t>.</w:t>
            </w:r>
          </w:p>
          <w:p w14:paraId="53511FDC" w14:textId="77777777" w:rsidR="00C5359B" w:rsidRDefault="00C5359B" w:rsidP="00027F7C"/>
          <w:p w14:paraId="53511FDD" w14:textId="77777777" w:rsidR="00C5359B" w:rsidRDefault="00C5359B" w:rsidP="00C5359B">
            <w:r>
              <w:t xml:space="preserve">The executive power of the commonwealth must be exercised in accordance with the constitution and the laws of the commonwealth.  The GG, the Federal Executive Council and every officer of the commonwealth are bound to observe the laws of the land.  Constitutional writs are available to restrain apprehended violations and to remedy past violations.  No agency of the Executive Government is beyond the rule of law. </w:t>
            </w:r>
          </w:p>
          <w:p w14:paraId="53511FDE" w14:textId="77777777" w:rsidR="00A45BA6" w:rsidRDefault="00A45BA6" w:rsidP="00C5359B"/>
        </w:tc>
      </w:tr>
      <w:tr w:rsidR="002954B8" w14:paraId="53511FF4" w14:textId="77777777" w:rsidTr="009D44CC">
        <w:tc>
          <w:tcPr>
            <w:tcW w:w="3015" w:type="dxa"/>
          </w:tcPr>
          <w:p w14:paraId="53511FE0" w14:textId="730B5DF1" w:rsidR="006547EE" w:rsidRDefault="00F87893">
            <w:pPr>
              <w:rPr>
                <w:b/>
              </w:rPr>
            </w:pPr>
            <w:r w:rsidRPr="00F87893">
              <w:rPr>
                <w:b/>
              </w:rPr>
              <w:lastRenderedPageBreak/>
              <w:t>Church of Scientology Inc v Woodward</w:t>
            </w:r>
            <w:r w:rsidR="003E4E2E">
              <w:rPr>
                <w:b/>
              </w:rPr>
              <w:t xml:space="preserve"> </w:t>
            </w:r>
            <w:r w:rsidR="00D717D2">
              <w:rPr>
                <w:b/>
              </w:rPr>
              <w:t>(1982) 43 ALR 587</w:t>
            </w:r>
          </w:p>
          <w:p w14:paraId="53511FE1" w14:textId="77777777" w:rsidR="00E43DDC" w:rsidRPr="00F87893" w:rsidRDefault="00E43DDC">
            <w:pPr>
              <w:rPr>
                <w:b/>
              </w:rPr>
            </w:pPr>
          </w:p>
        </w:tc>
        <w:tc>
          <w:tcPr>
            <w:tcW w:w="2364" w:type="dxa"/>
          </w:tcPr>
          <w:p w14:paraId="53511FE2" w14:textId="77777777" w:rsidR="00E43DDC" w:rsidRDefault="00E43DDC">
            <w:r>
              <w:t xml:space="preserve">ASIO was conducting an investigation into the church. </w:t>
            </w:r>
          </w:p>
          <w:p w14:paraId="53511FE3" w14:textId="77777777" w:rsidR="00E43DDC" w:rsidRDefault="00E43DDC"/>
          <w:p w14:paraId="53511FE4" w14:textId="77777777" w:rsidR="00E43DDC" w:rsidRDefault="00E43DDC">
            <w:r>
              <w:t xml:space="preserve">Church contended that ASIO acting beyond the scope of its powers. </w:t>
            </w:r>
          </w:p>
          <w:p w14:paraId="53511FE5" w14:textId="77777777" w:rsidR="00E43DDC" w:rsidRDefault="00E43DDC"/>
          <w:p w14:paraId="53511FE6" w14:textId="77777777" w:rsidR="00E43DDC" w:rsidRDefault="00E43DDC">
            <w:r>
              <w:t>Can the doctrine of Ultra Vires apply to the activities of ASIO where the activities of ASIO exceed its statutory functions.</w:t>
            </w:r>
          </w:p>
          <w:p w14:paraId="53511FE7" w14:textId="77777777" w:rsidR="00E43DDC" w:rsidRDefault="00E43DDC"/>
          <w:p w14:paraId="53511FE8" w14:textId="77777777" w:rsidR="00E43DDC" w:rsidRDefault="00E43DDC">
            <w:r>
              <w:t>S. 17 of the Australian Security Intelligence Organisation Act 1979 (Cth) provided that ASIO’s functions were “to obtain, correlate and evaluate intelligence RELEVANT TO SECURITY”…”IN RESPCT OF MATTERS RELATING TO SECURITY”.</w:t>
            </w:r>
          </w:p>
          <w:p w14:paraId="53511FE9" w14:textId="77777777" w:rsidR="00F730D0" w:rsidRDefault="00F730D0"/>
          <w:p w14:paraId="53511FEA" w14:textId="77777777" w:rsidR="00F730D0" w:rsidRDefault="00F730D0"/>
          <w:p w14:paraId="53511FEB" w14:textId="77777777" w:rsidR="00F730D0" w:rsidRDefault="00F730D0"/>
          <w:p w14:paraId="53511FEC" w14:textId="77777777" w:rsidR="00F730D0" w:rsidRDefault="00F730D0"/>
          <w:p w14:paraId="53511FED" w14:textId="77777777" w:rsidR="00F730D0" w:rsidRDefault="00F730D0"/>
          <w:p w14:paraId="53511FEE" w14:textId="77777777" w:rsidR="00F730D0" w:rsidRDefault="00F730D0"/>
          <w:p w14:paraId="53511FEF" w14:textId="77777777" w:rsidR="00F730D0" w:rsidRDefault="00F730D0"/>
        </w:tc>
        <w:tc>
          <w:tcPr>
            <w:tcW w:w="2356" w:type="dxa"/>
          </w:tcPr>
          <w:p w14:paraId="53511FF0" w14:textId="77777777" w:rsidR="006547EE" w:rsidRDefault="00E43DDC" w:rsidP="00E43DDC">
            <w:r>
              <w:t xml:space="preserve">Not an AD(JR) matter </w:t>
            </w:r>
            <w:r w:rsidR="00E41B23">
              <w:t>but a common law matter on whether certain actions of parties are available for review on the ground that the actions were not permitted by the statute.</w:t>
            </w:r>
          </w:p>
        </w:tc>
        <w:tc>
          <w:tcPr>
            <w:tcW w:w="6825" w:type="dxa"/>
          </w:tcPr>
          <w:p w14:paraId="53511FF1" w14:textId="77777777" w:rsidR="006547EE" w:rsidRDefault="00F87893">
            <w:r>
              <w:t>Court ruled that the judiciary can examine whether administrative action undertaken by a national security agency is supported by the legislation establishing the agency.</w:t>
            </w:r>
          </w:p>
          <w:p w14:paraId="53511FF2" w14:textId="77777777" w:rsidR="00F87893" w:rsidRDefault="00F87893"/>
          <w:p w14:paraId="53511FF3" w14:textId="77777777" w:rsidR="00F87893" w:rsidRDefault="006213FE">
            <w:r>
              <w:rPr>
                <w:rFonts w:ascii="Arial" w:hAnsi="Arial" w:cs="Arial"/>
                <w:noProof/>
                <w:sz w:val="20"/>
                <w:szCs w:val="20"/>
                <w:lang w:eastAsia="en-AU"/>
              </w:rPr>
              <w:drawing>
                <wp:anchor distT="0" distB="0" distL="114300" distR="114300" simplePos="0" relativeHeight="251660288" behindDoc="0" locked="0" layoutInCell="1" allowOverlap="1" wp14:anchorId="53512118" wp14:editId="53512119">
                  <wp:simplePos x="0" y="0"/>
                  <wp:positionH relativeFrom="column">
                    <wp:posOffset>-1112520</wp:posOffset>
                  </wp:positionH>
                  <wp:positionV relativeFrom="paragraph">
                    <wp:posOffset>1273810</wp:posOffset>
                  </wp:positionV>
                  <wp:extent cx="5112270" cy="2724150"/>
                  <wp:effectExtent l="0" t="0" r="0" b="0"/>
                  <wp:wrapNone/>
                  <wp:docPr id="5" name="Picture 5" descr="Image result for picture of church of scien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icture of church of scientolog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29756" cy="2733468"/>
                          </a:xfrm>
                          <a:prstGeom prst="rect">
                            <a:avLst/>
                          </a:prstGeom>
                          <a:noFill/>
                          <a:ln>
                            <a:noFill/>
                          </a:ln>
                        </pic:spPr>
                      </pic:pic>
                    </a:graphicData>
                  </a:graphic>
                  <wp14:sizeRelH relativeFrom="page">
                    <wp14:pctWidth>0</wp14:pctWidth>
                  </wp14:sizeRelH>
                  <wp14:sizeRelV relativeFrom="page">
                    <wp14:pctHeight>0</wp14:pctHeight>
                  </wp14:sizeRelV>
                </wp:anchor>
              </w:drawing>
            </w:r>
            <w:r w:rsidR="00F730D0">
              <w:t xml:space="preserve">In this case the debate was about whether the issue was justiciable or not, not the actual hearing of the matter.  </w:t>
            </w:r>
          </w:p>
        </w:tc>
      </w:tr>
      <w:tr w:rsidR="002954B8" w14:paraId="53512018" w14:textId="77777777" w:rsidTr="009D44CC">
        <w:tc>
          <w:tcPr>
            <w:tcW w:w="3015" w:type="dxa"/>
          </w:tcPr>
          <w:p w14:paraId="53511FF5" w14:textId="2A30D945" w:rsidR="006547EE" w:rsidRDefault="000F6007">
            <w:pPr>
              <w:rPr>
                <w:b/>
              </w:rPr>
            </w:pPr>
            <w:r w:rsidRPr="00D87D79">
              <w:rPr>
                <w:b/>
              </w:rPr>
              <w:lastRenderedPageBreak/>
              <w:t xml:space="preserve">London County Council v Attorney General </w:t>
            </w:r>
            <w:r w:rsidR="001A2D49">
              <w:rPr>
                <w:b/>
              </w:rPr>
              <w:t>[1902] House of Lords</w:t>
            </w:r>
          </w:p>
          <w:p w14:paraId="53511FF6" w14:textId="77777777" w:rsidR="00D87D79" w:rsidRPr="00D87D79" w:rsidRDefault="00D87D79">
            <w:pPr>
              <w:rPr>
                <w:b/>
              </w:rPr>
            </w:pPr>
          </w:p>
          <w:p w14:paraId="53511FF7" w14:textId="77777777" w:rsidR="000F6007" w:rsidRDefault="000F6007"/>
          <w:p w14:paraId="53511FF8" w14:textId="77777777" w:rsidR="000F6007" w:rsidRDefault="000F6007"/>
        </w:tc>
        <w:tc>
          <w:tcPr>
            <w:tcW w:w="2364" w:type="dxa"/>
          </w:tcPr>
          <w:p w14:paraId="53511FF9" w14:textId="77777777" w:rsidR="006547EE" w:rsidRDefault="00D87D79">
            <w:r>
              <w:t>Power of statute to run a bus instead of a tram.</w:t>
            </w:r>
          </w:p>
        </w:tc>
        <w:tc>
          <w:tcPr>
            <w:tcW w:w="2356" w:type="dxa"/>
          </w:tcPr>
          <w:p w14:paraId="53511FFA" w14:textId="77777777" w:rsidR="006547EE" w:rsidRDefault="00D87D79">
            <w:r>
              <w:t>English Case</w:t>
            </w:r>
          </w:p>
        </w:tc>
        <w:tc>
          <w:tcPr>
            <w:tcW w:w="6825" w:type="dxa"/>
          </w:tcPr>
          <w:p w14:paraId="53511FFB" w14:textId="77777777" w:rsidR="00D87D79" w:rsidRDefault="00D87D79">
            <w:r w:rsidRPr="00D87D79">
              <w:t>A number of private bus companies in London succeeded in challenging the council’s right to run bus services</w:t>
            </w:r>
            <w:r>
              <w:t xml:space="preserve">.  </w:t>
            </w:r>
          </w:p>
          <w:p w14:paraId="53511FFC" w14:textId="77777777" w:rsidR="00D87D79" w:rsidRDefault="00D87D79"/>
          <w:p w14:paraId="53511FFD" w14:textId="77777777" w:rsidR="006547EE" w:rsidRDefault="00D87D79">
            <w:r>
              <w:t>Held:  Where the London County Council had statutory powers to purchase and operate tramways, it was held by the House of Lords that it had no power to run omnibuses, which was not incidental to the running of tramways.</w:t>
            </w:r>
          </w:p>
          <w:p w14:paraId="53511FFE" w14:textId="77777777" w:rsidR="005A7386" w:rsidRDefault="005A7386"/>
          <w:p w14:paraId="53511FFF" w14:textId="77777777" w:rsidR="005A7386" w:rsidRDefault="005A7386"/>
          <w:p w14:paraId="53512000" w14:textId="77777777" w:rsidR="005A7386" w:rsidRDefault="00DF34CF">
            <w:r>
              <w:rPr>
                <w:rFonts w:ascii="Arial" w:hAnsi="Arial" w:cs="Arial"/>
                <w:noProof/>
                <w:sz w:val="20"/>
                <w:szCs w:val="20"/>
                <w:lang w:eastAsia="en-AU"/>
              </w:rPr>
              <w:drawing>
                <wp:anchor distT="0" distB="0" distL="114300" distR="114300" simplePos="0" relativeHeight="251661312" behindDoc="0" locked="0" layoutInCell="1" allowOverlap="1" wp14:anchorId="5351211A" wp14:editId="5351211B">
                  <wp:simplePos x="0" y="0"/>
                  <wp:positionH relativeFrom="column">
                    <wp:posOffset>868680</wp:posOffset>
                  </wp:positionH>
                  <wp:positionV relativeFrom="paragraph">
                    <wp:posOffset>97155</wp:posOffset>
                  </wp:positionV>
                  <wp:extent cx="2352675" cy="3530319"/>
                  <wp:effectExtent l="0" t="0" r="0" b="0"/>
                  <wp:wrapNone/>
                  <wp:docPr id="6" name="Picture 6" descr="Image result for pictures of london county counc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pictures of london county council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52675" cy="35303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512001" w14:textId="77777777" w:rsidR="005A7386" w:rsidRDefault="005A7386"/>
          <w:p w14:paraId="53512002" w14:textId="77777777" w:rsidR="005A7386" w:rsidRDefault="005A7386"/>
          <w:p w14:paraId="53512003" w14:textId="77777777" w:rsidR="005A7386" w:rsidRDefault="005A7386"/>
          <w:p w14:paraId="53512004" w14:textId="77777777" w:rsidR="005A7386" w:rsidRDefault="005A7386"/>
          <w:p w14:paraId="53512005" w14:textId="77777777" w:rsidR="005A7386" w:rsidRDefault="005A7386"/>
          <w:p w14:paraId="53512006" w14:textId="77777777" w:rsidR="005A7386" w:rsidRDefault="005A7386"/>
          <w:p w14:paraId="53512007" w14:textId="77777777" w:rsidR="005A7386" w:rsidRDefault="005A7386"/>
          <w:p w14:paraId="53512008" w14:textId="77777777" w:rsidR="005A7386" w:rsidRDefault="005A7386"/>
          <w:p w14:paraId="53512009" w14:textId="77777777" w:rsidR="005A7386" w:rsidRDefault="005A7386"/>
          <w:p w14:paraId="5351200A" w14:textId="77777777" w:rsidR="005A7386" w:rsidRDefault="005A7386"/>
          <w:p w14:paraId="5351200B" w14:textId="77777777" w:rsidR="005A7386" w:rsidRDefault="005A7386"/>
          <w:p w14:paraId="5351200C" w14:textId="77777777" w:rsidR="005A7386" w:rsidRDefault="005A7386"/>
          <w:p w14:paraId="5351200D" w14:textId="77777777" w:rsidR="005A7386" w:rsidRDefault="005A7386"/>
          <w:p w14:paraId="5351200E" w14:textId="77777777" w:rsidR="005A7386" w:rsidRDefault="005A7386"/>
          <w:p w14:paraId="5351200F" w14:textId="77777777" w:rsidR="005A7386" w:rsidRDefault="005A7386"/>
          <w:p w14:paraId="53512010" w14:textId="77777777" w:rsidR="005A7386" w:rsidRDefault="005A7386"/>
          <w:p w14:paraId="53512011" w14:textId="77777777" w:rsidR="005A7386" w:rsidRDefault="005A7386"/>
          <w:p w14:paraId="53512012" w14:textId="77777777" w:rsidR="005A7386" w:rsidRDefault="005A7386"/>
          <w:p w14:paraId="53512013" w14:textId="77777777" w:rsidR="005A7386" w:rsidRDefault="005A7386"/>
          <w:p w14:paraId="53512014" w14:textId="77777777" w:rsidR="005A7386" w:rsidRDefault="005A7386"/>
          <w:p w14:paraId="53512015" w14:textId="77777777" w:rsidR="005A7386" w:rsidRDefault="005A7386"/>
          <w:p w14:paraId="53512016" w14:textId="77777777" w:rsidR="005A7386" w:rsidRDefault="005A7386"/>
          <w:p w14:paraId="53512017" w14:textId="77777777" w:rsidR="005A7386" w:rsidRDefault="005A7386"/>
        </w:tc>
      </w:tr>
      <w:tr w:rsidR="002954B8" w14:paraId="5351202D" w14:textId="77777777" w:rsidTr="009D44CC">
        <w:tc>
          <w:tcPr>
            <w:tcW w:w="3015" w:type="dxa"/>
          </w:tcPr>
          <w:p w14:paraId="53512019" w14:textId="77777777" w:rsidR="006547EE" w:rsidRDefault="00D87D79">
            <w:pPr>
              <w:rPr>
                <w:b/>
              </w:rPr>
            </w:pPr>
            <w:r w:rsidRPr="00D87D79">
              <w:rPr>
                <w:b/>
              </w:rPr>
              <w:lastRenderedPageBreak/>
              <w:t xml:space="preserve">Vickers v Minister for Businesses and Consumer Affairs </w:t>
            </w:r>
          </w:p>
          <w:p w14:paraId="5351201A" w14:textId="77777777" w:rsidR="00D87D79" w:rsidRDefault="00D87D79">
            <w:pPr>
              <w:rPr>
                <w:b/>
              </w:rPr>
            </w:pPr>
          </w:p>
          <w:p w14:paraId="5351201B" w14:textId="77777777" w:rsidR="00D87D79" w:rsidRDefault="00D87D79">
            <w:pPr>
              <w:rPr>
                <w:b/>
              </w:rPr>
            </w:pPr>
          </w:p>
          <w:p w14:paraId="5351201C" w14:textId="77777777" w:rsidR="00D87D79" w:rsidRPr="00D87D79" w:rsidRDefault="00D87D79">
            <w:pPr>
              <w:rPr>
                <w:b/>
              </w:rPr>
            </w:pPr>
          </w:p>
        </w:tc>
        <w:tc>
          <w:tcPr>
            <w:tcW w:w="2364" w:type="dxa"/>
          </w:tcPr>
          <w:p w14:paraId="5351201D" w14:textId="77777777" w:rsidR="006547EE" w:rsidRDefault="006213FE">
            <w:r>
              <w:rPr>
                <w:rFonts w:ascii="Arial" w:hAnsi="Arial" w:cs="Arial"/>
                <w:noProof/>
                <w:sz w:val="20"/>
                <w:szCs w:val="20"/>
                <w:lang w:eastAsia="en-AU"/>
              </w:rPr>
              <w:drawing>
                <wp:anchor distT="0" distB="0" distL="114300" distR="114300" simplePos="0" relativeHeight="251662336" behindDoc="0" locked="0" layoutInCell="1" allowOverlap="1" wp14:anchorId="5351211C" wp14:editId="5351211D">
                  <wp:simplePos x="0" y="0"/>
                  <wp:positionH relativeFrom="column">
                    <wp:posOffset>-1953895</wp:posOffset>
                  </wp:positionH>
                  <wp:positionV relativeFrom="paragraph">
                    <wp:posOffset>1450340</wp:posOffset>
                  </wp:positionV>
                  <wp:extent cx="4596170" cy="2943225"/>
                  <wp:effectExtent l="0" t="0" r="0" b="0"/>
                  <wp:wrapNone/>
                  <wp:docPr id="7" name="Picture 7" descr="Image result for pictures of seizing 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pictures of seizing good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96170" cy="2943225"/>
                          </a:xfrm>
                          <a:prstGeom prst="rect">
                            <a:avLst/>
                          </a:prstGeom>
                          <a:noFill/>
                          <a:ln>
                            <a:noFill/>
                          </a:ln>
                        </pic:spPr>
                      </pic:pic>
                    </a:graphicData>
                  </a:graphic>
                  <wp14:sizeRelH relativeFrom="page">
                    <wp14:pctWidth>0</wp14:pctWidth>
                  </wp14:sizeRelH>
                  <wp14:sizeRelV relativeFrom="page">
                    <wp14:pctHeight>0</wp14:pctHeight>
                  </wp14:sizeRelV>
                </wp:anchor>
              </w:drawing>
            </w:r>
            <w:r w:rsidR="009E3155">
              <w:t>Whether money seized in a bank account exceeded powers of the Customs Act 1901</w:t>
            </w:r>
          </w:p>
        </w:tc>
        <w:tc>
          <w:tcPr>
            <w:tcW w:w="2356" w:type="dxa"/>
          </w:tcPr>
          <w:p w14:paraId="5351201E" w14:textId="77777777" w:rsidR="006547EE" w:rsidRDefault="009E3155">
            <w:r>
              <w:t>AD(JR) Act applied, case heard in Federal Court.</w:t>
            </w:r>
          </w:p>
        </w:tc>
        <w:tc>
          <w:tcPr>
            <w:tcW w:w="6825" w:type="dxa"/>
          </w:tcPr>
          <w:p w14:paraId="5351201F" w14:textId="77777777" w:rsidR="006547EE" w:rsidRDefault="009E3155">
            <w:r>
              <w:t xml:space="preserve">A Federal Police Officer purporting to act under delegated authority from the Comptroller General of Customs seized bank notes to the value of $8000 then in the possession of Mr Vickers.  The seizure was followed by service upon Mr Vickers of a notice of seizure under the Customs Act which said the money was seized because of dealing in narcotics.  </w:t>
            </w:r>
          </w:p>
          <w:p w14:paraId="53512020" w14:textId="77777777" w:rsidR="009E3155" w:rsidRDefault="009E3155"/>
          <w:p w14:paraId="53512021" w14:textId="77777777" w:rsidR="009E3155" w:rsidRDefault="009E3155">
            <w:r>
              <w:t>It later came to the notice of the police that Mr Vickers had a bank account in NSW with $15,000 in it.  A notice was served on the bank and cc to Mr Vickers that in the powers under the Customs Act, the $15,000 was also seized because of dealing in narcotics.  The bank gave a bank cheque to the police officer and this is held in an account operated by the 4</w:t>
            </w:r>
            <w:r w:rsidRPr="009E3155">
              <w:rPr>
                <w:vertAlign w:val="superscript"/>
              </w:rPr>
              <w:t>th</w:t>
            </w:r>
            <w:r>
              <w:t xml:space="preserve"> defendant being the Collector of Customs for NSW.</w:t>
            </w:r>
          </w:p>
          <w:p w14:paraId="53512022" w14:textId="77777777" w:rsidR="009E3155" w:rsidRDefault="009E3155"/>
          <w:p w14:paraId="53512023" w14:textId="77777777" w:rsidR="00721213" w:rsidRDefault="00721213">
            <w:r>
              <w:t xml:space="preserve">Michael Vickers was </w:t>
            </w:r>
            <w:r w:rsidR="005A7386">
              <w:t>acquitted</w:t>
            </w:r>
            <w:r>
              <w:t xml:space="preserve"> of the crimes and wanted his money back.  When he wrote to the Collector of Customs asking for both the $8,000 and $15,000 back, the Collector said he was out of time under the Customs Act and the money would be forfeited.</w:t>
            </w:r>
          </w:p>
          <w:p w14:paraId="53512024" w14:textId="77777777" w:rsidR="00721213" w:rsidRDefault="00721213"/>
          <w:p w14:paraId="53512025" w14:textId="77777777" w:rsidR="005A7386" w:rsidRDefault="009E3155" w:rsidP="005A7386">
            <w:r>
              <w:t xml:space="preserve">Michael Vickers applied for relief under section 5 of the AD(JR) Act on the decision taken </w:t>
            </w:r>
            <w:r w:rsidR="005A7386">
              <w:t>defendants</w:t>
            </w:r>
            <w:r w:rsidR="00F85800">
              <w:t xml:space="preserve"> to seize the money.  </w:t>
            </w:r>
            <w:r w:rsidR="005A7386">
              <w:t xml:space="preserve">Vickers submitted that he was an applicant that was aggrieved by a decision to seize the $8000 and the money and service of the notices were not authorised by the Customs Act (s. 5(1)(d)).  </w:t>
            </w:r>
          </w:p>
          <w:p w14:paraId="53512026" w14:textId="77777777" w:rsidR="005A7386" w:rsidRDefault="005A7386"/>
          <w:p w14:paraId="53512027" w14:textId="77777777" w:rsidR="009E3155" w:rsidRDefault="005A7386">
            <w:r>
              <w:t>The Court held that t</w:t>
            </w:r>
            <w:r w:rsidR="00F85800">
              <w:t>hese are decisions of an administrative character and are within the powers of the AD(JR) Act.</w:t>
            </w:r>
          </w:p>
          <w:p w14:paraId="53512028" w14:textId="77777777" w:rsidR="005A7386" w:rsidRDefault="005A7386"/>
          <w:p w14:paraId="53512029" w14:textId="77777777" w:rsidR="005A7386" w:rsidRDefault="005A7386">
            <w:r>
              <w:t>The Court held that the statutory power authorising customs officers to seize ‘goods, moveable property, or monies in the form of cash’ did not authorise seizure of the moneys credited to a bank account.  He lost on the $8,000 but won on the $15,000.</w:t>
            </w:r>
          </w:p>
          <w:p w14:paraId="5351202A" w14:textId="77777777" w:rsidR="005A7386" w:rsidRDefault="005A7386"/>
          <w:p w14:paraId="5351202B" w14:textId="77777777" w:rsidR="00F85800" w:rsidRDefault="00F85800"/>
          <w:p w14:paraId="5351202C" w14:textId="77777777" w:rsidR="00F85800" w:rsidRDefault="00F85800"/>
        </w:tc>
      </w:tr>
      <w:tr w:rsidR="002954B8" w14:paraId="5351203D" w14:textId="77777777" w:rsidTr="009D44CC">
        <w:tc>
          <w:tcPr>
            <w:tcW w:w="3015" w:type="dxa"/>
          </w:tcPr>
          <w:p w14:paraId="5351202E" w14:textId="036AA806" w:rsidR="006547EE" w:rsidRDefault="001D3A5F">
            <w:r>
              <w:lastRenderedPageBreak/>
              <w:t>Boyle v Charge</w:t>
            </w:r>
            <w:r w:rsidR="00F35B83">
              <w:t xml:space="preserve"> (1987)</w:t>
            </w:r>
            <w:r w:rsidR="00B804FB">
              <w:t xml:space="preserve"> 73 ALR 446</w:t>
            </w:r>
          </w:p>
          <w:p w14:paraId="5351202F" w14:textId="77777777" w:rsidR="001D3A5F" w:rsidRDefault="001D3A5F"/>
          <w:p w14:paraId="53512030" w14:textId="77777777" w:rsidR="001D3A5F" w:rsidRDefault="001D3A5F"/>
        </w:tc>
        <w:tc>
          <w:tcPr>
            <w:tcW w:w="2364" w:type="dxa"/>
          </w:tcPr>
          <w:p w14:paraId="53512031" w14:textId="77777777" w:rsidR="006547EE" w:rsidRDefault="00EE6C9B" w:rsidP="005D0018">
            <w:r>
              <w:rPr>
                <w:rFonts w:ascii="Arial" w:hAnsi="Arial" w:cs="Arial"/>
                <w:noProof/>
                <w:sz w:val="20"/>
                <w:szCs w:val="20"/>
                <w:lang w:eastAsia="en-AU"/>
              </w:rPr>
              <w:drawing>
                <wp:anchor distT="0" distB="0" distL="114300" distR="114300" simplePos="0" relativeHeight="251663360" behindDoc="0" locked="0" layoutInCell="1" allowOverlap="1" wp14:anchorId="5351211E" wp14:editId="5351211F">
                  <wp:simplePos x="0" y="0"/>
                  <wp:positionH relativeFrom="column">
                    <wp:posOffset>-1839595</wp:posOffset>
                  </wp:positionH>
                  <wp:positionV relativeFrom="paragraph">
                    <wp:posOffset>1717675</wp:posOffset>
                  </wp:positionV>
                  <wp:extent cx="4198152" cy="3143250"/>
                  <wp:effectExtent l="0" t="0" r="0" b="0"/>
                  <wp:wrapNone/>
                  <wp:docPr id="14" name="Picture 14" descr="Image result for picture of monaro crescent griff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picture of monaro crescent griffith"/>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98152" cy="314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DF4AE6">
              <w:t xml:space="preserve">Whether decision made under s.10 of the City Area Leases Ordinance 1936 (A.C.T.), for grant rights for </w:t>
            </w:r>
            <w:r w:rsidR="005D0018">
              <w:t>the use of a residential premises</w:t>
            </w:r>
            <w:r w:rsidR="00DF4AE6">
              <w:t xml:space="preserve"> a</w:t>
            </w:r>
            <w:r w:rsidR="005D0018">
              <w:t xml:space="preserve">s a </w:t>
            </w:r>
            <w:r w:rsidR="00DF4AE6">
              <w:t>veterinary surgeon</w:t>
            </w:r>
          </w:p>
        </w:tc>
        <w:tc>
          <w:tcPr>
            <w:tcW w:w="2356" w:type="dxa"/>
          </w:tcPr>
          <w:p w14:paraId="53512032" w14:textId="77777777" w:rsidR="006547EE" w:rsidRDefault="00DF4AE6">
            <w:r>
              <w:t xml:space="preserve">Reliance on s 5(1)(d) in Federal Court that the decision to allow </w:t>
            </w:r>
            <w:r w:rsidR="005D0018">
              <w:t>the “</w:t>
            </w:r>
            <w:r>
              <w:t>home</w:t>
            </w:r>
            <w:r w:rsidR="005D0018">
              <w:t>”</w:t>
            </w:r>
            <w:r>
              <w:t xml:space="preserve"> occupation was outside the scope of the Ordinance</w:t>
            </w:r>
            <w:r w:rsidR="005D0018">
              <w:t>.</w:t>
            </w:r>
          </w:p>
          <w:p w14:paraId="53512033" w14:textId="77777777" w:rsidR="005D0018" w:rsidRDefault="005D0018"/>
          <w:p w14:paraId="53512034" w14:textId="77777777" w:rsidR="005D0018" w:rsidRDefault="005D0018"/>
        </w:tc>
        <w:tc>
          <w:tcPr>
            <w:tcW w:w="6825" w:type="dxa"/>
          </w:tcPr>
          <w:p w14:paraId="53512035" w14:textId="77777777" w:rsidR="00DF4AE6" w:rsidRDefault="00DF4AE6" w:rsidP="00DF4AE6">
            <w:r>
              <w:t xml:space="preserve">The Boyles (Applicants) are the registered proprietors of a lease from the Commonwealth of certain land known as Block 9, Section 11, Division of Griffith (also known as 31 Monaro Crescent, Griffith) in the Australian Capital Territory. </w:t>
            </w:r>
            <w:r w:rsidR="0084390F">
              <w:t xml:space="preserve">  </w:t>
            </w:r>
          </w:p>
          <w:p w14:paraId="53512036" w14:textId="77777777" w:rsidR="0084390F" w:rsidRDefault="0084390F" w:rsidP="00DF4AE6"/>
          <w:p w14:paraId="53512037" w14:textId="77777777" w:rsidR="00DF4AE6" w:rsidRDefault="00DF4AE6" w:rsidP="00DF4AE6">
            <w:r>
              <w:t xml:space="preserve">Adjoining that land is Block 8, Section 11, Division of Griffith, also known as 85 Flinders Way, Griffith. Block 8 is situate at the corner of Monaro Crescent and Flinders Way. </w:t>
            </w:r>
          </w:p>
          <w:p w14:paraId="53512038" w14:textId="77777777" w:rsidR="00DF4AE6" w:rsidRDefault="00DF4AE6" w:rsidP="00DF4AE6"/>
          <w:p w14:paraId="53512039" w14:textId="77777777" w:rsidR="00DF4AE6" w:rsidRDefault="00DF4AE6" w:rsidP="00DF4AE6">
            <w:r>
              <w:t xml:space="preserve">The leases of all the blocks in Section 11 provides that it may be used for residential purposes only. </w:t>
            </w:r>
          </w:p>
          <w:p w14:paraId="5351203A" w14:textId="77777777" w:rsidR="00DF4AE6" w:rsidRDefault="00DF4AE6" w:rsidP="00DF4AE6">
            <w:pPr>
              <w:pStyle w:val="NormalWeb"/>
              <w:rPr>
                <w:rFonts w:asciiTheme="minorHAnsi" w:eastAsiaTheme="minorHAnsi" w:hAnsiTheme="minorHAnsi" w:cstheme="minorBidi"/>
                <w:sz w:val="22"/>
                <w:szCs w:val="22"/>
                <w:lang w:eastAsia="en-US"/>
              </w:rPr>
            </w:pPr>
            <w:r w:rsidRPr="00DF4AE6">
              <w:rPr>
                <w:rFonts w:asciiTheme="minorHAnsi" w:eastAsiaTheme="minorHAnsi" w:hAnsiTheme="minorHAnsi" w:cstheme="minorBidi"/>
                <w:sz w:val="22"/>
                <w:szCs w:val="22"/>
                <w:lang w:eastAsia="en-US"/>
              </w:rPr>
              <w:t xml:space="preserve">The applicants </w:t>
            </w:r>
            <w:r>
              <w:rPr>
                <w:rFonts w:asciiTheme="minorHAnsi" w:eastAsiaTheme="minorHAnsi" w:hAnsiTheme="minorHAnsi" w:cstheme="minorBidi"/>
                <w:sz w:val="22"/>
                <w:szCs w:val="22"/>
                <w:lang w:eastAsia="en-US"/>
              </w:rPr>
              <w:t>sought</w:t>
            </w:r>
            <w:r w:rsidRPr="00DF4AE6">
              <w:rPr>
                <w:rFonts w:asciiTheme="minorHAnsi" w:eastAsiaTheme="minorHAnsi" w:hAnsiTheme="minorHAnsi" w:cstheme="minorBidi"/>
                <w:sz w:val="22"/>
                <w:szCs w:val="22"/>
                <w:lang w:eastAsia="en-US"/>
              </w:rPr>
              <w:t xml:space="preserve"> an order of review under </w:t>
            </w:r>
            <w:r>
              <w:rPr>
                <w:rFonts w:asciiTheme="minorHAnsi" w:eastAsiaTheme="minorHAnsi" w:hAnsiTheme="minorHAnsi" w:cstheme="minorBidi"/>
                <w:sz w:val="22"/>
                <w:szCs w:val="22"/>
                <w:lang w:eastAsia="en-US"/>
              </w:rPr>
              <w:t>AD(JR) Act</w:t>
            </w:r>
            <w:r w:rsidRPr="00DF4AE6">
              <w:rPr>
                <w:rFonts w:asciiTheme="minorHAnsi" w:eastAsiaTheme="minorHAnsi" w:hAnsiTheme="minorHAnsi" w:cstheme="minorBidi"/>
                <w:sz w:val="22"/>
                <w:szCs w:val="22"/>
                <w:lang w:eastAsia="en-US"/>
              </w:rPr>
              <w:t xml:space="preserve"> in respect of a decision made on 15 September 1986 under s.10 of the City Area Leases Ordinance 1936 (A.C.T.) by </w:t>
            </w:r>
            <w:r>
              <w:rPr>
                <w:rFonts w:asciiTheme="minorHAnsi" w:eastAsiaTheme="minorHAnsi" w:hAnsiTheme="minorHAnsi" w:cstheme="minorBidi"/>
                <w:sz w:val="22"/>
                <w:szCs w:val="22"/>
                <w:lang w:eastAsia="en-US"/>
              </w:rPr>
              <w:t>Mr Charge</w:t>
            </w:r>
            <w:r w:rsidRPr="00DF4AE6">
              <w:rPr>
                <w:rFonts w:asciiTheme="minorHAnsi" w:eastAsiaTheme="minorHAnsi" w:hAnsiTheme="minorHAnsi" w:cstheme="minorBidi"/>
                <w:sz w:val="22"/>
                <w:szCs w:val="22"/>
                <w:lang w:eastAsia="en-US"/>
              </w:rPr>
              <w:t xml:space="preserve"> ("the first respondent"), a delegate of the Min</w:t>
            </w:r>
            <w:r w:rsidR="0084390F">
              <w:rPr>
                <w:rFonts w:asciiTheme="minorHAnsi" w:eastAsiaTheme="minorHAnsi" w:hAnsiTheme="minorHAnsi" w:cstheme="minorBidi"/>
                <w:sz w:val="22"/>
                <w:szCs w:val="22"/>
                <w:lang w:eastAsia="en-US"/>
              </w:rPr>
              <w:t>ister of State for Territories .  That</w:t>
            </w:r>
            <w:r w:rsidRPr="00DF4AE6">
              <w:rPr>
                <w:rFonts w:asciiTheme="minorHAnsi" w:eastAsiaTheme="minorHAnsi" w:hAnsiTheme="minorHAnsi" w:cstheme="minorBidi"/>
                <w:sz w:val="22"/>
                <w:szCs w:val="22"/>
                <w:lang w:eastAsia="en-US"/>
              </w:rPr>
              <w:t xml:space="preserve"> decision approved of </w:t>
            </w:r>
            <w:r>
              <w:rPr>
                <w:rFonts w:asciiTheme="minorHAnsi" w:eastAsiaTheme="minorHAnsi" w:hAnsiTheme="minorHAnsi" w:cstheme="minorBidi"/>
                <w:sz w:val="22"/>
                <w:szCs w:val="22"/>
                <w:lang w:eastAsia="en-US"/>
              </w:rPr>
              <w:t>Mr</w:t>
            </w:r>
            <w:r w:rsidRPr="00DF4AE6">
              <w:rPr>
                <w:rFonts w:asciiTheme="minorHAnsi" w:eastAsiaTheme="minorHAnsi" w:hAnsiTheme="minorHAnsi" w:cstheme="minorBidi"/>
                <w:sz w:val="22"/>
                <w:szCs w:val="22"/>
                <w:lang w:eastAsia="en-US"/>
              </w:rPr>
              <w:t xml:space="preserve"> Pearce ("the second respondent") carrying on the profession, trade, occupation or calling of veterinary surgeon on Block 8 subject to certain conditions relating to the use of the land being observed by the second respondent in carrying on the business. </w:t>
            </w:r>
          </w:p>
          <w:p w14:paraId="5351203B" w14:textId="77777777" w:rsidR="005D0018" w:rsidRDefault="0084390F" w:rsidP="00DF4AE6">
            <w:pPr>
              <w:pStyle w:val="Norma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To have an occupation in the house, Mr Pearce must reside there before a permit is granted.  The Court held that </w:t>
            </w:r>
            <w:r w:rsidRPr="0084390F">
              <w:rPr>
                <w:rFonts w:asciiTheme="minorHAnsi" w:eastAsiaTheme="minorHAnsi" w:hAnsiTheme="minorHAnsi" w:cstheme="minorBidi"/>
                <w:sz w:val="22"/>
                <w:szCs w:val="22"/>
                <w:lang w:eastAsia="en-US"/>
              </w:rPr>
              <w:t xml:space="preserve">neither at the date of the application made by the </w:t>
            </w:r>
            <w:r>
              <w:rPr>
                <w:rFonts w:asciiTheme="minorHAnsi" w:eastAsiaTheme="minorHAnsi" w:hAnsiTheme="minorHAnsi" w:cstheme="minorBidi"/>
                <w:sz w:val="22"/>
                <w:szCs w:val="22"/>
                <w:lang w:eastAsia="en-US"/>
              </w:rPr>
              <w:t>2nd</w:t>
            </w:r>
            <w:r w:rsidRPr="0084390F">
              <w:rPr>
                <w:rFonts w:asciiTheme="minorHAnsi" w:eastAsiaTheme="minorHAnsi" w:hAnsiTheme="minorHAnsi" w:cstheme="minorBidi"/>
                <w:sz w:val="22"/>
                <w:szCs w:val="22"/>
                <w:lang w:eastAsia="en-US"/>
              </w:rPr>
              <w:t xml:space="preserve"> respondent nor at the date the </w:t>
            </w:r>
            <w:r>
              <w:rPr>
                <w:rFonts w:asciiTheme="minorHAnsi" w:eastAsiaTheme="minorHAnsi" w:hAnsiTheme="minorHAnsi" w:cstheme="minorBidi"/>
                <w:sz w:val="22"/>
                <w:szCs w:val="22"/>
                <w:lang w:eastAsia="en-US"/>
              </w:rPr>
              <w:t>1st</w:t>
            </w:r>
            <w:r w:rsidRPr="0084390F">
              <w:rPr>
                <w:rFonts w:asciiTheme="minorHAnsi" w:eastAsiaTheme="minorHAnsi" w:hAnsiTheme="minorHAnsi" w:cstheme="minorBidi"/>
                <w:sz w:val="22"/>
                <w:szCs w:val="22"/>
                <w:lang w:eastAsia="en-US"/>
              </w:rPr>
              <w:t xml:space="preserve"> respondent purported to grant approval</w:t>
            </w:r>
            <w:r>
              <w:rPr>
                <w:rFonts w:asciiTheme="minorHAnsi" w:eastAsiaTheme="minorHAnsi" w:hAnsiTheme="minorHAnsi" w:cstheme="minorBidi"/>
                <w:sz w:val="22"/>
                <w:szCs w:val="22"/>
                <w:lang w:eastAsia="en-US"/>
              </w:rPr>
              <w:t>,</w:t>
            </w:r>
            <w:r w:rsidRPr="0084390F">
              <w:rPr>
                <w:rFonts w:asciiTheme="minorHAnsi" w:eastAsiaTheme="minorHAnsi" w:hAnsiTheme="minorHAnsi" w:cstheme="minorBidi"/>
                <w:sz w:val="22"/>
                <w:szCs w:val="22"/>
                <w:lang w:eastAsia="en-US"/>
              </w:rPr>
              <w:t xml:space="preserve"> was the </w:t>
            </w:r>
            <w:r>
              <w:rPr>
                <w:rFonts w:asciiTheme="minorHAnsi" w:eastAsiaTheme="minorHAnsi" w:hAnsiTheme="minorHAnsi" w:cstheme="minorBidi"/>
                <w:sz w:val="22"/>
                <w:szCs w:val="22"/>
                <w:lang w:eastAsia="en-US"/>
              </w:rPr>
              <w:t>2nd</w:t>
            </w:r>
            <w:r w:rsidRPr="0084390F">
              <w:rPr>
                <w:rFonts w:asciiTheme="minorHAnsi" w:eastAsiaTheme="minorHAnsi" w:hAnsiTheme="minorHAnsi" w:cstheme="minorBidi"/>
                <w:sz w:val="22"/>
                <w:szCs w:val="22"/>
                <w:lang w:eastAsia="en-US"/>
              </w:rPr>
              <w:t xml:space="preserve"> respondent bona fide residing on the land. </w:t>
            </w:r>
            <w:r>
              <w:rPr>
                <w:rFonts w:asciiTheme="minorHAnsi" w:eastAsiaTheme="minorHAnsi" w:hAnsiTheme="minorHAnsi" w:cstheme="minorBidi"/>
                <w:sz w:val="22"/>
                <w:szCs w:val="22"/>
                <w:lang w:eastAsia="en-US"/>
              </w:rPr>
              <w:t xml:space="preserve"> </w:t>
            </w:r>
          </w:p>
          <w:p w14:paraId="5351203C" w14:textId="77777777" w:rsidR="000A7FBC" w:rsidRDefault="0084390F" w:rsidP="000A7FBC">
            <w:pPr>
              <w:pStyle w:val="NormalWeb"/>
            </w:pPr>
            <w:r>
              <w:rPr>
                <w:rFonts w:asciiTheme="minorHAnsi" w:eastAsiaTheme="minorHAnsi" w:hAnsiTheme="minorHAnsi" w:cstheme="minorBidi"/>
                <w:sz w:val="22"/>
                <w:szCs w:val="22"/>
                <w:lang w:eastAsia="en-US"/>
              </w:rPr>
              <w:t>T</w:t>
            </w:r>
            <w:r w:rsidRPr="0084390F">
              <w:rPr>
                <w:rFonts w:asciiTheme="minorHAnsi" w:eastAsiaTheme="minorHAnsi" w:hAnsiTheme="minorHAnsi" w:cstheme="minorBidi"/>
                <w:sz w:val="22"/>
                <w:szCs w:val="22"/>
                <w:lang w:eastAsia="en-US"/>
              </w:rPr>
              <w:t xml:space="preserve">he approval must be set aside. It may be a matter for debate which is the most appropriate ground set out in </w:t>
            </w:r>
            <w:hyperlink r:id="rId27" w:history="1">
              <w:r w:rsidRPr="0084390F">
                <w:rPr>
                  <w:rFonts w:asciiTheme="minorHAnsi" w:eastAsiaTheme="minorHAnsi" w:hAnsiTheme="minorHAnsi" w:cstheme="minorBidi"/>
                  <w:sz w:val="22"/>
                  <w:szCs w:val="22"/>
                  <w:lang w:eastAsia="en-US"/>
                </w:rPr>
                <w:t>s.5</w:t>
              </w:r>
            </w:hyperlink>
            <w:r w:rsidRPr="0084390F">
              <w:rPr>
                <w:rFonts w:asciiTheme="minorHAnsi" w:eastAsiaTheme="minorHAnsi" w:hAnsiTheme="minorHAnsi" w:cstheme="minorBidi"/>
                <w:sz w:val="22"/>
                <w:szCs w:val="22"/>
                <w:lang w:eastAsia="en-US"/>
              </w:rPr>
              <w:t xml:space="preserve"> of </w:t>
            </w:r>
            <w:r>
              <w:rPr>
                <w:rFonts w:asciiTheme="minorHAnsi" w:eastAsiaTheme="minorHAnsi" w:hAnsiTheme="minorHAnsi" w:cstheme="minorBidi"/>
                <w:sz w:val="22"/>
                <w:szCs w:val="22"/>
                <w:lang w:eastAsia="en-US"/>
              </w:rPr>
              <w:t>the AD(JR) Act</w:t>
            </w:r>
            <w:r w:rsidRPr="0084390F">
              <w:rPr>
                <w:rFonts w:asciiTheme="minorHAnsi" w:eastAsiaTheme="minorHAnsi" w:hAnsiTheme="minorHAnsi" w:cstheme="minorBidi"/>
                <w:sz w:val="22"/>
                <w:szCs w:val="22"/>
                <w:lang w:eastAsia="en-US"/>
              </w:rPr>
              <w:t xml:space="preserve"> to assign as the reason for setting aside the decision. </w:t>
            </w:r>
            <w:r>
              <w:rPr>
                <w:rFonts w:asciiTheme="minorHAnsi" w:eastAsiaTheme="minorHAnsi" w:hAnsiTheme="minorHAnsi" w:cstheme="minorBidi"/>
                <w:sz w:val="22"/>
                <w:szCs w:val="22"/>
                <w:lang w:eastAsia="en-US"/>
              </w:rPr>
              <w:t xml:space="preserve"> </w:t>
            </w:r>
            <w:r w:rsidRPr="0084390F">
              <w:rPr>
                <w:rFonts w:asciiTheme="minorHAnsi" w:eastAsiaTheme="minorHAnsi" w:hAnsiTheme="minorHAnsi" w:cstheme="minorBidi"/>
                <w:sz w:val="22"/>
                <w:szCs w:val="22"/>
                <w:lang w:eastAsia="en-US"/>
              </w:rPr>
              <w:t xml:space="preserve">It is sufficient, however, to rely on </w:t>
            </w:r>
            <w:hyperlink r:id="rId28" w:history="1">
              <w:r w:rsidRPr="0084390F">
                <w:rPr>
                  <w:rFonts w:asciiTheme="minorHAnsi" w:eastAsiaTheme="minorHAnsi" w:hAnsiTheme="minorHAnsi" w:cstheme="minorBidi"/>
                  <w:sz w:val="22"/>
                  <w:szCs w:val="22"/>
                  <w:lang w:eastAsia="en-US"/>
                </w:rPr>
                <w:t>s.5(1)(d)</w:t>
              </w:r>
            </w:hyperlink>
            <w:r w:rsidRPr="0084390F">
              <w:rPr>
                <w:rFonts w:asciiTheme="minorHAnsi" w:eastAsiaTheme="minorHAnsi" w:hAnsiTheme="minorHAnsi" w:cstheme="minorBidi"/>
                <w:sz w:val="22"/>
                <w:szCs w:val="22"/>
                <w:lang w:eastAsia="en-US"/>
              </w:rPr>
              <w:t xml:space="preserve"> - that the decision was not authorized by the enactment in pursuance of which it was purported to be made. </w:t>
            </w:r>
            <w:r>
              <w:rPr>
                <w:rFonts w:asciiTheme="minorHAnsi" w:eastAsiaTheme="minorHAnsi" w:hAnsiTheme="minorHAnsi" w:cstheme="minorBidi"/>
                <w:sz w:val="22"/>
                <w:szCs w:val="22"/>
                <w:lang w:eastAsia="en-US"/>
              </w:rPr>
              <w:t xml:space="preserve"> </w:t>
            </w:r>
            <w:r w:rsidRPr="0084390F">
              <w:rPr>
                <w:rFonts w:asciiTheme="minorHAnsi" w:eastAsiaTheme="minorHAnsi" w:hAnsiTheme="minorHAnsi" w:cstheme="minorBidi"/>
                <w:sz w:val="22"/>
                <w:szCs w:val="22"/>
                <w:lang w:eastAsia="en-US"/>
              </w:rPr>
              <w:t xml:space="preserve">Reliance might also be placed on </w:t>
            </w:r>
            <w:hyperlink r:id="rId29" w:history="1">
              <w:r w:rsidRPr="0084390F">
                <w:rPr>
                  <w:rFonts w:asciiTheme="minorHAnsi" w:eastAsiaTheme="minorHAnsi" w:hAnsiTheme="minorHAnsi" w:cstheme="minorBidi"/>
                  <w:sz w:val="22"/>
                  <w:szCs w:val="22"/>
                  <w:lang w:eastAsia="en-US"/>
                </w:rPr>
                <w:t>s.5(1)(e)</w:t>
              </w:r>
            </w:hyperlink>
            <w:r w:rsidRPr="0084390F">
              <w:rPr>
                <w:rFonts w:asciiTheme="minorHAnsi" w:eastAsiaTheme="minorHAnsi" w:hAnsiTheme="minorHAnsi" w:cstheme="minorBidi"/>
                <w:sz w:val="22"/>
                <w:szCs w:val="22"/>
                <w:lang w:eastAsia="en-US"/>
              </w:rPr>
              <w:t xml:space="preserve"> read with </w:t>
            </w:r>
            <w:hyperlink r:id="rId30" w:history="1">
              <w:r w:rsidRPr="0084390F">
                <w:rPr>
                  <w:rFonts w:asciiTheme="minorHAnsi" w:eastAsiaTheme="minorHAnsi" w:hAnsiTheme="minorHAnsi" w:cstheme="minorBidi"/>
                  <w:sz w:val="22"/>
                  <w:szCs w:val="22"/>
                  <w:lang w:eastAsia="en-US"/>
                </w:rPr>
                <w:t>s.5(2)(h)</w:t>
              </w:r>
            </w:hyperlink>
            <w:r w:rsidRPr="0084390F">
              <w:rPr>
                <w:rFonts w:asciiTheme="minorHAnsi" w:eastAsiaTheme="minorHAnsi" w:hAnsiTheme="minorHAnsi" w:cstheme="minorBidi"/>
                <w:sz w:val="22"/>
                <w:szCs w:val="22"/>
                <w:lang w:eastAsia="en-US"/>
              </w:rPr>
              <w:t xml:space="preserve"> and s.</w:t>
            </w:r>
            <w:hyperlink r:id="rId31" w:history="1">
              <w:r w:rsidRPr="0084390F">
                <w:rPr>
                  <w:rFonts w:asciiTheme="minorHAnsi" w:eastAsiaTheme="minorHAnsi" w:hAnsiTheme="minorHAnsi" w:cstheme="minorBidi"/>
                  <w:sz w:val="22"/>
                  <w:szCs w:val="22"/>
                  <w:lang w:eastAsia="en-US"/>
                </w:rPr>
                <w:t>5</w:t>
              </w:r>
            </w:hyperlink>
            <w:r w:rsidRPr="0084390F">
              <w:rPr>
                <w:rFonts w:asciiTheme="minorHAnsi" w:eastAsiaTheme="minorHAnsi" w:hAnsiTheme="minorHAnsi" w:cstheme="minorBidi"/>
                <w:sz w:val="22"/>
                <w:szCs w:val="22"/>
                <w:lang w:eastAsia="en-US"/>
              </w:rPr>
              <w:t>(3)(b).</w:t>
            </w:r>
          </w:p>
        </w:tc>
      </w:tr>
      <w:tr w:rsidR="002954B8" w14:paraId="53512042" w14:textId="77777777" w:rsidTr="009D44CC">
        <w:tc>
          <w:tcPr>
            <w:tcW w:w="3015" w:type="dxa"/>
          </w:tcPr>
          <w:p w14:paraId="5351203E" w14:textId="77777777" w:rsidR="006547EE" w:rsidRDefault="006547EE"/>
        </w:tc>
        <w:tc>
          <w:tcPr>
            <w:tcW w:w="2364" w:type="dxa"/>
          </w:tcPr>
          <w:p w14:paraId="5351203F" w14:textId="77777777" w:rsidR="006547EE" w:rsidRDefault="006547EE"/>
        </w:tc>
        <w:tc>
          <w:tcPr>
            <w:tcW w:w="2356" w:type="dxa"/>
          </w:tcPr>
          <w:p w14:paraId="53512040" w14:textId="77777777" w:rsidR="006547EE" w:rsidRDefault="006547EE"/>
        </w:tc>
        <w:tc>
          <w:tcPr>
            <w:tcW w:w="6825" w:type="dxa"/>
          </w:tcPr>
          <w:p w14:paraId="53512041" w14:textId="77777777" w:rsidR="006547EE" w:rsidRDefault="006547EE"/>
        </w:tc>
      </w:tr>
      <w:tr w:rsidR="002954B8" w14:paraId="5351205C" w14:textId="77777777" w:rsidTr="009D44CC">
        <w:tc>
          <w:tcPr>
            <w:tcW w:w="3015" w:type="dxa"/>
          </w:tcPr>
          <w:p w14:paraId="53512043" w14:textId="742EED82" w:rsidR="000A7FBC" w:rsidRDefault="000A7FBC" w:rsidP="000A7FBC">
            <w:r>
              <w:lastRenderedPageBreak/>
              <w:t>Shanahan v Scott</w:t>
            </w:r>
            <w:r w:rsidR="00A136A2">
              <w:t xml:space="preserve"> </w:t>
            </w:r>
            <w:r w:rsidR="00A90AE3">
              <w:t>[1957] HCA 4</w:t>
            </w:r>
          </w:p>
          <w:p w14:paraId="53512044" w14:textId="77777777" w:rsidR="000A7FBC" w:rsidRDefault="000A7FBC" w:rsidP="000A7FBC"/>
          <w:p w14:paraId="53512045" w14:textId="77777777" w:rsidR="000A7FBC" w:rsidRDefault="00EE6C9B" w:rsidP="000A7FBC">
            <w:r>
              <w:rPr>
                <w:rFonts w:ascii="Arial" w:hAnsi="Arial" w:cs="Arial"/>
                <w:noProof/>
                <w:sz w:val="20"/>
                <w:szCs w:val="20"/>
                <w:lang w:eastAsia="en-AU"/>
              </w:rPr>
              <w:drawing>
                <wp:anchor distT="0" distB="0" distL="114300" distR="114300" simplePos="0" relativeHeight="251664384" behindDoc="1" locked="0" layoutInCell="1" allowOverlap="1" wp14:anchorId="53512120" wp14:editId="53512121">
                  <wp:simplePos x="0" y="0"/>
                  <wp:positionH relativeFrom="column">
                    <wp:posOffset>-281822</wp:posOffset>
                  </wp:positionH>
                  <wp:positionV relativeFrom="paragraph">
                    <wp:posOffset>147955</wp:posOffset>
                  </wp:positionV>
                  <wp:extent cx="1972827" cy="2819400"/>
                  <wp:effectExtent l="0" t="0" r="8890" b="0"/>
                  <wp:wrapNone/>
                  <wp:docPr id="15" name="Picture 15" descr="Image result for the victorian egg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the victorian egg boar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76878" cy="2825189"/>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364" w:type="dxa"/>
          </w:tcPr>
          <w:p w14:paraId="53512046" w14:textId="77777777" w:rsidR="000A7FBC" w:rsidRDefault="000A7FBC" w:rsidP="000A7FBC">
            <w:r>
              <w:t xml:space="preserve">Marketing of Primary Products Acts 1935-1953, ss. 18 (1) (c), 43 (1) (b) (iv) – </w:t>
            </w:r>
          </w:p>
          <w:p w14:paraId="53512047" w14:textId="77777777" w:rsidR="000A7FBC" w:rsidRDefault="000A7FBC" w:rsidP="000A7FBC"/>
          <w:p w14:paraId="53512048" w14:textId="77777777" w:rsidR="000A7FBC" w:rsidRDefault="000A7FBC" w:rsidP="000A7FBC">
            <w:r>
              <w:t>Egg and Egg Pulp Marketing Board Regulations 1953, reg. 44.</w:t>
            </w:r>
          </w:p>
          <w:p w14:paraId="53512049" w14:textId="77777777" w:rsidR="000A7FBC" w:rsidRDefault="000A7FBC" w:rsidP="000A7FBC"/>
          <w:p w14:paraId="5351204A" w14:textId="77777777" w:rsidR="000A7FBC" w:rsidRDefault="000A7FBC" w:rsidP="000A7FBC">
            <w:r>
              <w:t>The purpose of this appeal by specific provision of the Egg and Egg Pulp Marketing Board Regulations 1953 of the State of Victoria. The question depends entirely upon the extent of the power of subordinate legislation conferred upon the Governor in Council of that State by the Marketing of Primary Products Acts 1935-1953. The provision the validity of which is attacked is No. 44 of those regulations</w:t>
            </w:r>
            <w:r w:rsidR="00744073">
              <w:t>.</w:t>
            </w:r>
          </w:p>
          <w:p w14:paraId="5351204B" w14:textId="77777777" w:rsidR="00744073" w:rsidRDefault="00744073" w:rsidP="000A7FBC"/>
          <w:p w14:paraId="5351204C" w14:textId="77777777" w:rsidR="00744073" w:rsidRDefault="00744073" w:rsidP="000A7FBC"/>
          <w:p w14:paraId="5351204D" w14:textId="77777777" w:rsidR="00744073" w:rsidRDefault="00744073" w:rsidP="000A7FBC"/>
          <w:p w14:paraId="5351204E" w14:textId="77777777" w:rsidR="00744073" w:rsidRDefault="00744073" w:rsidP="000A7FBC"/>
          <w:p w14:paraId="5351204F" w14:textId="77777777" w:rsidR="000A7FBC" w:rsidRDefault="000A7FBC" w:rsidP="000A7FBC"/>
        </w:tc>
        <w:tc>
          <w:tcPr>
            <w:tcW w:w="2356" w:type="dxa"/>
          </w:tcPr>
          <w:p w14:paraId="53512050" w14:textId="77777777" w:rsidR="000A7FBC" w:rsidRDefault="000A7FBC" w:rsidP="000A7FBC">
            <w:r>
              <w:t>Not applicable</w:t>
            </w:r>
          </w:p>
          <w:p w14:paraId="53512051" w14:textId="77777777" w:rsidR="00744073" w:rsidRDefault="00744073" w:rsidP="000A7FBC"/>
          <w:p w14:paraId="53512052" w14:textId="77777777" w:rsidR="00744073" w:rsidRDefault="00744073" w:rsidP="000A7FBC">
            <w:r>
              <w:t>Appeal from Supreme Court of Victoria judicial review ground of ultra vires.</w:t>
            </w:r>
          </w:p>
        </w:tc>
        <w:tc>
          <w:tcPr>
            <w:tcW w:w="6825" w:type="dxa"/>
          </w:tcPr>
          <w:p w14:paraId="53512053" w14:textId="77777777" w:rsidR="000A7FBC" w:rsidRDefault="00744073" w:rsidP="00744073">
            <w:r>
              <w:t>The Marketing Act authorised egg producers in Victoria to establish an Egg Board in which all eggs produced in Victoria would be vested, marketed and sold by the Board.</w:t>
            </w:r>
          </w:p>
          <w:p w14:paraId="53512054" w14:textId="77777777" w:rsidR="00744073" w:rsidRDefault="00744073" w:rsidP="00744073"/>
          <w:p w14:paraId="53512055" w14:textId="77777777" w:rsidR="00744073" w:rsidRDefault="00744073" w:rsidP="00744073">
            <w:r>
              <w:t>Section 43(1) said the Gov could make regulations “necessary or expedient for the administration of the Act, or for carrying out the objects of the Act.”</w:t>
            </w:r>
          </w:p>
          <w:p w14:paraId="53512056" w14:textId="77777777" w:rsidR="00744073" w:rsidRDefault="00744073" w:rsidP="00744073"/>
          <w:p w14:paraId="53512057" w14:textId="77777777" w:rsidR="00744073" w:rsidRDefault="00744073" w:rsidP="00744073">
            <w:r>
              <w:t xml:space="preserve">The Gov made reg 44 which made it an offence to place eggs in cold storage or subject them to preservative treatment without the consent of the Board.  </w:t>
            </w:r>
          </w:p>
          <w:p w14:paraId="53512058" w14:textId="77777777" w:rsidR="00744073" w:rsidRDefault="00744073" w:rsidP="00744073"/>
          <w:p w14:paraId="53512059" w14:textId="77777777" w:rsidR="00744073" w:rsidRDefault="00744073" w:rsidP="00744073">
            <w:r>
              <w:t>The purpose of this was to make it difficult in Victoria to store or sell other eggs not under the control of the Board.</w:t>
            </w:r>
          </w:p>
          <w:p w14:paraId="5351205A" w14:textId="77777777" w:rsidR="00744073" w:rsidRDefault="00744073" w:rsidP="00744073"/>
          <w:p w14:paraId="5351205B" w14:textId="77777777" w:rsidR="00744073" w:rsidRDefault="00744073" w:rsidP="00744073">
            <w:r>
              <w:t>High Court held the regulation invalid because the regulation went beyond what the Act requires as it wasn’t expedient for the administration of the Acts or for carrying out the objects of the Act.  The regulation applies to eggs that the Board has nothing to do with.</w:t>
            </w:r>
          </w:p>
        </w:tc>
      </w:tr>
      <w:tr w:rsidR="002954B8" w14:paraId="5351207C" w14:textId="77777777" w:rsidTr="009D44CC">
        <w:tc>
          <w:tcPr>
            <w:tcW w:w="3015" w:type="dxa"/>
          </w:tcPr>
          <w:p w14:paraId="5351205D" w14:textId="678AB872" w:rsidR="000A7FBC" w:rsidRDefault="001C0C6C" w:rsidP="000A7FBC">
            <w:r>
              <w:lastRenderedPageBreak/>
              <w:t>Foley v Padley</w:t>
            </w:r>
            <w:r w:rsidR="00D94433">
              <w:t xml:space="preserve"> [1984] HCA 50</w:t>
            </w:r>
          </w:p>
          <w:p w14:paraId="5351205E" w14:textId="77777777" w:rsidR="001C0C6C" w:rsidRDefault="001C0C6C" w:rsidP="000A7FBC"/>
          <w:p w14:paraId="5351205F" w14:textId="77777777" w:rsidR="001C0C6C" w:rsidRDefault="001C0C6C" w:rsidP="000A7FBC"/>
          <w:p w14:paraId="53512060" w14:textId="77777777" w:rsidR="001C0C6C" w:rsidRDefault="001C0C6C" w:rsidP="000A7FBC"/>
        </w:tc>
        <w:tc>
          <w:tcPr>
            <w:tcW w:w="2364" w:type="dxa"/>
          </w:tcPr>
          <w:p w14:paraId="53512061" w14:textId="77777777" w:rsidR="000A7FBC" w:rsidRDefault="001C0C6C" w:rsidP="000A7FBC">
            <w:r>
              <w:t xml:space="preserve">S. 11(1)(a) Rundle Street Mall Act </w:t>
            </w:r>
          </w:p>
          <w:p w14:paraId="53512062" w14:textId="77777777" w:rsidR="001C0C6C" w:rsidRDefault="001C0C6C" w:rsidP="000A7FBC"/>
          <w:p w14:paraId="53512063" w14:textId="77777777" w:rsidR="001C0C6C" w:rsidRDefault="001C0C6C" w:rsidP="000A7FBC">
            <w:r>
              <w:t>Allows Adelaide City Council to make by-laws “</w:t>
            </w:r>
            <w:r w:rsidRPr="001C0C6C">
              <w:rPr>
                <w:i/>
              </w:rPr>
              <w:t>regulating, controlling or prohibiting any activity in the Mall or any activity in the vicinity of the Mall that is, in the opinion of the Council, likely to affect the use or enjoyment of the Mall</w:t>
            </w:r>
            <w:r>
              <w:t>.”</w:t>
            </w:r>
          </w:p>
          <w:p w14:paraId="53512064" w14:textId="77777777" w:rsidR="001C0C6C" w:rsidRDefault="001C0C6C" w:rsidP="000A7FBC"/>
          <w:p w14:paraId="53512065" w14:textId="77777777" w:rsidR="001C0C6C" w:rsidRDefault="001C0C6C" w:rsidP="000A7FBC">
            <w:r>
              <w:t>By Law No. 8 made providing that “No person shall give out or distribute anything in the Mall or in any public place adjacent to the mall to any bystander or passer by without the permission of the Council.</w:t>
            </w:r>
          </w:p>
          <w:p w14:paraId="53512066" w14:textId="77777777" w:rsidR="00A0348A" w:rsidRDefault="00A0348A" w:rsidP="000A7FBC"/>
          <w:p w14:paraId="53512067" w14:textId="77777777" w:rsidR="00A0348A" w:rsidRDefault="00A0348A" w:rsidP="000A7FBC"/>
          <w:p w14:paraId="53512068" w14:textId="77777777" w:rsidR="00A0348A" w:rsidRDefault="00A0348A" w:rsidP="000A7FBC"/>
          <w:p w14:paraId="53512069" w14:textId="77777777" w:rsidR="00A0348A" w:rsidRDefault="00A0348A" w:rsidP="000A7FBC"/>
          <w:p w14:paraId="5351206A" w14:textId="77777777" w:rsidR="00A0348A" w:rsidRDefault="00A0348A" w:rsidP="000A7FBC"/>
          <w:p w14:paraId="5351206B" w14:textId="77777777" w:rsidR="00A0348A" w:rsidRDefault="00A0348A" w:rsidP="000A7FBC"/>
          <w:p w14:paraId="5351206C" w14:textId="77777777" w:rsidR="00A0348A" w:rsidRDefault="00A0348A" w:rsidP="000A7FBC"/>
          <w:p w14:paraId="5351206D" w14:textId="77777777" w:rsidR="00A0348A" w:rsidRDefault="00A0348A" w:rsidP="000A7FBC"/>
        </w:tc>
        <w:tc>
          <w:tcPr>
            <w:tcW w:w="2356" w:type="dxa"/>
          </w:tcPr>
          <w:p w14:paraId="5351206E" w14:textId="77777777" w:rsidR="00A0348A" w:rsidRDefault="00A0348A" w:rsidP="000A7FBC">
            <w:r>
              <w:t xml:space="preserve">The appellant was charged before a Court of Summary Jurisdiction in Adelaide with giving out an item of printed material to a passer-by in the Mall without the permission of the Council contrary to s.1 of the By-Law. </w:t>
            </w:r>
          </w:p>
          <w:p w14:paraId="5351206F" w14:textId="77777777" w:rsidR="00A0348A" w:rsidRDefault="00A0348A" w:rsidP="000A7FBC"/>
          <w:p w14:paraId="53512070" w14:textId="77777777" w:rsidR="00A0348A" w:rsidRDefault="00A0348A" w:rsidP="000A7FBC">
            <w:r>
              <w:t xml:space="preserve">The Stipendiary Magistrate reserved for consideration by the Supreme Court the question whether s.1 of the By-Law is valid. </w:t>
            </w:r>
          </w:p>
          <w:p w14:paraId="53512071" w14:textId="77777777" w:rsidR="00A0348A" w:rsidRDefault="00A0348A" w:rsidP="000A7FBC"/>
          <w:p w14:paraId="53512072" w14:textId="77777777" w:rsidR="00A0348A" w:rsidRDefault="00A0348A" w:rsidP="000A7FBC">
            <w:r>
              <w:t xml:space="preserve">The Full Court of the Supreme Court upheld its validity. </w:t>
            </w:r>
          </w:p>
          <w:p w14:paraId="53512073" w14:textId="77777777" w:rsidR="00A0348A" w:rsidRDefault="00A0348A" w:rsidP="000A7FBC"/>
          <w:p w14:paraId="53512074" w14:textId="77777777" w:rsidR="00A0348A" w:rsidRDefault="00A0348A" w:rsidP="000A7FBC">
            <w:r>
              <w:t>This appeal is brought by special leave against that judgment.</w:t>
            </w:r>
          </w:p>
        </w:tc>
        <w:tc>
          <w:tcPr>
            <w:tcW w:w="6825" w:type="dxa"/>
          </w:tcPr>
          <w:p w14:paraId="53512075" w14:textId="77777777" w:rsidR="000A7FBC" w:rsidRDefault="00A0348A" w:rsidP="000A7FBC">
            <w:r>
              <w:t>The By-law is valid.  The Council could reasonable have formed the opinion that the prohibited activity was likely to affect the use of enjoyment of the Mall.</w:t>
            </w:r>
          </w:p>
          <w:p w14:paraId="53512076" w14:textId="77777777" w:rsidR="00A0348A" w:rsidRDefault="00A0348A" w:rsidP="000A7FBC"/>
          <w:p w14:paraId="53512077" w14:textId="77777777" w:rsidR="00A0348A" w:rsidRDefault="00A0348A" w:rsidP="000A7FBC">
            <w:r>
              <w:t xml:space="preserve">The Legislature left it to the Council to decide whether it should regulate, control or prohibit an activity.  </w:t>
            </w:r>
          </w:p>
          <w:p w14:paraId="53512078" w14:textId="77777777" w:rsidR="00A0348A" w:rsidRDefault="00A0348A" w:rsidP="000A7FBC"/>
          <w:p w14:paraId="53512079" w14:textId="77777777" w:rsidR="00A0348A" w:rsidRDefault="00A0348A" w:rsidP="000A7FBC">
            <w:r>
              <w:t xml:space="preserve">The High Court here really looked at this from a “reasonableness” test.  Could the Council reasonably have formed the opinion that the activity is likely to affect the use or enjoyment of the Mall. </w:t>
            </w:r>
          </w:p>
          <w:p w14:paraId="5351207A" w14:textId="77777777" w:rsidR="00A0348A" w:rsidRDefault="00A0348A" w:rsidP="000A7FBC"/>
          <w:p w14:paraId="5351207B" w14:textId="77777777" w:rsidR="00A0348A" w:rsidRDefault="00EE6C9B" w:rsidP="000A7FBC">
            <w:r>
              <w:rPr>
                <w:rFonts w:ascii="Arial" w:hAnsi="Arial" w:cs="Arial"/>
                <w:noProof/>
                <w:sz w:val="20"/>
                <w:szCs w:val="20"/>
                <w:lang w:eastAsia="en-AU"/>
              </w:rPr>
              <w:drawing>
                <wp:anchor distT="0" distB="0" distL="114300" distR="114300" simplePos="0" relativeHeight="251665408" behindDoc="0" locked="0" layoutInCell="1" allowOverlap="1" wp14:anchorId="53512122" wp14:editId="53512123">
                  <wp:simplePos x="0" y="0"/>
                  <wp:positionH relativeFrom="column">
                    <wp:posOffset>144780</wp:posOffset>
                  </wp:positionH>
                  <wp:positionV relativeFrom="paragraph">
                    <wp:posOffset>365760</wp:posOffset>
                  </wp:positionV>
                  <wp:extent cx="3724275" cy="3484912"/>
                  <wp:effectExtent l="0" t="0" r="0" b="1270"/>
                  <wp:wrapNone/>
                  <wp:docPr id="16" name="Picture 16" descr="Image result for picture of rundle street 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icture of rundle street mall"/>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24275" cy="3484912"/>
                          </a:xfrm>
                          <a:prstGeom prst="rect">
                            <a:avLst/>
                          </a:prstGeom>
                          <a:noFill/>
                          <a:ln>
                            <a:noFill/>
                          </a:ln>
                        </pic:spPr>
                      </pic:pic>
                    </a:graphicData>
                  </a:graphic>
                  <wp14:sizeRelH relativeFrom="page">
                    <wp14:pctWidth>0</wp14:pctWidth>
                  </wp14:sizeRelH>
                  <wp14:sizeRelV relativeFrom="page">
                    <wp14:pctHeight>0</wp14:pctHeight>
                  </wp14:sizeRelV>
                </wp:anchor>
              </w:drawing>
            </w:r>
            <w:r w:rsidR="00A0348A">
              <w:t>Who agrees?  Brennan dissented.</w:t>
            </w:r>
          </w:p>
        </w:tc>
      </w:tr>
    </w:tbl>
    <w:p w14:paraId="53512113" w14:textId="77777777" w:rsidR="007B68B9" w:rsidRDefault="007B68B9"/>
    <w:sectPr w:rsidR="007B68B9" w:rsidSect="00644B01">
      <w:headerReference w:type="even" r:id="rId34"/>
      <w:headerReference w:type="default" r:id="rId35"/>
      <w:headerReference w:type="first" r:id="rId36"/>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280CFC" w14:textId="77777777" w:rsidR="00644B01" w:rsidRDefault="00644B01" w:rsidP="00451CE9">
      <w:pPr>
        <w:spacing w:after="0" w:line="240" w:lineRule="auto"/>
      </w:pPr>
      <w:r>
        <w:separator/>
      </w:r>
    </w:p>
  </w:endnote>
  <w:endnote w:type="continuationSeparator" w:id="0">
    <w:p w14:paraId="4008DD6A" w14:textId="77777777" w:rsidR="00644B01" w:rsidRDefault="00644B01" w:rsidP="00451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EA066" w14:textId="77777777" w:rsidR="00644B01" w:rsidRDefault="00644B01" w:rsidP="00451CE9">
      <w:pPr>
        <w:spacing w:after="0" w:line="240" w:lineRule="auto"/>
      </w:pPr>
      <w:r>
        <w:separator/>
      </w:r>
    </w:p>
  </w:footnote>
  <w:footnote w:type="continuationSeparator" w:id="0">
    <w:p w14:paraId="505AB30D" w14:textId="77777777" w:rsidR="00644B01" w:rsidRDefault="00644B01" w:rsidP="00451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5A26C" w14:textId="2FF00E2B" w:rsidR="00451CE9" w:rsidRDefault="00451CE9">
    <w:pPr>
      <w:pStyle w:val="Header"/>
    </w:pPr>
    <w:r>
      <w:rPr>
        <w:noProof/>
      </w:rPr>
      <mc:AlternateContent>
        <mc:Choice Requires="wps">
          <w:drawing>
            <wp:anchor distT="0" distB="0" distL="0" distR="0" simplePos="0" relativeHeight="251659264" behindDoc="0" locked="0" layoutInCell="1" allowOverlap="1" wp14:anchorId="275C63EF" wp14:editId="77B8BF82">
              <wp:simplePos x="635" y="635"/>
              <wp:positionH relativeFrom="page">
                <wp:align>center</wp:align>
              </wp:positionH>
              <wp:positionV relativeFrom="page">
                <wp:align>top</wp:align>
              </wp:positionV>
              <wp:extent cx="443865" cy="443865"/>
              <wp:effectExtent l="0" t="0" r="15240" b="8890"/>
              <wp:wrapNone/>
              <wp:docPr id="1079710204" name="Text Box 2"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037A999" w14:textId="42721D36" w:rsidR="00451CE9" w:rsidRPr="00451CE9" w:rsidRDefault="00451CE9" w:rsidP="00451CE9">
                          <w:pPr>
                            <w:spacing w:after="0"/>
                            <w:rPr>
                              <w:rFonts w:ascii="Calibri" w:eastAsia="Calibri" w:hAnsi="Calibri" w:cs="Calibri"/>
                              <w:noProof/>
                              <w:color w:val="EEDC00"/>
                              <w:sz w:val="24"/>
                              <w:szCs w:val="24"/>
                            </w:rPr>
                          </w:pPr>
                          <w:r w:rsidRPr="00451CE9">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75C63EF" id="_x0000_t202" coordsize="21600,21600" o:spt="202" path="m,l,21600r21600,l21600,xe">
              <v:stroke joinstyle="miter"/>
              <v:path gradientshapeok="t" o:connecttype="rect"/>
            </v:shapetype>
            <v:shape id="Text Box 2" o:spid="_x0000_s1026" type="#_x0000_t202" alt="RMIT Classification: Trusted"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1037A999" w14:textId="42721D36" w:rsidR="00451CE9" w:rsidRPr="00451CE9" w:rsidRDefault="00451CE9" w:rsidP="00451CE9">
                    <w:pPr>
                      <w:spacing w:after="0"/>
                      <w:rPr>
                        <w:rFonts w:ascii="Calibri" w:eastAsia="Calibri" w:hAnsi="Calibri" w:cs="Calibri"/>
                        <w:noProof/>
                        <w:color w:val="EEDC00"/>
                        <w:sz w:val="24"/>
                        <w:szCs w:val="24"/>
                      </w:rPr>
                    </w:pPr>
                    <w:r w:rsidRPr="00451CE9">
                      <w:rPr>
                        <w:rFonts w:ascii="Calibri" w:eastAsia="Calibri" w:hAnsi="Calibri" w:cs="Calibri"/>
                        <w:noProof/>
                        <w:color w:val="EEDC00"/>
                        <w:sz w:val="24"/>
                        <w:szCs w:val="24"/>
                      </w:rPr>
                      <w:t>RMIT Classification: Trusted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DFE2C" w14:textId="2F7EE539" w:rsidR="00451CE9" w:rsidRDefault="00451CE9">
    <w:pPr>
      <w:pStyle w:val="Header"/>
    </w:pPr>
    <w:r>
      <w:rPr>
        <w:noProof/>
      </w:rPr>
      <mc:AlternateContent>
        <mc:Choice Requires="wps">
          <w:drawing>
            <wp:anchor distT="0" distB="0" distL="0" distR="0" simplePos="0" relativeHeight="251660288" behindDoc="0" locked="0" layoutInCell="1" allowOverlap="1" wp14:anchorId="322C9ADE" wp14:editId="07DF0C11">
              <wp:simplePos x="635" y="635"/>
              <wp:positionH relativeFrom="page">
                <wp:align>center</wp:align>
              </wp:positionH>
              <wp:positionV relativeFrom="page">
                <wp:align>top</wp:align>
              </wp:positionV>
              <wp:extent cx="443865" cy="443865"/>
              <wp:effectExtent l="0" t="0" r="15240" b="8890"/>
              <wp:wrapNone/>
              <wp:docPr id="460740633" name="Text Box 3"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6FC5BB" w14:textId="75017531" w:rsidR="00451CE9" w:rsidRPr="00451CE9" w:rsidRDefault="00451CE9" w:rsidP="00451CE9">
                          <w:pPr>
                            <w:spacing w:after="0"/>
                            <w:rPr>
                              <w:rFonts w:ascii="Calibri" w:eastAsia="Calibri" w:hAnsi="Calibri" w:cs="Calibri"/>
                              <w:noProof/>
                              <w:color w:val="EEDC00"/>
                              <w:sz w:val="24"/>
                              <w:szCs w:val="24"/>
                            </w:rPr>
                          </w:pPr>
                          <w:r w:rsidRPr="00451CE9">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2C9ADE" id="_x0000_t202" coordsize="21600,21600" o:spt="202" path="m,l,21600r21600,l21600,xe">
              <v:stroke joinstyle="miter"/>
              <v:path gradientshapeok="t" o:connecttype="rect"/>
            </v:shapetype>
            <v:shape id="Text Box 3" o:spid="_x0000_s1027" type="#_x0000_t202" alt="RMIT Classification: Trusted"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26FC5BB" w14:textId="75017531" w:rsidR="00451CE9" w:rsidRPr="00451CE9" w:rsidRDefault="00451CE9" w:rsidP="00451CE9">
                    <w:pPr>
                      <w:spacing w:after="0"/>
                      <w:rPr>
                        <w:rFonts w:ascii="Calibri" w:eastAsia="Calibri" w:hAnsi="Calibri" w:cs="Calibri"/>
                        <w:noProof/>
                        <w:color w:val="EEDC00"/>
                        <w:sz w:val="24"/>
                        <w:szCs w:val="24"/>
                      </w:rPr>
                    </w:pPr>
                    <w:r w:rsidRPr="00451CE9">
                      <w:rPr>
                        <w:rFonts w:ascii="Calibri" w:eastAsia="Calibri" w:hAnsi="Calibri" w:cs="Calibri"/>
                        <w:noProof/>
                        <w:color w:val="EEDC00"/>
                        <w:sz w:val="24"/>
                        <w:szCs w:val="24"/>
                      </w:rPr>
                      <w:t>RMIT Classification: Trusted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F3F12" w14:textId="43CF0306" w:rsidR="00451CE9" w:rsidRDefault="00451CE9">
    <w:pPr>
      <w:pStyle w:val="Header"/>
    </w:pPr>
    <w:r>
      <w:rPr>
        <w:noProof/>
      </w:rPr>
      <mc:AlternateContent>
        <mc:Choice Requires="wps">
          <w:drawing>
            <wp:anchor distT="0" distB="0" distL="0" distR="0" simplePos="0" relativeHeight="251658240" behindDoc="0" locked="0" layoutInCell="1" allowOverlap="1" wp14:anchorId="77B3C362" wp14:editId="49EB2347">
              <wp:simplePos x="635" y="635"/>
              <wp:positionH relativeFrom="page">
                <wp:align>center</wp:align>
              </wp:positionH>
              <wp:positionV relativeFrom="page">
                <wp:align>top</wp:align>
              </wp:positionV>
              <wp:extent cx="443865" cy="443865"/>
              <wp:effectExtent l="0" t="0" r="15240" b="8890"/>
              <wp:wrapNone/>
              <wp:docPr id="1703762658" name="Text Box 1"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B14193" w14:textId="482D721A" w:rsidR="00451CE9" w:rsidRPr="00451CE9" w:rsidRDefault="00451CE9" w:rsidP="00451CE9">
                          <w:pPr>
                            <w:spacing w:after="0"/>
                            <w:rPr>
                              <w:rFonts w:ascii="Calibri" w:eastAsia="Calibri" w:hAnsi="Calibri" w:cs="Calibri"/>
                              <w:noProof/>
                              <w:color w:val="EEDC00"/>
                              <w:sz w:val="24"/>
                              <w:szCs w:val="24"/>
                            </w:rPr>
                          </w:pPr>
                          <w:r w:rsidRPr="00451CE9">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B3C362" id="_x0000_t202" coordsize="21600,21600" o:spt="202" path="m,l,21600r21600,l21600,xe">
              <v:stroke joinstyle="miter"/>
              <v:path gradientshapeok="t" o:connecttype="rect"/>
            </v:shapetype>
            <v:shape id="Text Box 1" o:spid="_x0000_s1028" type="#_x0000_t202" alt="RMIT Classification: Trusted"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41B14193" w14:textId="482D721A" w:rsidR="00451CE9" w:rsidRPr="00451CE9" w:rsidRDefault="00451CE9" w:rsidP="00451CE9">
                    <w:pPr>
                      <w:spacing w:after="0"/>
                      <w:rPr>
                        <w:rFonts w:ascii="Calibri" w:eastAsia="Calibri" w:hAnsi="Calibri" w:cs="Calibri"/>
                        <w:noProof/>
                        <w:color w:val="EEDC00"/>
                        <w:sz w:val="24"/>
                        <w:szCs w:val="24"/>
                      </w:rPr>
                    </w:pPr>
                    <w:r w:rsidRPr="00451CE9">
                      <w:rPr>
                        <w:rFonts w:ascii="Calibri" w:eastAsia="Calibri" w:hAnsi="Calibri" w:cs="Calibri"/>
                        <w:noProof/>
                        <w:color w:val="EEDC00"/>
                        <w:sz w:val="24"/>
                        <w:szCs w:val="24"/>
                      </w:rPr>
                      <w:t>RMIT Classification: Trusted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6B3190"/>
    <w:multiLevelType w:val="hybridMultilevel"/>
    <w:tmpl w:val="1B5E6400"/>
    <w:lvl w:ilvl="0" w:tplc="0C090017">
      <w:start w:val="1"/>
      <w:numFmt w:val="lowerLetter"/>
      <w:lvlText w:val="%1)"/>
      <w:lvlJc w:val="left"/>
      <w:pPr>
        <w:ind w:left="769" w:hanging="360"/>
      </w:pPr>
    </w:lvl>
    <w:lvl w:ilvl="1" w:tplc="0C090019" w:tentative="1">
      <w:start w:val="1"/>
      <w:numFmt w:val="lowerLetter"/>
      <w:lvlText w:val="%2."/>
      <w:lvlJc w:val="left"/>
      <w:pPr>
        <w:ind w:left="1489" w:hanging="360"/>
      </w:pPr>
    </w:lvl>
    <w:lvl w:ilvl="2" w:tplc="0C09001B" w:tentative="1">
      <w:start w:val="1"/>
      <w:numFmt w:val="lowerRoman"/>
      <w:lvlText w:val="%3."/>
      <w:lvlJc w:val="right"/>
      <w:pPr>
        <w:ind w:left="2209" w:hanging="180"/>
      </w:pPr>
    </w:lvl>
    <w:lvl w:ilvl="3" w:tplc="0C09000F" w:tentative="1">
      <w:start w:val="1"/>
      <w:numFmt w:val="decimal"/>
      <w:lvlText w:val="%4."/>
      <w:lvlJc w:val="left"/>
      <w:pPr>
        <w:ind w:left="2929" w:hanging="360"/>
      </w:pPr>
    </w:lvl>
    <w:lvl w:ilvl="4" w:tplc="0C090019" w:tentative="1">
      <w:start w:val="1"/>
      <w:numFmt w:val="lowerLetter"/>
      <w:lvlText w:val="%5."/>
      <w:lvlJc w:val="left"/>
      <w:pPr>
        <w:ind w:left="3649" w:hanging="360"/>
      </w:pPr>
    </w:lvl>
    <w:lvl w:ilvl="5" w:tplc="0C09001B" w:tentative="1">
      <w:start w:val="1"/>
      <w:numFmt w:val="lowerRoman"/>
      <w:lvlText w:val="%6."/>
      <w:lvlJc w:val="right"/>
      <w:pPr>
        <w:ind w:left="4369" w:hanging="180"/>
      </w:pPr>
    </w:lvl>
    <w:lvl w:ilvl="6" w:tplc="0C09000F" w:tentative="1">
      <w:start w:val="1"/>
      <w:numFmt w:val="decimal"/>
      <w:lvlText w:val="%7."/>
      <w:lvlJc w:val="left"/>
      <w:pPr>
        <w:ind w:left="5089" w:hanging="360"/>
      </w:pPr>
    </w:lvl>
    <w:lvl w:ilvl="7" w:tplc="0C090019" w:tentative="1">
      <w:start w:val="1"/>
      <w:numFmt w:val="lowerLetter"/>
      <w:lvlText w:val="%8."/>
      <w:lvlJc w:val="left"/>
      <w:pPr>
        <w:ind w:left="5809" w:hanging="360"/>
      </w:pPr>
    </w:lvl>
    <w:lvl w:ilvl="8" w:tplc="0C09001B" w:tentative="1">
      <w:start w:val="1"/>
      <w:numFmt w:val="lowerRoman"/>
      <w:lvlText w:val="%9."/>
      <w:lvlJc w:val="right"/>
      <w:pPr>
        <w:ind w:left="6529" w:hanging="180"/>
      </w:pPr>
    </w:lvl>
  </w:abstractNum>
  <w:num w:numId="1" w16cid:durableId="312027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EE"/>
    <w:rsid w:val="00004165"/>
    <w:rsid w:val="0001365F"/>
    <w:rsid w:val="00015AEC"/>
    <w:rsid w:val="0002212E"/>
    <w:rsid w:val="00022349"/>
    <w:rsid w:val="00024F88"/>
    <w:rsid w:val="00027F7C"/>
    <w:rsid w:val="00030A75"/>
    <w:rsid w:val="00035D7B"/>
    <w:rsid w:val="00040615"/>
    <w:rsid w:val="000547BF"/>
    <w:rsid w:val="00071C72"/>
    <w:rsid w:val="00077A22"/>
    <w:rsid w:val="000A1BE7"/>
    <w:rsid w:val="000A7FBC"/>
    <w:rsid w:val="000B1D18"/>
    <w:rsid w:val="000C2B88"/>
    <w:rsid w:val="000F32F1"/>
    <w:rsid w:val="000F6007"/>
    <w:rsid w:val="0010363E"/>
    <w:rsid w:val="00116A37"/>
    <w:rsid w:val="001263C3"/>
    <w:rsid w:val="00127241"/>
    <w:rsid w:val="001315A2"/>
    <w:rsid w:val="00137BE8"/>
    <w:rsid w:val="0014230D"/>
    <w:rsid w:val="0014331A"/>
    <w:rsid w:val="001434FA"/>
    <w:rsid w:val="00147086"/>
    <w:rsid w:val="001753C8"/>
    <w:rsid w:val="00175C3C"/>
    <w:rsid w:val="00177F08"/>
    <w:rsid w:val="001805CE"/>
    <w:rsid w:val="001861F5"/>
    <w:rsid w:val="00193B87"/>
    <w:rsid w:val="001A2D49"/>
    <w:rsid w:val="001B3EF3"/>
    <w:rsid w:val="001C0C6C"/>
    <w:rsid w:val="001D3A5F"/>
    <w:rsid w:val="001E30ED"/>
    <w:rsid w:val="001E41CB"/>
    <w:rsid w:val="001E50F6"/>
    <w:rsid w:val="00200C7E"/>
    <w:rsid w:val="0020240C"/>
    <w:rsid w:val="00202CF5"/>
    <w:rsid w:val="00215F1E"/>
    <w:rsid w:val="00220172"/>
    <w:rsid w:val="0023022D"/>
    <w:rsid w:val="00235B0E"/>
    <w:rsid w:val="002453B2"/>
    <w:rsid w:val="00246EC9"/>
    <w:rsid w:val="002954B8"/>
    <w:rsid w:val="002A035F"/>
    <w:rsid w:val="002A42ED"/>
    <w:rsid w:val="002A7B57"/>
    <w:rsid w:val="002C4876"/>
    <w:rsid w:val="002D550C"/>
    <w:rsid w:val="002E224C"/>
    <w:rsid w:val="002E5474"/>
    <w:rsid w:val="002F015B"/>
    <w:rsid w:val="00303EAA"/>
    <w:rsid w:val="003061FB"/>
    <w:rsid w:val="00312835"/>
    <w:rsid w:val="0032060B"/>
    <w:rsid w:val="00323817"/>
    <w:rsid w:val="00324234"/>
    <w:rsid w:val="00341CB4"/>
    <w:rsid w:val="0034270F"/>
    <w:rsid w:val="00343DE9"/>
    <w:rsid w:val="0038221F"/>
    <w:rsid w:val="003875EF"/>
    <w:rsid w:val="00390A0C"/>
    <w:rsid w:val="003A3689"/>
    <w:rsid w:val="003B3B44"/>
    <w:rsid w:val="003C3E33"/>
    <w:rsid w:val="003C4D05"/>
    <w:rsid w:val="003E4E2E"/>
    <w:rsid w:val="003F1106"/>
    <w:rsid w:val="003F1A07"/>
    <w:rsid w:val="003F32A7"/>
    <w:rsid w:val="004032CB"/>
    <w:rsid w:val="00403634"/>
    <w:rsid w:val="0041535F"/>
    <w:rsid w:val="00426C50"/>
    <w:rsid w:val="00434CA1"/>
    <w:rsid w:val="00451912"/>
    <w:rsid w:val="00451CE9"/>
    <w:rsid w:val="00454252"/>
    <w:rsid w:val="004775F7"/>
    <w:rsid w:val="00484569"/>
    <w:rsid w:val="00492293"/>
    <w:rsid w:val="004A5BE3"/>
    <w:rsid w:val="004C205A"/>
    <w:rsid w:val="004C6E5D"/>
    <w:rsid w:val="004D5D34"/>
    <w:rsid w:val="004D7F72"/>
    <w:rsid w:val="004F100A"/>
    <w:rsid w:val="004F43CF"/>
    <w:rsid w:val="0051562F"/>
    <w:rsid w:val="005208DF"/>
    <w:rsid w:val="00536911"/>
    <w:rsid w:val="0054152F"/>
    <w:rsid w:val="00542735"/>
    <w:rsid w:val="0054472B"/>
    <w:rsid w:val="0055008C"/>
    <w:rsid w:val="00567EF2"/>
    <w:rsid w:val="00574BAB"/>
    <w:rsid w:val="0058212B"/>
    <w:rsid w:val="0058735B"/>
    <w:rsid w:val="005A7386"/>
    <w:rsid w:val="005B120E"/>
    <w:rsid w:val="005B1F98"/>
    <w:rsid w:val="005C59A0"/>
    <w:rsid w:val="005D0018"/>
    <w:rsid w:val="005E030E"/>
    <w:rsid w:val="005E578B"/>
    <w:rsid w:val="005F1E62"/>
    <w:rsid w:val="005F2E57"/>
    <w:rsid w:val="00611FD2"/>
    <w:rsid w:val="006213FE"/>
    <w:rsid w:val="006258FD"/>
    <w:rsid w:val="00627823"/>
    <w:rsid w:val="0063587B"/>
    <w:rsid w:val="00635ED8"/>
    <w:rsid w:val="00644B01"/>
    <w:rsid w:val="006547EE"/>
    <w:rsid w:val="00664285"/>
    <w:rsid w:val="006B055C"/>
    <w:rsid w:val="006B7CC6"/>
    <w:rsid w:val="006C0D96"/>
    <w:rsid w:val="006C3C0C"/>
    <w:rsid w:val="006C3DCF"/>
    <w:rsid w:val="006E0AC3"/>
    <w:rsid w:val="006F505F"/>
    <w:rsid w:val="0071452F"/>
    <w:rsid w:val="00720824"/>
    <w:rsid w:val="00721213"/>
    <w:rsid w:val="00731E31"/>
    <w:rsid w:val="007339CB"/>
    <w:rsid w:val="00741BC9"/>
    <w:rsid w:val="00744073"/>
    <w:rsid w:val="007475EA"/>
    <w:rsid w:val="00751A08"/>
    <w:rsid w:val="00756DAE"/>
    <w:rsid w:val="00767E80"/>
    <w:rsid w:val="00770A75"/>
    <w:rsid w:val="007755CF"/>
    <w:rsid w:val="007777D0"/>
    <w:rsid w:val="00787709"/>
    <w:rsid w:val="007A21F0"/>
    <w:rsid w:val="007B02FD"/>
    <w:rsid w:val="007B1F4F"/>
    <w:rsid w:val="007B68B9"/>
    <w:rsid w:val="007C4A05"/>
    <w:rsid w:val="007D7302"/>
    <w:rsid w:val="007E0258"/>
    <w:rsid w:val="007F3163"/>
    <w:rsid w:val="00800E5E"/>
    <w:rsid w:val="008053FD"/>
    <w:rsid w:val="008230BB"/>
    <w:rsid w:val="00836CF4"/>
    <w:rsid w:val="0084390F"/>
    <w:rsid w:val="00847A44"/>
    <w:rsid w:val="00850F7F"/>
    <w:rsid w:val="00851D03"/>
    <w:rsid w:val="00857B5A"/>
    <w:rsid w:val="0086160C"/>
    <w:rsid w:val="00881975"/>
    <w:rsid w:val="0088790C"/>
    <w:rsid w:val="00890176"/>
    <w:rsid w:val="008C7664"/>
    <w:rsid w:val="008F7155"/>
    <w:rsid w:val="00903C01"/>
    <w:rsid w:val="009247AF"/>
    <w:rsid w:val="00937954"/>
    <w:rsid w:val="00957EAE"/>
    <w:rsid w:val="009740B7"/>
    <w:rsid w:val="00993C14"/>
    <w:rsid w:val="00994490"/>
    <w:rsid w:val="009967AC"/>
    <w:rsid w:val="009A1EE5"/>
    <w:rsid w:val="009A6A1C"/>
    <w:rsid w:val="009B1CF1"/>
    <w:rsid w:val="009C3B1C"/>
    <w:rsid w:val="009D44CC"/>
    <w:rsid w:val="009D7055"/>
    <w:rsid w:val="009E3155"/>
    <w:rsid w:val="009E68D7"/>
    <w:rsid w:val="00A0348A"/>
    <w:rsid w:val="00A136A2"/>
    <w:rsid w:val="00A221B7"/>
    <w:rsid w:val="00A221CD"/>
    <w:rsid w:val="00A30DFF"/>
    <w:rsid w:val="00A30E7D"/>
    <w:rsid w:val="00A31AA1"/>
    <w:rsid w:val="00A40CFF"/>
    <w:rsid w:val="00A45BA6"/>
    <w:rsid w:val="00A650F4"/>
    <w:rsid w:val="00A65DA5"/>
    <w:rsid w:val="00A87F58"/>
    <w:rsid w:val="00A90AE3"/>
    <w:rsid w:val="00A965F9"/>
    <w:rsid w:val="00AA63AD"/>
    <w:rsid w:val="00AC2438"/>
    <w:rsid w:val="00AD56F8"/>
    <w:rsid w:val="00AE7E02"/>
    <w:rsid w:val="00AF0549"/>
    <w:rsid w:val="00AF4593"/>
    <w:rsid w:val="00AF5E86"/>
    <w:rsid w:val="00B14E67"/>
    <w:rsid w:val="00B158ED"/>
    <w:rsid w:val="00B269A4"/>
    <w:rsid w:val="00B32DF0"/>
    <w:rsid w:val="00B474AB"/>
    <w:rsid w:val="00B50B0E"/>
    <w:rsid w:val="00B6015C"/>
    <w:rsid w:val="00B60D5C"/>
    <w:rsid w:val="00B61510"/>
    <w:rsid w:val="00B71BCE"/>
    <w:rsid w:val="00B75222"/>
    <w:rsid w:val="00B801A8"/>
    <w:rsid w:val="00B804FB"/>
    <w:rsid w:val="00B81B9C"/>
    <w:rsid w:val="00B92381"/>
    <w:rsid w:val="00BB7C5C"/>
    <w:rsid w:val="00BC1DA8"/>
    <w:rsid w:val="00BE0CC9"/>
    <w:rsid w:val="00BF0034"/>
    <w:rsid w:val="00BF0186"/>
    <w:rsid w:val="00BF1F2D"/>
    <w:rsid w:val="00BF6F0F"/>
    <w:rsid w:val="00C04C23"/>
    <w:rsid w:val="00C07426"/>
    <w:rsid w:val="00C10466"/>
    <w:rsid w:val="00C14DD5"/>
    <w:rsid w:val="00C20112"/>
    <w:rsid w:val="00C37037"/>
    <w:rsid w:val="00C41C78"/>
    <w:rsid w:val="00C45DF8"/>
    <w:rsid w:val="00C4743C"/>
    <w:rsid w:val="00C5359B"/>
    <w:rsid w:val="00C57E70"/>
    <w:rsid w:val="00C86787"/>
    <w:rsid w:val="00C91C5F"/>
    <w:rsid w:val="00CA4999"/>
    <w:rsid w:val="00CB7FFA"/>
    <w:rsid w:val="00CC2DE8"/>
    <w:rsid w:val="00CE75DE"/>
    <w:rsid w:val="00D206A7"/>
    <w:rsid w:val="00D30814"/>
    <w:rsid w:val="00D347DD"/>
    <w:rsid w:val="00D37638"/>
    <w:rsid w:val="00D40C3F"/>
    <w:rsid w:val="00D50A37"/>
    <w:rsid w:val="00D57F1B"/>
    <w:rsid w:val="00D717D2"/>
    <w:rsid w:val="00D757F2"/>
    <w:rsid w:val="00D84698"/>
    <w:rsid w:val="00D87D79"/>
    <w:rsid w:val="00D905D7"/>
    <w:rsid w:val="00D94433"/>
    <w:rsid w:val="00DA2604"/>
    <w:rsid w:val="00DB1C9A"/>
    <w:rsid w:val="00DB2BA8"/>
    <w:rsid w:val="00DB7E17"/>
    <w:rsid w:val="00DC1413"/>
    <w:rsid w:val="00DC6F1F"/>
    <w:rsid w:val="00DD7A0F"/>
    <w:rsid w:val="00DF34CF"/>
    <w:rsid w:val="00DF4AE6"/>
    <w:rsid w:val="00E1419D"/>
    <w:rsid w:val="00E34B7D"/>
    <w:rsid w:val="00E41B23"/>
    <w:rsid w:val="00E41D16"/>
    <w:rsid w:val="00E43DDC"/>
    <w:rsid w:val="00E65000"/>
    <w:rsid w:val="00E871CE"/>
    <w:rsid w:val="00E87213"/>
    <w:rsid w:val="00E87E1A"/>
    <w:rsid w:val="00EB0FAB"/>
    <w:rsid w:val="00EC5C90"/>
    <w:rsid w:val="00EE6C9B"/>
    <w:rsid w:val="00EE6EC9"/>
    <w:rsid w:val="00EE7F85"/>
    <w:rsid w:val="00EF3513"/>
    <w:rsid w:val="00EF68DE"/>
    <w:rsid w:val="00F14213"/>
    <w:rsid w:val="00F32FC4"/>
    <w:rsid w:val="00F35B83"/>
    <w:rsid w:val="00F439EF"/>
    <w:rsid w:val="00F4498B"/>
    <w:rsid w:val="00F52B1C"/>
    <w:rsid w:val="00F56878"/>
    <w:rsid w:val="00F730D0"/>
    <w:rsid w:val="00F75E6D"/>
    <w:rsid w:val="00F76811"/>
    <w:rsid w:val="00F85800"/>
    <w:rsid w:val="00F87893"/>
    <w:rsid w:val="00F91F02"/>
    <w:rsid w:val="00FA0FC9"/>
    <w:rsid w:val="00FA32B7"/>
    <w:rsid w:val="00FC55A6"/>
    <w:rsid w:val="00FF5C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1FA7"/>
  <w15:chartTrackingRefBased/>
  <w15:docId w15:val="{463321C0-1106-4A8C-8F6B-7C2C0F837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7F7C"/>
    <w:pPr>
      <w:ind w:left="720"/>
      <w:contextualSpacing/>
    </w:pPr>
  </w:style>
  <w:style w:type="character" w:styleId="Hyperlink">
    <w:name w:val="Hyperlink"/>
    <w:basedOn w:val="DefaultParagraphFont"/>
    <w:uiPriority w:val="99"/>
    <w:semiHidden/>
    <w:unhideWhenUsed/>
    <w:rsid w:val="00F87893"/>
    <w:rPr>
      <w:color w:val="0000FF"/>
      <w:u w:val="single"/>
    </w:rPr>
  </w:style>
  <w:style w:type="paragraph" w:styleId="NormalWeb">
    <w:name w:val="Normal (Web)"/>
    <w:basedOn w:val="Normal"/>
    <w:uiPriority w:val="99"/>
    <w:unhideWhenUsed/>
    <w:rsid w:val="00F8789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refer1">
    <w:name w:val="refer1"/>
    <w:basedOn w:val="DefaultParagraphFont"/>
    <w:rsid w:val="00D87D79"/>
    <w:rPr>
      <w:sz w:val="14"/>
      <w:szCs w:val="14"/>
      <w:vertAlign w:val="superscript"/>
    </w:rPr>
  </w:style>
  <w:style w:type="paragraph" w:styleId="Header">
    <w:name w:val="header"/>
    <w:basedOn w:val="Normal"/>
    <w:link w:val="HeaderChar"/>
    <w:uiPriority w:val="99"/>
    <w:unhideWhenUsed/>
    <w:rsid w:val="00451C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454275">
      <w:bodyDiv w:val="1"/>
      <w:marLeft w:val="0"/>
      <w:marRight w:val="0"/>
      <w:marTop w:val="0"/>
      <w:marBottom w:val="0"/>
      <w:divBdr>
        <w:top w:val="none" w:sz="0" w:space="0" w:color="auto"/>
        <w:left w:val="none" w:sz="0" w:space="0" w:color="auto"/>
        <w:bottom w:val="none" w:sz="0" w:space="0" w:color="auto"/>
        <w:right w:val="none" w:sz="0" w:space="0" w:color="auto"/>
      </w:divBdr>
      <w:divsChild>
        <w:div w:id="2061707957">
          <w:marLeft w:val="0"/>
          <w:marRight w:val="0"/>
          <w:marTop w:val="0"/>
          <w:marBottom w:val="0"/>
          <w:divBdr>
            <w:top w:val="none" w:sz="0" w:space="0" w:color="auto"/>
            <w:left w:val="none" w:sz="0" w:space="0" w:color="auto"/>
            <w:bottom w:val="none" w:sz="0" w:space="0" w:color="auto"/>
            <w:right w:val="none" w:sz="0" w:space="0" w:color="auto"/>
          </w:divBdr>
          <w:divsChild>
            <w:div w:id="1676495353">
              <w:marLeft w:val="0"/>
              <w:marRight w:val="0"/>
              <w:marTop w:val="0"/>
              <w:marBottom w:val="0"/>
              <w:divBdr>
                <w:top w:val="none" w:sz="0" w:space="0" w:color="auto"/>
                <w:left w:val="none" w:sz="0" w:space="0" w:color="auto"/>
                <w:bottom w:val="none" w:sz="0" w:space="0" w:color="auto"/>
                <w:right w:val="none" w:sz="0" w:space="0" w:color="auto"/>
              </w:divBdr>
              <w:divsChild>
                <w:div w:id="11223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72378">
      <w:bodyDiv w:val="1"/>
      <w:marLeft w:val="0"/>
      <w:marRight w:val="0"/>
      <w:marTop w:val="0"/>
      <w:marBottom w:val="0"/>
      <w:divBdr>
        <w:top w:val="none" w:sz="0" w:space="0" w:color="auto"/>
        <w:left w:val="none" w:sz="0" w:space="0" w:color="auto"/>
        <w:bottom w:val="none" w:sz="0" w:space="0" w:color="auto"/>
        <w:right w:val="none" w:sz="0" w:space="0" w:color="auto"/>
      </w:divBdr>
      <w:divsChild>
        <w:div w:id="2064209773">
          <w:marLeft w:val="0"/>
          <w:marRight w:val="0"/>
          <w:marTop w:val="0"/>
          <w:marBottom w:val="0"/>
          <w:divBdr>
            <w:top w:val="none" w:sz="0" w:space="0" w:color="auto"/>
            <w:left w:val="none" w:sz="0" w:space="0" w:color="auto"/>
            <w:bottom w:val="none" w:sz="0" w:space="0" w:color="auto"/>
            <w:right w:val="none" w:sz="0" w:space="0" w:color="auto"/>
          </w:divBdr>
          <w:divsChild>
            <w:div w:id="1607040736">
              <w:marLeft w:val="0"/>
              <w:marRight w:val="0"/>
              <w:marTop w:val="0"/>
              <w:marBottom w:val="0"/>
              <w:divBdr>
                <w:top w:val="none" w:sz="0" w:space="0" w:color="auto"/>
                <w:left w:val="none" w:sz="0" w:space="0" w:color="auto"/>
                <w:bottom w:val="none" w:sz="0" w:space="0" w:color="auto"/>
                <w:right w:val="none" w:sz="0" w:space="0" w:color="auto"/>
              </w:divBdr>
              <w:divsChild>
                <w:div w:id="115692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649953">
      <w:bodyDiv w:val="1"/>
      <w:marLeft w:val="0"/>
      <w:marRight w:val="0"/>
      <w:marTop w:val="0"/>
      <w:marBottom w:val="0"/>
      <w:divBdr>
        <w:top w:val="none" w:sz="0" w:space="0" w:color="auto"/>
        <w:left w:val="none" w:sz="0" w:space="0" w:color="auto"/>
        <w:bottom w:val="none" w:sz="0" w:space="0" w:color="auto"/>
        <w:right w:val="none" w:sz="0" w:space="0" w:color="auto"/>
      </w:divBdr>
    </w:div>
    <w:div w:id="1072392042">
      <w:bodyDiv w:val="1"/>
      <w:marLeft w:val="0"/>
      <w:marRight w:val="0"/>
      <w:marTop w:val="0"/>
      <w:marBottom w:val="0"/>
      <w:divBdr>
        <w:top w:val="none" w:sz="0" w:space="0" w:color="auto"/>
        <w:left w:val="none" w:sz="0" w:space="0" w:color="auto"/>
        <w:bottom w:val="none" w:sz="0" w:space="0" w:color="auto"/>
        <w:right w:val="none" w:sz="0" w:space="0" w:color="auto"/>
      </w:divBdr>
      <w:divsChild>
        <w:div w:id="573665536">
          <w:marLeft w:val="0"/>
          <w:marRight w:val="0"/>
          <w:marTop w:val="0"/>
          <w:marBottom w:val="0"/>
          <w:divBdr>
            <w:top w:val="none" w:sz="0" w:space="0" w:color="auto"/>
            <w:left w:val="none" w:sz="0" w:space="0" w:color="auto"/>
            <w:bottom w:val="none" w:sz="0" w:space="0" w:color="auto"/>
            <w:right w:val="none" w:sz="0" w:space="0" w:color="auto"/>
          </w:divBdr>
          <w:divsChild>
            <w:div w:id="2087727258">
              <w:marLeft w:val="0"/>
              <w:marRight w:val="0"/>
              <w:marTop w:val="0"/>
              <w:marBottom w:val="0"/>
              <w:divBdr>
                <w:top w:val="none" w:sz="0" w:space="0" w:color="auto"/>
                <w:left w:val="none" w:sz="0" w:space="0" w:color="auto"/>
                <w:bottom w:val="none" w:sz="0" w:space="0" w:color="auto"/>
                <w:right w:val="none" w:sz="0" w:space="0" w:color="auto"/>
              </w:divBdr>
              <w:divsChild>
                <w:div w:id="9145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819339">
      <w:bodyDiv w:val="1"/>
      <w:marLeft w:val="0"/>
      <w:marRight w:val="0"/>
      <w:marTop w:val="0"/>
      <w:marBottom w:val="0"/>
      <w:divBdr>
        <w:top w:val="none" w:sz="0" w:space="0" w:color="auto"/>
        <w:left w:val="none" w:sz="0" w:space="0" w:color="auto"/>
        <w:bottom w:val="none" w:sz="0" w:space="0" w:color="auto"/>
        <w:right w:val="none" w:sz="0" w:space="0" w:color="auto"/>
      </w:divBdr>
      <w:divsChild>
        <w:div w:id="1635721795">
          <w:marLeft w:val="0"/>
          <w:marRight w:val="0"/>
          <w:marTop w:val="0"/>
          <w:marBottom w:val="0"/>
          <w:divBdr>
            <w:top w:val="none" w:sz="0" w:space="0" w:color="auto"/>
            <w:left w:val="none" w:sz="0" w:space="0" w:color="auto"/>
            <w:bottom w:val="none" w:sz="0" w:space="0" w:color="auto"/>
            <w:right w:val="none" w:sz="0" w:space="0" w:color="auto"/>
          </w:divBdr>
          <w:divsChild>
            <w:div w:id="737097154">
              <w:marLeft w:val="0"/>
              <w:marRight w:val="0"/>
              <w:marTop w:val="0"/>
              <w:marBottom w:val="0"/>
              <w:divBdr>
                <w:top w:val="none" w:sz="0" w:space="0" w:color="auto"/>
                <w:left w:val="none" w:sz="0" w:space="0" w:color="auto"/>
                <w:bottom w:val="none" w:sz="0" w:space="0" w:color="auto"/>
                <w:right w:val="none" w:sz="0" w:space="0" w:color="auto"/>
              </w:divBdr>
              <w:divsChild>
                <w:div w:id="19414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ecretary_of_State_for_the_Northern_Department" TargetMode="External"/><Relationship Id="rId18" Type="http://schemas.openxmlformats.org/officeDocument/2006/relationships/hyperlink" Target="https://en.wikipedia.org/wiki/Tort" TargetMode="External"/><Relationship Id="rId26" Type="http://schemas.openxmlformats.org/officeDocument/2006/relationships/image" Target="media/image6.jpeg"/><Relationship Id="rId21" Type="http://schemas.openxmlformats.org/officeDocument/2006/relationships/hyperlink" Target="https://www.bing.com/images/search?q=picture+of+justice+brennan&amp;view=detailv2&amp;&amp;id=7400F88914D1BD15C9F28176D6DD5569DE7F037D&amp;selectedIndex=0&amp;ccid=4uCIpti0&amp;simid=608046350927727343&amp;thid=OIP.Me2e088a6d8b4eac169194d757c9c8063o1" TargetMode="External"/><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hyperlink" Target="https://en.wikipedia.org/wiki/George_Montague-Dunk,_2nd_Earl_of_Halifax" TargetMode="External"/><Relationship Id="rId17" Type="http://schemas.openxmlformats.org/officeDocument/2006/relationships/hyperlink" Target="https://en.wikipedia.org/wiki/Warrant_(legal)" TargetMode="External"/><Relationship Id="rId25" Type="http://schemas.openxmlformats.org/officeDocument/2006/relationships/image" Target="media/image5.jpeg"/><Relationship Id="rId33" Type="http://schemas.openxmlformats.org/officeDocument/2006/relationships/image" Target="media/image8.gif"/><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Chief_Justice_of_the_Common_Pleas" TargetMode="External"/><Relationship Id="rId20" Type="http://schemas.openxmlformats.org/officeDocument/2006/relationships/hyperlink" Target="https://en.wikipedia.org/wiki/Precedent" TargetMode="External"/><Relationship Id="rId29" Type="http://schemas.openxmlformats.org/officeDocument/2006/relationships/hyperlink" Target="http://www.austlii.edu.au/au/legis/cth/consol_act/adra1977396/s5.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t_Dunstan%27s,_Stepney" TargetMode="External"/><Relationship Id="rId24" Type="http://schemas.openxmlformats.org/officeDocument/2006/relationships/image" Target="media/image4.jpeg"/><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Westminster_Hall" TargetMode="External"/><Relationship Id="rId23" Type="http://schemas.openxmlformats.org/officeDocument/2006/relationships/image" Target="media/image3.jpeg"/><Relationship Id="rId28" Type="http://schemas.openxmlformats.org/officeDocument/2006/relationships/hyperlink" Target="http://www.austlii.edu.au/au/legis/cth/consol_act/adra1977396/s5.html" TargetMode="External"/><Relationship Id="rId36" Type="http://schemas.openxmlformats.org/officeDocument/2006/relationships/header" Target="header3.xml"/><Relationship Id="rId10" Type="http://schemas.openxmlformats.org/officeDocument/2006/relationships/hyperlink" Target="https://en.wikipedia.org/wiki/Parish" TargetMode="External"/><Relationship Id="rId19" Type="http://schemas.openxmlformats.org/officeDocument/2006/relationships/hyperlink" Target="https://en.wikipedia.org/wiki/Statute" TargetMode="External"/><Relationship Id="rId31" Type="http://schemas.openxmlformats.org/officeDocument/2006/relationships/hyperlink" Target="http://www.austlii.edu.au/au/legis/cth/consol_act/adra1977396/s5.html" TargetMode="External"/><Relationship Id="rId4" Type="http://schemas.openxmlformats.org/officeDocument/2006/relationships/webSettings" Target="webSettings.xml"/><Relationship Id="rId9" Type="http://schemas.openxmlformats.org/officeDocument/2006/relationships/hyperlink" Target="https://en.wikipedia.org/wiki/John_Entick" TargetMode="External"/><Relationship Id="rId14" Type="http://schemas.openxmlformats.org/officeDocument/2006/relationships/hyperlink" Target="https://en.wikipedia.org/wiki/Trespass" TargetMode="External"/><Relationship Id="rId22" Type="http://schemas.openxmlformats.org/officeDocument/2006/relationships/image" Target="media/image2.jpeg"/><Relationship Id="rId27" Type="http://schemas.openxmlformats.org/officeDocument/2006/relationships/hyperlink" Target="http://www.austlii.edu.au/au/legis/cth/consol_act/adra1977396/s5.html" TargetMode="External"/><Relationship Id="rId30" Type="http://schemas.openxmlformats.org/officeDocument/2006/relationships/hyperlink" Target="http://www.austlii.edu.au/au/legis/cth/consol_act/adra1977396/s5.html" TargetMode="External"/><Relationship Id="rId35" Type="http://schemas.openxmlformats.org/officeDocument/2006/relationships/header" Target="header2.xml"/><Relationship Id="rId8" Type="http://schemas.openxmlformats.org/officeDocument/2006/relationships/hyperlink" Target="https://en.wikipedia.org/wiki/Grub_Stree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9</Pages>
  <Words>2030</Words>
  <Characters>11576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Di Carlo</dc:creator>
  <cp:keywords/>
  <dc:description/>
  <cp:lastModifiedBy>Penelope June Weller</cp:lastModifiedBy>
  <cp:revision>45</cp:revision>
  <dcterms:created xsi:type="dcterms:W3CDTF">2016-08-10T00:29:00Z</dcterms:created>
  <dcterms:modified xsi:type="dcterms:W3CDTF">2024-04-19T00:52:00Z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658d5ae2,405b11fc,1b765819</vt:lpwstr>
  </property>
  <property fmtid="{D5CDD505-2E9C-101B-9397-08002B2CF9AE}" pid="3" name="ClassificationContentMarkingHeaderFontProps">
    <vt:lpwstr>#eedc00,12,Calibri</vt:lpwstr>
  </property>
  <property fmtid="{D5CDD505-2E9C-101B-9397-08002B2CF9AE}" pid="4" name="ClassificationContentMarkingHeaderText">
    <vt:lpwstr>RMIT Classification: Trusted</vt:lpwstr>
  </property>
  <property fmtid="{D5CDD505-2E9C-101B-9397-08002B2CF9AE}" pid="5" name="MSIP_Label_8c3d088b-6243-4963-a2e2-8b321ab7f8fc_Enabled">
    <vt:lpwstr>true</vt:lpwstr>
  </property>
  <property fmtid="{D5CDD505-2E9C-101B-9397-08002B2CF9AE}" pid="6" name="MSIP_Label_8c3d088b-6243-4963-a2e2-8b321ab7f8fc_SetDate">
    <vt:lpwstr>2024-04-19T00:41:12Z</vt:lpwstr>
  </property>
  <property fmtid="{D5CDD505-2E9C-101B-9397-08002B2CF9AE}" pid="7" name="MSIP_Label_8c3d088b-6243-4963-a2e2-8b321ab7f8fc_Method">
    <vt:lpwstr>Standard</vt:lpwstr>
  </property>
  <property fmtid="{D5CDD505-2E9C-101B-9397-08002B2CF9AE}" pid="8" name="MSIP_Label_8c3d088b-6243-4963-a2e2-8b321ab7f8fc_Name">
    <vt:lpwstr>Trusted</vt:lpwstr>
  </property>
  <property fmtid="{D5CDD505-2E9C-101B-9397-08002B2CF9AE}" pid="9" name="MSIP_Label_8c3d088b-6243-4963-a2e2-8b321ab7f8fc_SiteId">
    <vt:lpwstr>d1323671-cdbe-4417-b4d4-bdb24b51316b</vt:lpwstr>
  </property>
  <property fmtid="{D5CDD505-2E9C-101B-9397-08002B2CF9AE}" pid="10" name="MSIP_Label_8c3d088b-6243-4963-a2e2-8b321ab7f8fc_ActionId">
    <vt:lpwstr>8146d9d3-5a4b-42d9-8df9-d1193314b341</vt:lpwstr>
  </property>
  <property fmtid="{D5CDD505-2E9C-101B-9397-08002B2CF9AE}" pid="11" name="MSIP_Label_8c3d088b-6243-4963-a2e2-8b321ab7f8fc_ContentBits">
    <vt:lpwstr>1</vt:lpwstr>
  </property>
</Properties>
</file>