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9C8FB" w14:textId="77777777" w:rsidR="00DA494A" w:rsidRPr="00DA494A" w:rsidRDefault="00DA494A" w:rsidP="00DA494A">
      <w:r w:rsidRPr="00DA494A">
        <w:t>Generated by AI. Make sure to check for accuracy.</w:t>
      </w:r>
    </w:p>
    <w:p w14:paraId="1D502CBD" w14:textId="77777777" w:rsidR="00DA494A" w:rsidRPr="00DA494A" w:rsidRDefault="00DA494A" w:rsidP="00DA494A">
      <w:r w:rsidRPr="00DA494A">
        <w:t>Meeting notes:</w:t>
      </w:r>
    </w:p>
    <w:p w14:paraId="27D10330" w14:textId="7760EEEE" w:rsidR="00DA494A" w:rsidRPr="00DA494A" w:rsidRDefault="00DA494A" w:rsidP="00DA494A">
      <w:pPr>
        <w:numPr>
          <w:ilvl w:val="0"/>
          <w:numId w:val="3"/>
        </w:numPr>
      </w:pPr>
      <w:r w:rsidRPr="00DA494A">
        <w:rPr>
          <w:b/>
          <w:bCs/>
        </w:rPr>
        <w:t xml:space="preserve">Tutorial Recording Access and University Policy: </w:t>
      </w:r>
      <w:r w:rsidRPr="00DA494A">
        <w:t>Carlo clarified the current policy regarding tutorial recordings, explaining that while recordings are not distributed via Canvas, they remain accessible through Teams</w:t>
      </w:r>
      <w:r>
        <w:t>.</w:t>
      </w:r>
    </w:p>
    <w:p w14:paraId="3679DBD3" w14:textId="0E3215ED" w:rsidR="00DA494A" w:rsidRPr="00DA494A" w:rsidRDefault="00DA494A" w:rsidP="00DA494A">
      <w:pPr>
        <w:numPr>
          <w:ilvl w:val="1"/>
          <w:numId w:val="3"/>
        </w:numPr>
      </w:pPr>
      <w:r w:rsidRPr="00DA494A">
        <w:rPr>
          <w:b/>
          <w:bCs/>
        </w:rPr>
        <w:t xml:space="preserve">Escalation Path for Concerns: </w:t>
      </w:r>
      <w:r w:rsidRPr="00DA494A">
        <w:t>Carlo advised that students with concerns about recording policies should first contact him as course coordinator</w:t>
      </w:r>
      <w:r>
        <w:t>.</w:t>
      </w:r>
    </w:p>
    <w:p w14:paraId="7BF3011E" w14:textId="6107A864" w:rsidR="00DA494A" w:rsidRPr="00DA494A" w:rsidRDefault="00DA494A" w:rsidP="00DA494A">
      <w:pPr>
        <w:numPr>
          <w:ilvl w:val="0"/>
          <w:numId w:val="3"/>
        </w:numPr>
      </w:pPr>
      <w:r w:rsidRPr="00DA494A">
        <w:rPr>
          <w:b/>
          <w:bCs/>
        </w:rPr>
        <w:t xml:space="preserve">Exam Preparation and Guidance: </w:t>
      </w:r>
      <w:r>
        <w:t>Students</w:t>
      </w:r>
      <w:r w:rsidRPr="00DA494A">
        <w:t xml:space="preserve"> sought advice from Carlo regarding exam preparation, prompting Carlo to outline that all course content is examinable, the exam may include both IRAC and essay-style questions, and further guidance will be provided as the exam approaches.</w:t>
      </w:r>
    </w:p>
    <w:p w14:paraId="347EE970" w14:textId="77777777" w:rsidR="00DA494A" w:rsidRPr="00DA494A" w:rsidRDefault="00DA494A" w:rsidP="00DA494A">
      <w:pPr>
        <w:numPr>
          <w:ilvl w:val="1"/>
          <w:numId w:val="3"/>
        </w:numPr>
      </w:pPr>
      <w:r w:rsidRPr="00DA494A">
        <w:rPr>
          <w:b/>
          <w:bCs/>
        </w:rPr>
        <w:t xml:space="preserve">Exam Structure Uncertainty: </w:t>
      </w:r>
      <w:r w:rsidRPr="00DA494A">
        <w:t>Carlo stated that he is not responsible for drafting the exam but indicated that it could include both IRAC-style and essay questions, and that students should expect more detailed guidance closer to the exam date.</w:t>
      </w:r>
    </w:p>
    <w:p w14:paraId="03CE4C2D" w14:textId="77777777" w:rsidR="00DA494A" w:rsidRPr="00DA494A" w:rsidRDefault="00DA494A" w:rsidP="00DA494A">
      <w:pPr>
        <w:numPr>
          <w:ilvl w:val="1"/>
          <w:numId w:val="3"/>
        </w:numPr>
      </w:pPr>
      <w:r w:rsidRPr="00DA494A">
        <w:rPr>
          <w:b/>
          <w:bCs/>
        </w:rPr>
        <w:t xml:space="preserve">Content Coverage: </w:t>
      </w:r>
      <w:r w:rsidRPr="00DA494A">
        <w:t>Carlo emphasised that all material covered in the course is examinable, with particular focus on judicial review, which constitutes a significant portion of the subject.</w:t>
      </w:r>
    </w:p>
    <w:p w14:paraId="1C4D0FB3" w14:textId="77777777" w:rsidR="00DA494A" w:rsidRPr="00DA494A" w:rsidRDefault="00DA494A" w:rsidP="00DA494A">
      <w:pPr>
        <w:numPr>
          <w:ilvl w:val="1"/>
          <w:numId w:val="3"/>
        </w:numPr>
      </w:pPr>
      <w:r w:rsidRPr="00DA494A">
        <w:rPr>
          <w:b/>
          <w:bCs/>
        </w:rPr>
        <w:t xml:space="preserve">Revision Strategy: </w:t>
      </w:r>
      <w:r w:rsidRPr="00DA494A">
        <w:t xml:space="preserve">Carlo recommended that students use the prominence of judicial review in the curriculum to guide their </w:t>
      </w:r>
      <w:proofErr w:type="gramStart"/>
      <w:r w:rsidRPr="00DA494A">
        <w:t>revision, but</w:t>
      </w:r>
      <w:proofErr w:type="gramEnd"/>
      <w:r w:rsidRPr="00DA494A">
        <w:t xml:space="preserve"> cautioned that the exam will not necessarily focus exclusively on this topic.</w:t>
      </w:r>
    </w:p>
    <w:p w14:paraId="53600617" w14:textId="77777777" w:rsidR="00DA494A" w:rsidRPr="00DA494A" w:rsidRDefault="00DA494A" w:rsidP="00DA494A">
      <w:pPr>
        <w:numPr>
          <w:ilvl w:val="1"/>
          <w:numId w:val="3"/>
        </w:numPr>
      </w:pPr>
      <w:r w:rsidRPr="00DA494A">
        <w:rPr>
          <w:b/>
          <w:bCs/>
        </w:rPr>
        <w:t xml:space="preserve">Further Guidance Timeline: </w:t>
      </w:r>
      <w:r w:rsidRPr="00DA494A">
        <w:t>Carlo assured students that more specific information about the exam format and content will be communicated once the teaching team finalises the exam, aiming to provide clarity before the revision period.</w:t>
      </w:r>
    </w:p>
    <w:p w14:paraId="25D685CF" w14:textId="2FD169C7" w:rsidR="00DA494A" w:rsidRPr="00DA494A" w:rsidRDefault="00DA494A" w:rsidP="00DA494A">
      <w:pPr>
        <w:numPr>
          <w:ilvl w:val="0"/>
          <w:numId w:val="3"/>
        </w:numPr>
      </w:pPr>
      <w:r w:rsidRPr="00DA494A">
        <w:rPr>
          <w:b/>
          <w:bCs/>
        </w:rPr>
        <w:t xml:space="preserve">Distinction Between Merits Review and Judicial Review: </w:t>
      </w:r>
      <w:r w:rsidRPr="00DA494A">
        <w:t xml:space="preserve">Carlo, with contributions from </w:t>
      </w:r>
      <w:r>
        <w:t>students</w:t>
      </w:r>
      <w:r w:rsidRPr="00DA494A">
        <w:t xml:space="preserve"> led a discussion clarifying the differences between merits review and judicial review, focusing on their respective purposes, legal frameworks, and practical implications.</w:t>
      </w:r>
    </w:p>
    <w:p w14:paraId="31D82DCB" w14:textId="7648BFFD" w:rsidR="00DA494A" w:rsidRPr="00DA494A" w:rsidRDefault="00DA494A" w:rsidP="00DA494A">
      <w:pPr>
        <w:numPr>
          <w:ilvl w:val="1"/>
          <w:numId w:val="3"/>
        </w:numPr>
      </w:pPr>
      <w:r w:rsidRPr="00DA494A">
        <w:rPr>
          <w:b/>
          <w:bCs/>
        </w:rPr>
        <w:t xml:space="preserve">Merits Review Characteristics: </w:t>
      </w:r>
      <w:r>
        <w:t>students</w:t>
      </w:r>
      <w:r w:rsidRPr="00DA494A">
        <w:t xml:space="preserve"> explained that merits review concerns whether a decision is the 'right or preferable' one, is less formal, not conducted in court, and allows the reviewer to stand in the shoes of the original decision-maker to reach a preferable outcome.</w:t>
      </w:r>
    </w:p>
    <w:p w14:paraId="4D61852F" w14:textId="20140738" w:rsidR="00DA494A" w:rsidRPr="00DA494A" w:rsidRDefault="00DA494A" w:rsidP="00DA494A">
      <w:pPr>
        <w:numPr>
          <w:ilvl w:val="1"/>
          <w:numId w:val="3"/>
        </w:numPr>
      </w:pPr>
      <w:r w:rsidRPr="00DA494A">
        <w:rPr>
          <w:b/>
          <w:bCs/>
        </w:rPr>
        <w:lastRenderedPageBreak/>
        <w:t xml:space="preserve">Judicial Review Focus: </w:t>
      </w:r>
      <w:r w:rsidRPr="00DA494A">
        <w:t xml:space="preserve">Carlo and </w:t>
      </w:r>
      <w:r>
        <w:t>students</w:t>
      </w:r>
      <w:r w:rsidRPr="00DA494A">
        <w:t xml:space="preserve"> clarified that judicial review is concerned with the legality of decisions, specifically whether the decision-maker acted within the legal limits of their </w:t>
      </w:r>
      <w:proofErr w:type="gramStart"/>
      <w:r w:rsidRPr="00DA494A">
        <w:t>power, and</w:t>
      </w:r>
      <w:proofErr w:type="gramEnd"/>
      <w:r w:rsidRPr="00DA494A">
        <w:t xml:space="preserve"> is typically conducted in court.</w:t>
      </w:r>
    </w:p>
    <w:p w14:paraId="313F3E02" w14:textId="46F8AEE1" w:rsidR="00DA494A" w:rsidRPr="00DA494A" w:rsidRDefault="00DA494A" w:rsidP="00DA494A">
      <w:pPr>
        <w:numPr>
          <w:ilvl w:val="1"/>
          <w:numId w:val="3"/>
        </w:numPr>
      </w:pPr>
      <w:r w:rsidRPr="00DA494A">
        <w:rPr>
          <w:b/>
          <w:bCs/>
        </w:rPr>
        <w:t xml:space="preserve">Grounds for Judicial Review: </w:t>
      </w:r>
      <w:r>
        <w:t>students</w:t>
      </w:r>
      <w:r w:rsidRPr="00DA494A">
        <w:t xml:space="preserve"> listed grounds such as ultra vires, improper purpose, unreasonableness, procedural fairness, and bad faith as bases for judicial review, distinguishing them from the policy-oriented focus of merits review.</w:t>
      </w:r>
    </w:p>
    <w:p w14:paraId="623A95B6" w14:textId="77777777" w:rsidR="00DA494A" w:rsidRPr="00DA494A" w:rsidRDefault="00DA494A" w:rsidP="00DA494A">
      <w:pPr>
        <w:numPr>
          <w:ilvl w:val="1"/>
          <w:numId w:val="3"/>
        </w:numPr>
      </w:pPr>
      <w:r w:rsidRPr="00DA494A">
        <w:rPr>
          <w:b/>
          <w:bCs/>
        </w:rPr>
        <w:t xml:space="preserve">Overlap and Distinction: </w:t>
      </w:r>
      <w:r w:rsidRPr="00DA494A">
        <w:t>Carlo noted that while the distinction between merits and legality is generally clear, there are cases where the boundary is porous, and judicial review may occasionally touch on issues of policy or preference.</w:t>
      </w:r>
    </w:p>
    <w:p w14:paraId="7C8E4FCA" w14:textId="0B0A8AC2" w:rsidR="00DA494A" w:rsidRPr="00DA494A" w:rsidRDefault="00DA494A" w:rsidP="00DA494A">
      <w:pPr>
        <w:numPr>
          <w:ilvl w:val="0"/>
          <w:numId w:val="3"/>
        </w:numPr>
      </w:pPr>
      <w:r w:rsidRPr="00DA494A">
        <w:rPr>
          <w:b/>
          <w:bCs/>
        </w:rPr>
        <w:t xml:space="preserve">Avenues of Judicial Review: Constitutional, Common Law, and Statutory: </w:t>
      </w:r>
      <w:r w:rsidRPr="00DA494A">
        <w:t xml:space="preserve">Carlo, with input from </w:t>
      </w:r>
      <w:r>
        <w:t>students</w:t>
      </w:r>
      <w:r w:rsidRPr="00DA494A">
        <w:t xml:space="preserve"> systematically explained the three main avenues for judicial review in Australia—constitutional (High Court), common law (state supreme courts), and statutory (Federal and Circuit Courts)—detailing their sources, limitations, and practical considerations.</w:t>
      </w:r>
    </w:p>
    <w:p w14:paraId="7A97EF11" w14:textId="13DE832C" w:rsidR="00DA494A" w:rsidRPr="00DA494A" w:rsidRDefault="00DA494A" w:rsidP="00DA494A">
      <w:pPr>
        <w:numPr>
          <w:ilvl w:val="1"/>
          <w:numId w:val="3"/>
        </w:numPr>
      </w:pPr>
      <w:r w:rsidRPr="00DA494A">
        <w:rPr>
          <w:b/>
          <w:bCs/>
        </w:rPr>
        <w:t xml:space="preserve">Constitutional Review (Section 75(v)): </w:t>
      </w:r>
      <w:r>
        <w:t>students</w:t>
      </w:r>
      <w:r w:rsidRPr="00DA494A">
        <w:t xml:space="preserve"> described Section 75(v) of the Constitution, which gives the High Court original jurisdiction over matters involving officers of the Commonwealth, with Carlo emphasising its entrenched nature and immunity from statutory ouster clauses.</w:t>
      </w:r>
    </w:p>
    <w:p w14:paraId="31BB5497" w14:textId="6C807119" w:rsidR="00DA494A" w:rsidRPr="00DA494A" w:rsidRDefault="00DA494A" w:rsidP="00DA494A">
      <w:pPr>
        <w:numPr>
          <w:ilvl w:val="1"/>
          <w:numId w:val="3"/>
        </w:numPr>
      </w:pPr>
      <w:r w:rsidRPr="00DA494A">
        <w:rPr>
          <w:b/>
          <w:bCs/>
        </w:rPr>
        <w:t xml:space="preserve">Common Law Review and Kirk Case: </w:t>
      </w:r>
      <w:r w:rsidRPr="00DA494A">
        <w:t xml:space="preserve">Carlo and </w:t>
      </w:r>
      <w:r>
        <w:t>students</w:t>
      </w:r>
      <w:r w:rsidRPr="00DA494A">
        <w:t xml:space="preserve"> discussed the inherent jurisdiction of state supreme courts, referencing the Kirk case, which established that common law judicial review is also minimally entrenched for jurisdictional error, and that privative clauses cannot exclude this standard.</w:t>
      </w:r>
    </w:p>
    <w:p w14:paraId="7AA8F09B" w14:textId="3AE4B6DB" w:rsidR="00DA494A" w:rsidRPr="00DA494A" w:rsidRDefault="00DA494A" w:rsidP="00DA494A">
      <w:pPr>
        <w:numPr>
          <w:ilvl w:val="1"/>
          <w:numId w:val="3"/>
        </w:numPr>
      </w:pPr>
      <w:r w:rsidRPr="00DA494A">
        <w:rPr>
          <w:b/>
          <w:bCs/>
        </w:rPr>
        <w:t xml:space="preserve">Statutory Review (Section 39B and ADJR Act): </w:t>
      </w:r>
      <w:r>
        <w:t>students</w:t>
      </w:r>
      <w:r w:rsidRPr="00DA494A">
        <w:t xml:space="preserve"> explained that Section 39B of the Judiciary Act mirrors the High Court's constitutional review power in the Federal Court, while the ADJR Act provides a statutory avenue for review in the Federal Circuit and Family Court, with practical advantages such as lower costs and faster resolution.</w:t>
      </w:r>
    </w:p>
    <w:p w14:paraId="3E235CA6" w14:textId="77777777" w:rsidR="00DA494A" w:rsidRPr="00DA494A" w:rsidRDefault="00DA494A" w:rsidP="00DA494A">
      <w:pPr>
        <w:numPr>
          <w:ilvl w:val="1"/>
          <w:numId w:val="3"/>
        </w:numPr>
      </w:pPr>
      <w:r w:rsidRPr="00DA494A">
        <w:rPr>
          <w:b/>
          <w:bCs/>
        </w:rPr>
        <w:t xml:space="preserve">Practical Considerations and Hierarchy: </w:t>
      </w:r>
      <w:r w:rsidRPr="00DA494A">
        <w:t>Carlo advised that applicants should generally pursue the lowest available and most cost-effective avenue for review, starting with merits review where possible, and only escalating to higher courts if necessary and available.</w:t>
      </w:r>
    </w:p>
    <w:p w14:paraId="6DA62D56" w14:textId="4FAA1782" w:rsidR="00DA494A" w:rsidRPr="00DA494A" w:rsidRDefault="00DA494A" w:rsidP="00DA494A">
      <w:pPr>
        <w:numPr>
          <w:ilvl w:val="1"/>
          <w:numId w:val="3"/>
        </w:numPr>
      </w:pPr>
      <w:r w:rsidRPr="00DA494A">
        <w:rPr>
          <w:b/>
          <w:bCs/>
        </w:rPr>
        <w:t xml:space="preserve">Limitations and Overlaps: </w:t>
      </w:r>
      <w:r w:rsidRPr="00DA494A">
        <w:t xml:space="preserve">Carlo clarified that while state supreme courts can sometimes review Commonwealth decisions, the specifics </w:t>
      </w:r>
      <w:r w:rsidRPr="00DA494A">
        <w:lastRenderedPageBreak/>
        <w:t xml:space="preserve">depend on the nature of the power and relevant constitutional principles, referencing the </w:t>
      </w:r>
      <w:r>
        <w:t>Kable</w:t>
      </w:r>
      <w:r w:rsidRPr="00DA494A">
        <w:t xml:space="preserve"> case and the need for careful analysis.</w:t>
      </w:r>
    </w:p>
    <w:p w14:paraId="1B261EB3" w14:textId="73578430" w:rsidR="00DA494A" w:rsidRPr="00DA494A" w:rsidRDefault="00DA494A" w:rsidP="00DA494A">
      <w:pPr>
        <w:numPr>
          <w:ilvl w:val="0"/>
          <w:numId w:val="3"/>
        </w:numPr>
      </w:pPr>
      <w:r w:rsidRPr="00DA494A">
        <w:rPr>
          <w:b/>
          <w:bCs/>
        </w:rPr>
        <w:t xml:space="preserve">Administrative Decisions (Judicial Review) Act (ADJR) Requirements: </w:t>
      </w:r>
      <w:r w:rsidRPr="00DA494A">
        <w:t xml:space="preserve">Carlo, with contributions from </w:t>
      </w:r>
      <w:r>
        <w:t>students</w:t>
      </w:r>
      <w:r w:rsidRPr="00DA494A">
        <w:t>, outlined the statutory requirements for review under the ADJR Act, including the need for a decision of an administrative character made under an enactment, and discussed relevant case law such as Bond, Aerolineas, Roche, and Tan.</w:t>
      </w:r>
    </w:p>
    <w:p w14:paraId="20748695" w14:textId="17AFA48E" w:rsidR="00DA494A" w:rsidRPr="00DA494A" w:rsidRDefault="00DA494A" w:rsidP="00DA494A">
      <w:pPr>
        <w:numPr>
          <w:ilvl w:val="1"/>
          <w:numId w:val="3"/>
        </w:numPr>
      </w:pPr>
      <w:r w:rsidRPr="00DA494A">
        <w:rPr>
          <w:b/>
          <w:bCs/>
        </w:rPr>
        <w:t xml:space="preserve">Statutory Preconditions: </w:t>
      </w:r>
      <w:r>
        <w:t>students</w:t>
      </w:r>
      <w:r w:rsidRPr="00DA494A">
        <w:t xml:space="preserve"> identified that for ADJR review, there must be a decision of an administrative character made under an enactment, as defined in Section 3 of the Act.</w:t>
      </w:r>
    </w:p>
    <w:p w14:paraId="315BB588" w14:textId="2293EB43" w:rsidR="00DA494A" w:rsidRPr="00DA494A" w:rsidRDefault="00DA494A" w:rsidP="00DA494A">
      <w:pPr>
        <w:numPr>
          <w:ilvl w:val="1"/>
          <w:numId w:val="3"/>
        </w:numPr>
      </w:pPr>
      <w:r w:rsidRPr="00DA494A">
        <w:rPr>
          <w:b/>
          <w:bCs/>
        </w:rPr>
        <w:t xml:space="preserve">Meaning of 'Decision': </w:t>
      </w:r>
      <w:r>
        <w:t>students</w:t>
      </w:r>
      <w:r w:rsidRPr="00DA494A">
        <w:t xml:space="preserve"> and Carlo referenced the Bond case, explaining that a reviewable decision must be final, operative, or determinative in a practical sense, rather than a preliminary or procedural step.</w:t>
      </w:r>
    </w:p>
    <w:p w14:paraId="264FED1D" w14:textId="05C2A5B3" w:rsidR="00DA494A" w:rsidRPr="00DA494A" w:rsidRDefault="00DA494A" w:rsidP="00DA494A">
      <w:pPr>
        <w:numPr>
          <w:ilvl w:val="1"/>
          <w:numId w:val="3"/>
        </w:numPr>
      </w:pPr>
      <w:r w:rsidRPr="00DA494A">
        <w:rPr>
          <w:b/>
          <w:bCs/>
        </w:rPr>
        <w:t xml:space="preserve">Administrative Character: </w:t>
      </w:r>
      <w:r>
        <w:t>students</w:t>
      </w:r>
      <w:r w:rsidRPr="00DA494A">
        <w:t xml:space="preserve"> discussed that a decision must be administrative rather than legislative or judicial, with cases like Aerolineas and Roche providing guidance on distinguishing general legislative measures from specific administrative decisions.</w:t>
      </w:r>
    </w:p>
    <w:p w14:paraId="634828AE" w14:textId="5FF97FE1" w:rsidR="00DA494A" w:rsidRPr="00DA494A" w:rsidRDefault="00DA494A" w:rsidP="00DA494A">
      <w:pPr>
        <w:numPr>
          <w:ilvl w:val="1"/>
          <w:numId w:val="3"/>
        </w:numPr>
      </w:pPr>
      <w:r w:rsidRPr="00DA494A">
        <w:rPr>
          <w:b/>
          <w:bCs/>
        </w:rPr>
        <w:t xml:space="preserve">Under Enactment Requirement: </w:t>
      </w:r>
      <w:r>
        <w:t>students</w:t>
      </w:r>
      <w:r w:rsidRPr="00DA494A">
        <w:t xml:space="preserve"> described the Tan</w:t>
      </w:r>
      <w:r>
        <w:t>g</w:t>
      </w:r>
      <w:r w:rsidRPr="00DA494A">
        <w:t xml:space="preserve"> case, where the High Court held that a university's decision to exclude a student was not made under an enactment but rather under a contractual relationship, illustrating the limits of the 'under enactment' criterion.</w:t>
      </w:r>
    </w:p>
    <w:p w14:paraId="624D8F6C" w14:textId="264B9CAD" w:rsidR="00DA494A" w:rsidRPr="00DA494A" w:rsidRDefault="00DA494A" w:rsidP="00DA494A">
      <w:pPr>
        <w:numPr>
          <w:ilvl w:val="0"/>
          <w:numId w:val="3"/>
        </w:numPr>
      </w:pPr>
      <w:r w:rsidRPr="00DA494A">
        <w:rPr>
          <w:b/>
          <w:bCs/>
        </w:rPr>
        <w:t xml:space="preserve">Justiciability in Judicial Review: </w:t>
      </w:r>
      <w:r w:rsidRPr="00DA494A">
        <w:t>Carlo</w:t>
      </w:r>
      <w:r>
        <w:t xml:space="preserve"> and students</w:t>
      </w:r>
      <w:r w:rsidRPr="00DA494A">
        <w:t xml:space="preserve"> discussed the concept of justiciability, explaining its role as a threshold requirement that excludes certain political, diplomatic, or hypothetical matters from judicial review, and clarified the distinction between actual controversies and advisory opinions.</w:t>
      </w:r>
    </w:p>
    <w:p w14:paraId="548417DF" w14:textId="7E591C11" w:rsidR="00DA494A" w:rsidRPr="00DA494A" w:rsidRDefault="00DA494A" w:rsidP="00DA494A">
      <w:pPr>
        <w:numPr>
          <w:ilvl w:val="1"/>
          <w:numId w:val="3"/>
        </w:numPr>
      </w:pPr>
      <w:r w:rsidRPr="00DA494A">
        <w:rPr>
          <w:b/>
          <w:bCs/>
        </w:rPr>
        <w:t xml:space="preserve">Definition and Scope: </w:t>
      </w:r>
      <w:r>
        <w:t>students</w:t>
      </w:r>
      <w:r w:rsidRPr="00DA494A">
        <w:t xml:space="preserve"> explained that justiciability excludes matters not suitable for judicial determination, such as political, diplomatic, or military judgments, and those lacking judicially manageable standards.</w:t>
      </w:r>
    </w:p>
    <w:p w14:paraId="6A94A698" w14:textId="1FE4564C" w:rsidR="00DA494A" w:rsidRPr="00DA494A" w:rsidRDefault="00DA494A" w:rsidP="00DA494A">
      <w:pPr>
        <w:numPr>
          <w:ilvl w:val="1"/>
          <w:numId w:val="3"/>
        </w:numPr>
      </w:pPr>
      <w:r w:rsidRPr="00DA494A">
        <w:rPr>
          <w:b/>
          <w:bCs/>
        </w:rPr>
        <w:t xml:space="preserve">Separation of Powers: </w:t>
      </w:r>
      <w:r>
        <w:t>students</w:t>
      </w:r>
      <w:r w:rsidRPr="00DA494A">
        <w:t xml:space="preserve"> and Carlo highlighted that courts avoid encroaching on executive or legislative domains to maintain judicial independence and respect the separation of powers.</w:t>
      </w:r>
    </w:p>
    <w:p w14:paraId="63C7F43A" w14:textId="1B54D999" w:rsidR="00DA494A" w:rsidRPr="00DA494A" w:rsidRDefault="00DA494A" w:rsidP="00DA494A">
      <w:pPr>
        <w:numPr>
          <w:ilvl w:val="1"/>
          <w:numId w:val="3"/>
        </w:numPr>
      </w:pPr>
      <w:r w:rsidRPr="00DA494A">
        <w:rPr>
          <w:b/>
          <w:bCs/>
        </w:rPr>
        <w:t xml:space="preserve">Actual Controversy Requirement: </w:t>
      </w:r>
      <w:r w:rsidRPr="00DA494A">
        <w:t xml:space="preserve">Carlo and </w:t>
      </w:r>
      <w:r>
        <w:t>students</w:t>
      </w:r>
      <w:r w:rsidRPr="00DA494A">
        <w:t xml:space="preserve"> clarified that courts require a real, justiciable controversy between parties, and will not decide abstract questions or provide advisory opinions, as illustrated by the </w:t>
      </w:r>
      <w:r>
        <w:t xml:space="preserve">Re </w:t>
      </w:r>
      <w:r w:rsidRPr="00DA494A">
        <w:t>McBain case.</w:t>
      </w:r>
    </w:p>
    <w:p w14:paraId="08F13B34" w14:textId="425DC7C0" w:rsidR="00DA494A" w:rsidRPr="00DA494A" w:rsidRDefault="00DA494A" w:rsidP="00DA494A">
      <w:pPr>
        <w:numPr>
          <w:ilvl w:val="1"/>
          <w:numId w:val="3"/>
        </w:numPr>
      </w:pPr>
      <w:r w:rsidRPr="00DA494A">
        <w:rPr>
          <w:b/>
          <w:bCs/>
        </w:rPr>
        <w:lastRenderedPageBreak/>
        <w:t xml:space="preserve">Judicial Dicta Versus Ratio: </w:t>
      </w:r>
      <w:r>
        <w:t>students</w:t>
      </w:r>
      <w:r w:rsidRPr="00DA494A">
        <w:t xml:space="preserve"> asked about judicial comments on hypothetical scenarios, with Carlo explaining that such remarks are considered dicta and not binding, as they do not form part of the court's actual decision.</w:t>
      </w:r>
    </w:p>
    <w:p w14:paraId="2978DD1C" w14:textId="76A21D73" w:rsidR="00DA494A" w:rsidRPr="00DA494A" w:rsidRDefault="00DA494A" w:rsidP="00DA494A">
      <w:pPr>
        <w:numPr>
          <w:ilvl w:val="0"/>
          <w:numId w:val="3"/>
        </w:numPr>
      </w:pPr>
      <w:r w:rsidRPr="00DA494A">
        <w:rPr>
          <w:b/>
          <w:bCs/>
        </w:rPr>
        <w:t xml:space="preserve">Policy Rationale and Reform of the ADJR Act: </w:t>
      </w:r>
      <w:r>
        <w:t>students</w:t>
      </w:r>
      <w:r w:rsidRPr="00DA494A">
        <w:t xml:space="preserve"> and Carlo discussed the historical context and policy motivations behind the introduction of the ADJR Act, noting its origins in the Kerr Committee's recommendations to simplify and expedite judicial review processes.</w:t>
      </w:r>
    </w:p>
    <w:p w14:paraId="1CC73CE3" w14:textId="77777777" w:rsidR="00DA494A" w:rsidRPr="00DA494A" w:rsidRDefault="00DA494A" w:rsidP="00DA494A">
      <w:pPr>
        <w:numPr>
          <w:ilvl w:val="1"/>
          <w:numId w:val="3"/>
        </w:numPr>
      </w:pPr>
      <w:r w:rsidRPr="00DA494A">
        <w:rPr>
          <w:b/>
          <w:bCs/>
        </w:rPr>
        <w:t xml:space="preserve">Kerr Committee and Reform: </w:t>
      </w:r>
      <w:r w:rsidRPr="00DA494A">
        <w:t>Michelle noted that the ADJR Act was introduced following the Kerr Committee's 1971 report, which recommended reforms to address the complexity and inefficiency of common law and constitutional review mechanisms.</w:t>
      </w:r>
    </w:p>
    <w:p w14:paraId="22778F68" w14:textId="77777777" w:rsidR="00DA494A" w:rsidRPr="00DA494A" w:rsidRDefault="00DA494A" w:rsidP="00DA494A">
      <w:pPr>
        <w:numPr>
          <w:ilvl w:val="1"/>
          <w:numId w:val="3"/>
        </w:numPr>
      </w:pPr>
      <w:r w:rsidRPr="00DA494A">
        <w:rPr>
          <w:b/>
          <w:bCs/>
        </w:rPr>
        <w:t xml:space="preserve">Simplification and Expediency: </w:t>
      </w:r>
      <w:r w:rsidRPr="00DA494A">
        <w:t>Carlo explained that the ADJR Act was designed to provide a more straightforward and accessible framework for judicial review, reducing procedural complexity and improving access to justice.</w:t>
      </w:r>
    </w:p>
    <w:p w14:paraId="5FC5526F" w14:textId="662F2A8E" w:rsidR="00DA494A" w:rsidRPr="00DA494A" w:rsidRDefault="00DA494A" w:rsidP="00DA494A">
      <w:pPr>
        <w:numPr>
          <w:ilvl w:val="0"/>
          <w:numId w:val="3"/>
        </w:numPr>
      </w:pPr>
      <w:r w:rsidRPr="00DA494A">
        <w:rPr>
          <w:b/>
          <w:bCs/>
        </w:rPr>
        <w:t xml:space="preserve">Distinction Between Judicial Power and Judicial Review: </w:t>
      </w:r>
      <w:r>
        <w:t>students</w:t>
      </w:r>
      <w:r w:rsidRPr="00DA494A">
        <w:t xml:space="preserve"> and Carlo explored the difference between the broader concept of judicial power, which includes resolving private disputes, and the narrower function of judicial review, which targets the legality of public authority decisions.</w:t>
      </w:r>
    </w:p>
    <w:p w14:paraId="2FF85B5F" w14:textId="7001FE40" w:rsidR="00DA494A" w:rsidRPr="00DA494A" w:rsidRDefault="00DA494A" w:rsidP="00DA494A">
      <w:pPr>
        <w:numPr>
          <w:ilvl w:val="1"/>
          <w:numId w:val="3"/>
        </w:numPr>
      </w:pPr>
      <w:r w:rsidRPr="00DA494A">
        <w:rPr>
          <w:b/>
          <w:bCs/>
        </w:rPr>
        <w:t xml:space="preserve">Judicial Power Versus Judicial Review: </w:t>
      </w:r>
      <w:r>
        <w:t>students</w:t>
      </w:r>
      <w:r w:rsidRPr="00DA494A">
        <w:t xml:space="preserve"> asked about the scope of judicial power, with Carlo clarifying that while courts resolve both private disputes (e.g., contracts, torts) and public law matters, judicial review specifically concerns the legality of decisions made by public authorities.</w:t>
      </w:r>
    </w:p>
    <w:p w14:paraId="2CC27714" w14:textId="53AD6F23" w:rsidR="009B1B75" w:rsidRDefault="00DA494A" w:rsidP="00DA494A">
      <w:pPr>
        <w:numPr>
          <w:ilvl w:val="1"/>
          <w:numId w:val="3"/>
        </w:numPr>
      </w:pPr>
      <w:r w:rsidRPr="00DA494A">
        <w:rPr>
          <w:b/>
          <w:bCs/>
        </w:rPr>
        <w:t xml:space="preserve">Tribunals and Judicial Power: </w:t>
      </w:r>
      <w:r>
        <w:t>students</w:t>
      </w:r>
      <w:r w:rsidRPr="00DA494A">
        <w:t xml:space="preserve"> raised questions about the role of tribunals like VCAT, with Carlo noting that the constitutional principles governing the exercise of judicial power by non-Chapter 3 courts are complex and not directly relevant to </w:t>
      </w:r>
      <w:r>
        <w:t xml:space="preserve">state tribunals. </w:t>
      </w:r>
    </w:p>
    <w:sectPr w:rsidR="009B1B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C4983"/>
    <w:multiLevelType w:val="multilevel"/>
    <w:tmpl w:val="B1104C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F3141C"/>
    <w:multiLevelType w:val="multilevel"/>
    <w:tmpl w:val="300A6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106880"/>
    <w:multiLevelType w:val="multilevel"/>
    <w:tmpl w:val="63F87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2110CA"/>
    <w:multiLevelType w:val="multilevel"/>
    <w:tmpl w:val="96D8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3137613">
    <w:abstractNumId w:val="2"/>
  </w:num>
  <w:num w:numId="2" w16cid:durableId="1175220290">
    <w:abstractNumId w:val="1"/>
  </w:num>
  <w:num w:numId="3" w16cid:durableId="1249464343">
    <w:abstractNumId w:val="0"/>
  </w:num>
  <w:num w:numId="4" w16cid:durableId="4750272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94A"/>
    <w:rsid w:val="007F4B39"/>
    <w:rsid w:val="009B1B75"/>
    <w:rsid w:val="00C24199"/>
    <w:rsid w:val="00DA494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313A6"/>
  <w15:chartTrackingRefBased/>
  <w15:docId w15:val="{CE300B47-DB71-4618-BDF8-59D11EC73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49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49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49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49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49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49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49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49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49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49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49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49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49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49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49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49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49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494A"/>
    <w:rPr>
      <w:rFonts w:eastAsiaTheme="majorEastAsia" w:cstheme="majorBidi"/>
      <w:color w:val="272727" w:themeColor="text1" w:themeTint="D8"/>
    </w:rPr>
  </w:style>
  <w:style w:type="paragraph" w:styleId="Title">
    <w:name w:val="Title"/>
    <w:basedOn w:val="Normal"/>
    <w:next w:val="Normal"/>
    <w:link w:val="TitleChar"/>
    <w:uiPriority w:val="10"/>
    <w:qFormat/>
    <w:rsid w:val="00DA49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49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49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49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494A"/>
    <w:pPr>
      <w:spacing w:before="160"/>
      <w:jc w:val="center"/>
    </w:pPr>
    <w:rPr>
      <w:i/>
      <w:iCs/>
      <w:color w:val="404040" w:themeColor="text1" w:themeTint="BF"/>
    </w:rPr>
  </w:style>
  <w:style w:type="character" w:customStyle="1" w:styleId="QuoteChar">
    <w:name w:val="Quote Char"/>
    <w:basedOn w:val="DefaultParagraphFont"/>
    <w:link w:val="Quote"/>
    <w:uiPriority w:val="29"/>
    <w:rsid w:val="00DA494A"/>
    <w:rPr>
      <w:i/>
      <w:iCs/>
      <w:color w:val="404040" w:themeColor="text1" w:themeTint="BF"/>
    </w:rPr>
  </w:style>
  <w:style w:type="paragraph" w:styleId="ListParagraph">
    <w:name w:val="List Paragraph"/>
    <w:basedOn w:val="Normal"/>
    <w:uiPriority w:val="34"/>
    <w:qFormat/>
    <w:rsid w:val="00DA494A"/>
    <w:pPr>
      <w:ind w:left="720"/>
      <w:contextualSpacing/>
    </w:pPr>
  </w:style>
  <w:style w:type="character" w:styleId="IntenseEmphasis">
    <w:name w:val="Intense Emphasis"/>
    <w:basedOn w:val="DefaultParagraphFont"/>
    <w:uiPriority w:val="21"/>
    <w:qFormat/>
    <w:rsid w:val="00DA494A"/>
    <w:rPr>
      <w:i/>
      <w:iCs/>
      <w:color w:val="0F4761" w:themeColor="accent1" w:themeShade="BF"/>
    </w:rPr>
  </w:style>
  <w:style w:type="paragraph" w:styleId="IntenseQuote">
    <w:name w:val="Intense Quote"/>
    <w:basedOn w:val="Normal"/>
    <w:next w:val="Normal"/>
    <w:link w:val="IntenseQuoteChar"/>
    <w:uiPriority w:val="30"/>
    <w:qFormat/>
    <w:rsid w:val="00DA49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494A"/>
    <w:rPr>
      <w:i/>
      <w:iCs/>
      <w:color w:val="0F4761" w:themeColor="accent1" w:themeShade="BF"/>
    </w:rPr>
  </w:style>
  <w:style w:type="character" w:styleId="IntenseReference">
    <w:name w:val="Intense Reference"/>
    <w:basedOn w:val="DefaultParagraphFont"/>
    <w:uiPriority w:val="32"/>
    <w:qFormat/>
    <w:rsid w:val="00DA49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daa77bc-0157-46a4-82a6-8fc765694bc9}" enabled="1" method="Standard" siteId="{d1323671-cdbe-4417-b4d4-bdb24b51316b}"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4</Pages>
  <Words>1306</Words>
  <Characters>7449</Characters>
  <Application>Microsoft Office Word</Application>
  <DocSecurity>0</DocSecurity>
  <Lines>62</Lines>
  <Paragraphs>17</Paragraphs>
  <ScaleCrop>false</ScaleCrop>
  <Company/>
  <LinksUpToDate>false</LinksUpToDate>
  <CharactersWithSpaces>8738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 Dellora</dc:creator>
  <cp:keywords/>
  <dc:description/>
  <cp:lastModifiedBy>Carlo Dellora</cp:lastModifiedBy>
  <cp:revision>1</cp:revision>
  <dcterms:created xsi:type="dcterms:W3CDTF">2026-08-25T07:23:00Z</dcterms:created>
  <dcterms:modified xsi:type="dcterms:W3CDTF">2026-08-25T07:27:00Z</dcterms:modified>
</cp:coreProperties>
</file>