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Course Comparison &amp; Differentiation Brief</w:t>
      </w:r>
    </w:p>
    <w:p>
      <w:pPr>
        <w:spacing w:after="60"/>
      </w:pPr>
      <w:r>
        <w:rPr>
          <w:i/>
          <w:iCs/>
          <w:color w:val="595959"/>
          <w:sz w:val="20"/>
          <w:szCs w:val="20"/>
        </w:rPr>
        <w:t xml:space="preserve">Assignment 10 — Skarion Accounting Track V1 Backbone, Part 6</w:t>
      </w:r>
    </w:p>
    <w:p>
      <w:pPr>
        <w:spacing w:after="300"/>
      </w:pPr>
      <w:r>
        <w:rPr>
          <w:i/>
          <w:iCs/>
          <w:color w:val="595959"/>
          <w:sz w:val="20"/>
          <w:szCs w:val="20"/>
        </w:rPr>
        <w:t xml:space="preserve">Prepared: July 2026</w:t>
      </w:r>
    </w:p>
    <w:p>
      <w:pPr>
        <w:pStyle w:val="Heading1"/>
        <w:spacing w:after="160" w:before="300"/>
      </w:pPr>
      <w:r>
        <w:t xml:space="preserve">1. Purpose</w:t>
      </w:r>
    </w:p>
    <w:p>
      <w:pPr>
        <w:spacing w:after="120" w:before="60" w:line="276"/>
      </w:pPr>
      <w:r>
        <w:rPr>
          <w:b w:val="false"/>
          <w:bCs w:val="false"/>
          <w:i w:val="false"/>
          <w:iCs w:val="false"/>
          <w:sz w:val="21"/>
          <w:szCs w:val="21"/>
        </w:rPr>
        <w:t xml:space="preserve">This brief fulfills Assignment 10 of the Accounting Track backbone: compare the planned Skarion course against a community college accounting certificate program, a Udemy/LinkedIn Learning-style beginner course, and a bootcamp-style program, then explain what makes Skarion's approach different. Research was conducted in July 2026; representative programs were used where a single “industry standard” does not exist (community colleges and Udemy course catalogs vary widely).</w:t>
      </w:r>
    </w:p>
    <w:p>
      <w:pPr>
        <w:pStyle w:val="Heading1"/>
        <w:spacing w:after="160" w:before="300"/>
      </w:pPr>
      <w:r>
        <w:t xml:space="preserve">2. Comparison Table</w:t>
      </w:r>
    </w:p>
    <w:tbl>
      <w:tblPr>
        <w:tblW w:type="dxa" w:w="8604"/>
        <w:tblBorders>
          <w:top w:val="single" w:color="999999" w:sz="4"/>
          <w:left w:val="single" w:color="999999" w:sz="4"/>
          <w:bottom w:val="single" w:color="999999" w:sz="4"/>
          <w:right w:val="single" w:color="999999" w:sz="4"/>
          <w:insideH w:val="single" w:color="CCCCCC" w:sz="4"/>
          <w:insideV w:val="single" w:color="CCCCCC" w:sz="4"/>
        </w:tblBorders>
      </w:tblPr>
      <w:tblGrid>
        <w:gridCol w:w="1500"/>
        <w:gridCol w:w="1776"/>
        <w:gridCol w:w="1776"/>
        <w:gridCol w:w="1776"/>
        <w:gridCol w:w="1776"/>
      </w:tblGrid>
      <w:tr>
        <w:trPr>
          <w:tblHeader/>
        </w:trPr>
        <w:tc>
          <w:tcPr>
            <w:tcW w:type="dxa" w:w="1500"/>
            <w:shd w:fill="1F3864" w:color="auto" w:val="clear"/>
            <w:tcMar>
              <w:top w:type="dxa" w:w="80"/>
              <w:left w:type="dxa" w:w="100"/>
              <w:bottom w:type="dxa" w:w="80"/>
              <w:right w:type="dxa" w:w="100"/>
            </w:tcMar>
            <w:vAlign w:val="center"/>
          </w:tcPr>
          <w:p>
            <w:pPr>
              <w:jc w:val="center"/>
            </w:pPr>
            <w:r>
              <w:rPr>
                <w:b/>
                <w:bCs/>
                <w:color w:val="FFFFFF"/>
                <w:sz w:val="19"/>
                <w:szCs w:val="19"/>
              </w:rPr>
              <w:t xml:space="preserve"/>
            </w:r>
          </w:p>
        </w:tc>
        <w:tc>
          <w:tcPr>
            <w:tcW w:type="dxa" w:w="1776"/>
            <w:shd w:fill="1F3864" w:color="auto" w:val="clear"/>
            <w:tcMar>
              <w:top w:type="dxa" w:w="80"/>
              <w:left w:type="dxa" w:w="100"/>
              <w:bottom w:type="dxa" w:w="80"/>
              <w:right w:type="dxa" w:w="100"/>
            </w:tcMar>
            <w:vAlign w:val="center"/>
          </w:tcPr>
          <w:p>
            <w:pPr>
              <w:jc w:val="center"/>
            </w:pPr>
            <w:r>
              <w:rPr>
                <w:b/>
                <w:bCs/>
                <w:color w:val="FFFFFF"/>
                <w:sz w:val="19"/>
                <w:szCs w:val="19"/>
              </w:rPr>
              <w:t xml:space="preserve">Community College Certificate</w:t>
            </w:r>
          </w:p>
        </w:tc>
        <w:tc>
          <w:tcPr>
            <w:tcW w:type="dxa" w:w="1776"/>
            <w:shd w:fill="1F3864" w:color="auto" w:val="clear"/>
            <w:tcMar>
              <w:top w:type="dxa" w:w="80"/>
              <w:left w:type="dxa" w:w="100"/>
              <w:bottom w:type="dxa" w:w="80"/>
              <w:right w:type="dxa" w:w="100"/>
            </w:tcMar>
            <w:vAlign w:val="center"/>
          </w:tcPr>
          <w:p>
            <w:pPr>
              <w:jc w:val="center"/>
            </w:pPr>
            <w:r>
              <w:rPr>
                <w:b/>
                <w:bCs/>
                <w:color w:val="FFFFFF"/>
                <w:sz w:val="19"/>
                <w:szCs w:val="19"/>
              </w:rPr>
              <w:t xml:space="preserve">Udemy / LinkedIn Learning Course</w:t>
            </w:r>
          </w:p>
        </w:tc>
        <w:tc>
          <w:tcPr>
            <w:tcW w:type="dxa" w:w="1776"/>
            <w:shd w:fill="1F3864" w:color="auto" w:val="clear"/>
            <w:tcMar>
              <w:top w:type="dxa" w:w="80"/>
              <w:left w:type="dxa" w:w="100"/>
              <w:bottom w:type="dxa" w:w="80"/>
              <w:right w:type="dxa" w:w="100"/>
            </w:tcMar>
            <w:vAlign w:val="center"/>
          </w:tcPr>
          <w:p>
            <w:pPr>
              <w:jc w:val="center"/>
            </w:pPr>
            <w:r>
              <w:rPr>
                <w:b/>
                <w:bCs/>
                <w:color w:val="FFFFFF"/>
                <w:sz w:val="19"/>
                <w:szCs w:val="19"/>
              </w:rPr>
              <w:t xml:space="preserve">Accounting Bootcamp</w:t>
            </w:r>
          </w:p>
        </w:tc>
        <w:tc>
          <w:tcPr>
            <w:tcW w:type="dxa" w:w="1776"/>
            <w:shd w:fill="1F3864" w:color="auto" w:val="clear"/>
            <w:tcMar>
              <w:top w:type="dxa" w:w="80"/>
              <w:left w:type="dxa" w:w="100"/>
              <w:bottom w:type="dxa" w:w="80"/>
              <w:right w:type="dxa" w:w="100"/>
            </w:tcMar>
            <w:vAlign w:val="center"/>
          </w:tcPr>
          <w:p>
            <w:pPr>
              <w:jc w:val="center"/>
            </w:pPr>
            <w:r>
              <w:rPr>
                <w:b/>
                <w:bCs/>
                <w:color w:val="FFFFFF"/>
                <w:sz w:val="19"/>
                <w:szCs w:val="19"/>
              </w:rPr>
              <w:t xml:space="preserve">Skarion Accounting Track</w:t>
            </w:r>
          </w:p>
        </w:tc>
      </w:tr>
      <w:tr>
        <w:tc>
          <w:tcPr>
            <w:tcW w:type="dxa" w:w="1500"/>
            <w:shd w:fill="DCE6F1" w:color="auto" w:val="clear"/>
            <w:tcMar>
              <w:top w:type="dxa" w:w="80"/>
              <w:left w:type="dxa" w:w="100"/>
              <w:bottom w:type="dxa" w:w="80"/>
              <w:right w:type="dxa" w:w="100"/>
            </w:tcMar>
            <w:vAlign w:val="center"/>
          </w:tcPr>
          <w:p>
            <w:r>
              <w:rPr>
                <w:b/>
                <w:bCs/>
                <w:sz w:val="19"/>
                <w:szCs w:val="19"/>
              </w:rPr>
              <w:t xml:space="preserve">Topics Covered</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General accounting theory, cost accounting, payroll, inventory, asset management, AR/AP, budgeting, forecasting, financial analysis (8 courses / 29 units, textbook-driven).</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Accounting terminology, cash vs. accrual, double-entry bookkeeping, GL, trial balance, fixed assets/depreciation, inventory accounting, financial statements, leases.</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Accounting fundamentals, financial statements, accounting cycle, journal entries, debits/credits, T-accounts, chart of accounts, QuickBooks, Excel.</w:t>
            </w:r>
          </w:p>
        </w:tc>
        <w:tc>
          <w:tcPr>
            <w:tcW w:type="dxa" w:w="1776"/>
            <w:shd w:fill="E2EFDA" w:color="auto" w:val="clear"/>
            <w:tcMar>
              <w:top w:type="dxa" w:w="80"/>
              <w:left w:type="dxa" w:w="100"/>
              <w:bottom w:type="dxa" w:w="80"/>
              <w:right w:type="dxa" w:w="100"/>
            </w:tcMar>
            <w:vAlign w:val="center"/>
          </w:tcPr>
          <w:p>
            <w:pPr>
              <w:spacing w:after="30" w:before="40" w:line="250"/>
            </w:pPr>
            <w:r>
              <w:rPr>
                <w:b w:val="false"/>
                <w:bCs w:val="false"/>
                <w:sz w:val="18"/>
                <w:szCs w:val="18"/>
              </w:rPr>
              <w:t xml:space="preserve">Full accounting cycle mapped directly to the top 15 tasks from 100+ real job postings: QBO setup, AP, AR, bank recon, payroll, fixed assets/depreciation, 2-part month-end close, Excel, year-end/1099s, budgeting.</w:t>
            </w:r>
          </w:p>
        </w:tc>
      </w:tr>
      <w:tr>
        <w:tc>
          <w:tcPr>
            <w:tcW w:type="dxa" w:w="1500"/>
            <w:shd w:fill="DCE6F1" w:color="auto" w:val="clear"/>
            <w:tcMar>
              <w:top w:type="dxa" w:w="80"/>
              <w:left w:type="dxa" w:w="100"/>
              <w:bottom w:type="dxa" w:w="80"/>
              <w:right w:type="dxa" w:w="100"/>
            </w:tcMar>
            <w:vAlign w:val="center"/>
          </w:tcPr>
          <w:p>
            <w:r>
              <w:rPr>
                <w:b/>
                <w:bCs/>
                <w:sz w:val="19"/>
                <w:szCs w:val="19"/>
              </w:rPr>
              <w:t xml:space="preserve">Time to Complete</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1 semester–2 years depending on load; typical certificate path ~2 semesters (8–12 months) part-time.</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14.5–20 hours of on-demand video; self-paced, often finished in days.</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1–2 months, self-paced.</w:t>
            </w:r>
          </w:p>
        </w:tc>
        <w:tc>
          <w:tcPr>
            <w:tcW w:type="dxa" w:w="1776"/>
            <w:shd w:fill="E2EFDA" w:color="auto" w:val="clear"/>
            <w:tcMar>
              <w:top w:type="dxa" w:w="80"/>
              <w:left w:type="dxa" w:w="100"/>
              <w:bottom w:type="dxa" w:w="80"/>
              <w:right w:type="dxa" w:w="100"/>
            </w:tcMar>
            <w:vAlign w:val="center"/>
          </w:tcPr>
          <w:p>
            <w:pPr>
              <w:spacing w:after="30" w:before="40" w:line="250"/>
            </w:pPr>
            <w:r>
              <w:rPr>
                <w:b w:val="false"/>
                <w:bCs w:val="false"/>
                <w:sz w:val="18"/>
                <w:szCs w:val="18"/>
              </w:rPr>
              <w:t xml:space="preserve">10-day intensive “Essential Path” (~40 hrs) to MVR-ready; optional 12-month full simulation extension for deeper portfolio depth.</w:t>
            </w:r>
          </w:p>
        </w:tc>
      </w:tr>
      <w:tr>
        <w:tc>
          <w:tcPr>
            <w:tcW w:type="dxa" w:w="1500"/>
            <w:shd w:fill="DCE6F1" w:color="auto" w:val="clear"/>
            <w:tcMar>
              <w:top w:type="dxa" w:w="80"/>
              <w:left w:type="dxa" w:w="100"/>
              <w:bottom w:type="dxa" w:w="80"/>
              <w:right w:type="dxa" w:w="100"/>
            </w:tcMar>
            <w:vAlign w:val="center"/>
          </w:tcPr>
          <w:p>
            <w:r>
              <w:rPr>
                <w:b/>
                <w:bCs/>
                <w:sz w:val="19"/>
                <w:szCs w:val="19"/>
              </w:rPr>
              <w:t xml:space="preserve">Software Taught</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Not consistently specified; varies by school. Emphasis on accounting theory over a single named platform.</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Primarily Excel practice files; QuickBooks typically requires a separate, additional Udemy course.</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QuickBooks (with simulation exercises) and Excel.</w:t>
            </w:r>
          </w:p>
        </w:tc>
        <w:tc>
          <w:tcPr>
            <w:tcW w:type="dxa" w:w="1776"/>
            <w:shd w:fill="E2EFDA" w:color="auto" w:val="clear"/>
            <w:tcMar>
              <w:top w:type="dxa" w:w="80"/>
              <w:left w:type="dxa" w:w="100"/>
              <w:bottom w:type="dxa" w:w="80"/>
              <w:right w:type="dxa" w:w="100"/>
            </w:tcMar>
            <w:vAlign w:val="center"/>
          </w:tcPr>
          <w:p>
            <w:pPr>
              <w:spacing w:after="30" w:before="40" w:line="250"/>
            </w:pPr>
            <w:r>
              <w:rPr>
                <w:b w:val="false"/>
                <w:bCs w:val="false"/>
                <w:sz w:val="18"/>
                <w:szCs w:val="18"/>
              </w:rPr>
              <w:t xml:space="preserve">QuickBooks Online (the industry-standard version employers actually use) plus Excel (VLOOKUP, INDEX-MATCH, SUMIFS, pivot tables) — both taught inside one continuous workflow.</w:t>
            </w:r>
          </w:p>
        </w:tc>
      </w:tr>
      <w:tr>
        <w:tc>
          <w:tcPr>
            <w:tcW w:type="dxa" w:w="1500"/>
            <w:shd w:fill="DCE6F1" w:color="auto" w:val="clear"/>
            <w:tcMar>
              <w:top w:type="dxa" w:w="80"/>
              <w:left w:type="dxa" w:w="100"/>
              <w:bottom w:type="dxa" w:w="80"/>
              <w:right w:type="dxa" w:w="100"/>
            </w:tcMar>
            <w:vAlign w:val="center"/>
          </w:tcPr>
          <w:p>
            <w:r>
              <w:rPr>
                <w:b/>
                <w:bCs/>
                <w:sz w:val="19"/>
                <w:szCs w:val="19"/>
              </w:rPr>
              <w:t xml:space="preserve">Hands-On vs. Theory</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Theory-heavy: lecture + textbook problem sets; homework is graded exercises, not a persistent company.</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Lecture-heavy: short videos + quizzes + isolated downloadable practice files; no ongoing case company.</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Practical: case studies and QuickBooks simulation modules, but exercises are discrete, not a single continuous employer across a full year.</w:t>
            </w:r>
          </w:p>
        </w:tc>
        <w:tc>
          <w:tcPr>
            <w:tcW w:type="dxa" w:w="1776"/>
            <w:shd w:fill="E2EFDA" w:color="auto" w:val="clear"/>
            <w:tcMar>
              <w:top w:type="dxa" w:w="80"/>
              <w:left w:type="dxa" w:w="100"/>
              <w:bottom w:type="dxa" w:w="80"/>
              <w:right w:type="dxa" w:w="100"/>
            </w:tcMar>
            <w:vAlign w:val="center"/>
          </w:tcPr>
          <w:p>
            <w:pPr>
              <w:spacing w:after="30" w:before="40" w:line="250"/>
            </w:pPr>
            <w:r>
              <w:rPr>
                <w:b w:val="false"/>
                <w:bCs w:val="false"/>
                <w:sz w:val="18"/>
                <w:szCs w:val="18"/>
              </w:rPr>
              <w:t xml:space="preserve">~90%+ hands-on: every session pairs a short concept lesson with same-day hands-on processing of real transactions for one continuous fictional employer, Skarion Manufacturing LLC.</w:t>
            </w:r>
          </w:p>
        </w:tc>
      </w:tr>
      <w:tr>
        <w:tc>
          <w:tcPr>
            <w:tcW w:type="dxa" w:w="1500"/>
            <w:shd w:fill="DCE6F1" w:color="auto" w:val="clear"/>
            <w:tcMar>
              <w:top w:type="dxa" w:w="80"/>
              <w:left w:type="dxa" w:w="100"/>
              <w:bottom w:type="dxa" w:w="80"/>
              <w:right w:type="dxa" w:w="100"/>
            </w:tcMar>
            <w:vAlign w:val="center"/>
          </w:tcPr>
          <w:p>
            <w:r>
              <w:rPr>
                <w:b/>
                <w:bCs/>
                <w:sz w:val="19"/>
                <w:szCs w:val="19"/>
              </w:rPr>
              <w:t xml:space="preserve">Cost</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~$46–$400 per credit; a full certificate runs roughly $1,300–$8,000+ depending on institution and residency.</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List price $50–$150, almost always discounted to $9.99–$19.99 during frequent promotions.</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~$499 one-time (or 4 payments of $150); broader bootcamp market ranges $2,000–$10,000.</w:t>
            </w:r>
          </w:p>
        </w:tc>
        <w:tc>
          <w:tcPr>
            <w:tcW w:type="dxa" w:w="1776"/>
            <w:shd w:fill="E2EFDA" w:color="auto" w:val="clear"/>
            <w:tcMar>
              <w:top w:type="dxa" w:w="80"/>
              <w:left w:type="dxa" w:w="100"/>
              <w:bottom w:type="dxa" w:w="80"/>
              <w:right w:type="dxa" w:w="100"/>
            </w:tcMar>
            <w:vAlign w:val="center"/>
          </w:tcPr>
          <w:p>
            <w:pPr>
              <w:spacing w:after="30" w:before="40" w:line="250"/>
            </w:pPr>
            <w:r>
              <w:rPr>
                <w:b w:val="false"/>
                <w:bCs w:val="false"/>
                <w:sz w:val="18"/>
                <w:szCs w:val="18"/>
              </w:rPr>
              <w:t xml:space="preserve">Bundled inside Skarion's job-placement pipeline (not sold as a standalone course) — cost is the cost of the program the candidate is already enrolled in, not an added line item.</w:t>
            </w:r>
          </w:p>
        </w:tc>
      </w:tr>
      <w:tr>
        <w:tc>
          <w:tcPr>
            <w:tcW w:type="dxa" w:w="1500"/>
            <w:shd w:fill="DCE6F1" w:color="auto" w:val="clear"/>
            <w:tcMar>
              <w:top w:type="dxa" w:w="80"/>
              <w:left w:type="dxa" w:w="100"/>
              <w:bottom w:type="dxa" w:w="80"/>
              <w:right w:type="dxa" w:w="100"/>
            </w:tcMar>
            <w:vAlign w:val="center"/>
          </w:tcPr>
          <w:p>
            <w:r>
              <w:rPr>
                <w:b/>
                <w:bCs/>
                <w:sz w:val="19"/>
                <w:szCs w:val="19"/>
              </w:rPr>
              <w:t xml:space="preserve">Job Placement Support</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General campus career-services office; no accounting-specific placement program described on program pages.</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None. Udemy is not accredited; the deliverable is a certificate of completion, not career support.</w:t>
            </w:r>
          </w:p>
        </w:tc>
        <w:tc>
          <w:tcPr>
            <w:tcW w:type="dxa" w:w="1776"/>
            <w:shd w:fill="FFFFFF" w:color="auto" w:val="clear"/>
            <w:tcMar>
              <w:top w:type="dxa" w:w="80"/>
              <w:left w:type="dxa" w:w="100"/>
              <w:bottom w:type="dxa" w:w="80"/>
              <w:right w:type="dxa" w:w="100"/>
            </w:tcMar>
            <w:vAlign w:val="center"/>
          </w:tcPr>
          <w:p>
            <w:pPr>
              <w:spacing w:after="30" w:before="40" w:line="250"/>
            </w:pPr>
            <w:r>
              <w:rPr>
                <w:b w:val="false"/>
                <w:bCs w:val="false"/>
                <w:sz w:val="18"/>
                <w:szCs w:val="18"/>
              </w:rPr>
              <w:t xml:space="preserve">“Career Launchpad”: resume help, LinkedIn guidance, AI interview practice, job-search strategy, live workshops. Self-reported placement in 1–6 months.</w:t>
            </w:r>
          </w:p>
        </w:tc>
        <w:tc>
          <w:tcPr>
            <w:tcW w:type="dxa" w:w="1776"/>
            <w:shd w:fill="E2EFDA" w:color="auto" w:val="clear"/>
            <w:tcMar>
              <w:top w:type="dxa" w:w="80"/>
              <w:left w:type="dxa" w:w="100"/>
              <w:bottom w:type="dxa" w:w="80"/>
              <w:right w:type="dxa" w:w="100"/>
            </w:tcMar>
            <w:vAlign w:val="center"/>
          </w:tcPr>
          <w:p>
            <w:pPr>
              <w:spacing w:after="30" w:before="40" w:line="250"/>
            </w:pPr>
            <w:r>
              <w:rPr>
                <w:b w:val="false"/>
                <w:bCs w:val="false"/>
                <w:sz w:val="18"/>
                <w:szCs w:val="18"/>
              </w:rPr>
              <w:t xml:space="preserve">Built into the same pipeline: 120+ interview Q&amp;A bank, a documented “true-story” interview framework, 10-point MVR readiness checklist, and an 8-artifact portfolio built specifically to answer “walk me through a close you've done.”</w:t>
            </w:r>
          </w:p>
        </w:tc>
      </w:tr>
      <w:tr>
        <w:tc>
          <w:tcPr>
            <w:tcW w:type="dxa" w:w="1500"/>
            <w:shd w:fill="DCE6F1" w:color="auto" w:val="clear"/>
            <w:tcMar>
              <w:top w:type="dxa" w:w="80"/>
              <w:left w:type="dxa" w:w="100"/>
              <w:bottom w:type="dxa" w:w="80"/>
              <w:right w:type="dxa" w:w="100"/>
            </w:tcMar>
            <w:vAlign w:val="center"/>
          </w:tcPr>
          <w:p>
            <w:r>
              <w:rPr>
                <w:b/>
                <w:bCs/>
                <w:sz w:val="19"/>
                <w:szCs w:val="19"/>
              </w:rPr>
              <w:t xml:space="preserve">Simulates Real Work?</w:t>
            </w:r>
          </w:p>
        </w:tc>
        <w:tc>
          <w:tcPr>
            <w:tcW w:type="dxa" w:w="1776"/>
            <w:shd w:fill="FFFFFF" w:color="auto" w:val="clear"/>
            <w:tcMar>
              <w:top w:type="dxa" w:w="80"/>
              <w:left w:type="dxa" w:w="100"/>
              <w:bottom w:type="dxa" w:w="80"/>
              <w:right w:type="dxa" w:w="100"/>
            </w:tcMar>
            <w:vAlign w:val="center"/>
          </w:tcPr>
          <w:p>
            <w:pPr>
              <w:spacing w:after="30" w:before="40" w:line="250"/>
              <w:jc w:val="center"/>
            </w:pPr>
            <w:r>
              <w:rPr>
                <w:b/>
                <w:bCs/>
                <w:sz w:val="18"/>
                <w:szCs w:val="18"/>
              </w:rPr>
              <w:t xml:space="preserve">No</w:t>
            </w:r>
          </w:p>
        </w:tc>
        <w:tc>
          <w:tcPr>
            <w:tcW w:type="dxa" w:w="1776"/>
            <w:shd w:fill="FFFFFF" w:color="auto" w:val="clear"/>
            <w:tcMar>
              <w:top w:type="dxa" w:w="80"/>
              <w:left w:type="dxa" w:w="100"/>
              <w:bottom w:type="dxa" w:w="80"/>
              <w:right w:type="dxa" w:w="100"/>
            </w:tcMar>
            <w:vAlign w:val="center"/>
          </w:tcPr>
          <w:p>
            <w:pPr>
              <w:spacing w:after="30" w:before="40" w:line="250"/>
              <w:jc w:val="center"/>
            </w:pPr>
            <w:r>
              <w:rPr>
                <w:b/>
                <w:bCs/>
                <w:sz w:val="18"/>
                <w:szCs w:val="18"/>
              </w:rPr>
              <w:t xml:space="preserve">No</w:t>
            </w:r>
          </w:p>
        </w:tc>
        <w:tc>
          <w:tcPr>
            <w:tcW w:type="dxa" w:w="1776"/>
            <w:shd w:fill="FFFFFF" w:color="auto" w:val="clear"/>
            <w:tcMar>
              <w:top w:type="dxa" w:w="80"/>
              <w:left w:type="dxa" w:w="100"/>
              <w:bottom w:type="dxa" w:w="80"/>
              <w:right w:type="dxa" w:w="100"/>
            </w:tcMar>
            <w:vAlign w:val="center"/>
          </w:tcPr>
          <w:p>
            <w:pPr>
              <w:spacing w:after="30" w:before="40" w:line="250"/>
              <w:jc w:val="center"/>
            </w:pPr>
            <w:r>
              <w:rPr>
                <w:b/>
                <w:bCs/>
                <w:sz w:val="18"/>
                <w:szCs w:val="18"/>
              </w:rPr>
              <w:t xml:space="preserve">Partial</w:t>
            </w:r>
          </w:p>
        </w:tc>
        <w:tc>
          <w:tcPr>
            <w:tcW w:type="dxa" w:w="1776"/>
            <w:shd w:fill="C6E0B4" w:color="auto" w:val="clear"/>
            <w:tcMar>
              <w:top w:type="dxa" w:w="80"/>
              <w:left w:type="dxa" w:w="100"/>
              <w:bottom w:type="dxa" w:w="80"/>
              <w:right w:type="dxa" w:w="100"/>
            </w:tcMar>
            <w:vAlign w:val="center"/>
          </w:tcPr>
          <w:p>
            <w:pPr>
              <w:spacing w:after="30" w:before="40" w:line="250"/>
              <w:jc w:val="center"/>
            </w:pPr>
            <w:r>
              <w:rPr>
                <w:b/>
                <w:bCs/>
                <w:sz w:val="18"/>
                <w:szCs w:val="18"/>
              </w:rPr>
              <w:t xml:space="preserve">Yes</w:t>
            </w:r>
          </w:p>
        </w:tc>
      </w:tr>
    </w:tbl>
    <w:p>
      <w:pPr>
        <w:spacing w:before="200"/>
      </w:pPr>
      <w:r>
        <w:t xml:space="preserve"/>
      </w:r>
    </w:p>
    <w:p>
      <w:pPr>
        <w:pStyle w:val="Heading1"/>
        <w:spacing w:after="160" w:before="300"/>
      </w:pPr>
      <w:r>
        <w:t xml:space="preserve">3. What Makes Skarion's Course Different</w:t>
      </w:r>
    </w:p>
    <w:p>
      <w:pPr>
        <w:spacing w:after="120" w:before="60" w:line="276"/>
      </w:pPr>
      <w:r>
        <w:rPr>
          <w:b w:val="false"/>
          <w:bCs w:val="false"/>
          <w:i w:val="false"/>
          <w:iCs w:val="false"/>
          <w:sz w:val="21"/>
          <w:szCs w:val="21"/>
        </w:rPr>
        <w:t xml:space="preserve">Every alternative we researched teaches accounting. Only Skarion's course puts the candidate through a job. That distinction shows up in four concrete ways, each traceable to a specific design choice in the Accounting Track backbone (Parts 2, 5, and 7).</w:t>
      </w:r>
    </w:p>
    <w:p>
      <w:pPr>
        <w:pStyle w:val="Heading2"/>
        <w:spacing w:after="120" w:before="240"/>
      </w:pPr>
      <w:r>
        <w:t xml:space="preserve">3.1 A continuous employer, not a stack of exercises</w:t>
      </w:r>
    </w:p>
    <w:p>
      <w:pPr>
        <w:spacing w:after="120" w:before="60" w:line="276"/>
      </w:pPr>
      <w:r>
        <w:rPr>
          <w:b w:val="false"/>
          <w:bCs w:val="false"/>
          <w:i w:val="false"/>
          <w:iCs w:val="false"/>
          <w:sz w:val="21"/>
          <w:szCs w:val="21"/>
        </w:rPr>
        <w:t xml:space="preserve">The community college program is 8 discrete courses with graded homework problems. The Udemy course is 14.5–20 hours of video paired with isolated downloadable practice files — a new scenario every lecture. The bootcamp is closer, using QuickBooks simulation modules, but those modules are still separate case studies rather than one continuous set of books. Skarion candidates instead work for one employer, Skarion Manufacturing LLC — a $2M-revenue, 15-employee manufacturing company in Virginia with 20 recurring vendors, 30 recurring customers, a business loan, and 150–200 transactions a month — across a simulated year. A discrepancy a candidate finds in month 3 connects to a vendor and a chart-of-accounts structure they set up in month 1. None of the three alternatives replicate that continuity, which is precisely what makes an interview answer sound like a real job instead of a recited exercise.</w:t>
      </w:r>
    </w:p>
    <w:p>
      <w:pPr>
        <w:pStyle w:val="Heading2"/>
        <w:spacing w:after="120" w:before="240"/>
      </w:pPr>
      <w:r>
        <w:t xml:space="preserve">3.2 A true-story interview framework, not a certificate</w:t>
      </w:r>
    </w:p>
    <w:p>
      <w:pPr>
        <w:spacing w:after="120" w:before="60" w:line="276"/>
      </w:pPr>
      <w:r>
        <w:rPr>
          <w:b w:val="false"/>
          <w:bCs w:val="false"/>
          <w:i w:val="false"/>
          <w:iCs w:val="false"/>
          <w:sz w:val="21"/>
          <w:szCs w:val="21"/>
        </w:rPr>
        <w:t xml:space="preserve">None of the three alternatives is built around the interview. The community college offers general campus career services; Udemy offers a non-accredited certificate of completion and nothing else; the bootcamp comes closest with resume help, LinkedIn guidance, and AI-assisted interview practice. Skarion is the only one of the four built backward from the specific question candidates will be asked — “Walk me through a month-end close you've done” — using the course's own “1 Year Experience” story framework (Part 7): company, task, numbers, a specific problem, the fix, the lesson. Because the candidate actually performed the close in QuickBooks, the story is true, not rehearsed, which is why it survives follow-up questions the way a memorized bootcamp answer often doesn't.</w:t>
      </w:r>
    </w:p>
    <w:p>
      <w:pPr>
        <w:pStyle w:val="Heading2"/>
        <w:spacing w:after="120" w:before="240"/>
      </w:pPr>
      <w:r>
        <w:t xml:space="preserve">3.3 A pass/fail readiness bar, not a completion percentage</w:t>
      </w:r>
    </w:p>
    <w:p>
      <w:pPr>
        <w:spacing w:after="120" w:before="60" w:line="276"/>
      </w:pPr>
      <w:r>
        <w:rPr>
          <w:b w:val="false"/>
          <w:bCs w:val="false"/>
          <w:i w:val="false"/>
          <w:iCs w:val="false"/>
          <w:sz w:val="21"/>
          <w:szCs w:val="21"/>
        </w:rPr>
        <w:t xml:space="preserve">The other three programs measure completion: courses finished, units earned, or video watched. Skarion measures readiness against 10 specific, testable Minimum Viable Readiness (MVR) criteria (Part 5) — for example, “Reconcile a bank statement to the general ledger and explain any discrepancies found” and “Tell a specific story about ‘their’ month-end close with details, numbers, and lessons learned.” A candidate is not considered job-ready because they watched the lecture on bank reconciliation; they are job-ready because they can perform one and narrate it. This is a bar none of the three alternatives set.</w:t>
      </w:r>
    </w:p>
    <w:p>
      <w:pPr>
        <w:pStyle w:val="Heading2"/>
        <w:spacing w:after="120" w:before="240"/>
      </w:pPr>
      <w:r>
        <w:t xml:space="preserve">3.4 A portfolio of 8 real artifacts, not a certificate of completion</w:t>
      </w:r>
    </w:p>
    <w:p>
      <w:pPr>
        <w:spacing w:after="120" w:before="60" w:line="276"/>
      </w:pPr>
      <w:r>
        <w:rPr>
          <w:b w:val="false"/>
          <w:bCs w:val="false"/>
          <w:i w:val="false"/>
          <w:iCs w:val="false"/>
          <w:sz w:val="21"/>
          <w:szCs w:val="21"/>
        </w:rPr>
        <w:t xml:space="preserve">At the end of the community college certificate, the candidate has a transcript. At the end of the Udemy course, a PDF that Udemy itself notes carries no accreditation value. At the end of the bootcamp, a QuickBooks simulation record and a resume. At the end of Skarion's course, the candidate has 8 concrete work products (Part 7) they can literally open in an interview or attach to an application: the QuickBooks company file itself, three months of P&amp;L/Balance Sheet/Cash Flow statements, three months of bank reconciliation reports with discrepancy notes, AR/AP aging reports, an Excel expense dashboard with pivot tables, a completed month-end close checklist, a 1-page CEO management report, and a full journal entry log with explanations. These are artifacts an employer can evaluate directly — not a claim about a course completed, but evidence of work performed.</w:t>
      </w:r>
    </w:p>
    <w:p>
      <w:pPr>
        <w:pStyle w:val="Heading2"/>
        <w:spacing w:after="120" w:before="240"/>
      </w:pPr>
      <w:r>
        <w:t xml:space="preserve">3.5 The bottom line</w:t>
      </w:r>
    </w:p>
    <w:p>
      <w:pPr>
        <w:spacing w:after="120" w:before="60" w:line="276"/>
      </w:pPr>
      <w:r>
        <w:rPr>
          <w:b w:val="false"/>
          <w:bCs w:val="false"/>
          <w:i w:val="false"/>
          <w:iCs w:val="false"/>
          <w:sz w:val="21"/>
          <w:szCs w:val="21"/>
        </w:rPr>
        <w:t xml:space="preserve">Community college and Udemy-style courses answer “do you understand accounting?” The bootcamp gets partway to “have you touched QuickBooks?” Skarion is the only one of the four designed to answer the question employers actually ask a zero-experience candidate: “what have you done?” That is the gap Assignment 10 was scoped to identify, and it is the gap the rest of the Accounting Track backbone (Parts 3–4 and 7) is built to close.</w:t>
      </w:r>
    </w:p>
    <w:p>
      <w:pPr>
        <w:pStyle w:val="Heading1"/>
        <w:spacing w:after="160" w:before="300"/>
      </w:pPr>
      <w:r>
        <w:t xml:space="preserve">4. Sources</w:t>
      </w:r>
    </w:p>
    <w:p>
      <w:pPr>
        <w:spacing w:after="120" w:before="60" w:line="276"/>
      </w:pPr>
      <w:r>
        <w:rPr>
          <w:b w:val="false"/>
          <w:bCs w:val="false"/>
          <w:i w:val="false"/>
          <w:iCs w:val="false"/>
          <w:sz w:val="21"/>
          <w:szCs w:val="21"/>
        </w:rPr>
        <w:t xml:space="preserve">Community college accounting certificate:</w:t>
      </w:r>
    </w:p>
    <w:p>
      <w:pPr>
        <w:pStyle w:val="ListParagraph"/>
        <w:numPr>
          <w:ilvl w:val="0"/>
          <w:numId w:val="1"/>
        </w:numPr>
        <w:spacing w:after="40" w:before="40"/>
      </w:pPr>
      <w:r>
        <w:rPr>
          <w:sz w:val="19"/>
          <w:szCs w:val="19"/>
        </w:rPr>
        <w:t xml:space="preserve">Mt. San Antonio College — Online Certificate in Accounting — </w:t>
      </w:r>
      <w:hyperlink w:history="1" r:id="rId21ynw8hzaqfccumddsymv">
        <w:r>
          <w:rPr>
            <w:rStyle w:val="Hyperlink"/>
            <w:sz w:val="19"/>
            <w:szCs w:val="19"/>
          </w:rPr>
          <w:t xml:space="preserve">https://www.mtsac.edu/accounting/online-certificate/accounting.html</w:t>
        </w:r>
      </w:hyperlink>
    </w:p>
    <w:p>
      <w:pPr>
        <w:pStyle w:val="ListParagraph"/>
        <w:numPr>
          <w:ilvl w:val="0"/>
          <w:numId w:val="1"/>
        </w:numPr>
        <w:spacing w:after="40" w:before="40"/>
      </w:pPr>
      <w:r>
        <w:rPr>
          <w:sz w:val="19"/>
          <w:szCs w:val="19"/>
        </w:rPr>
        <w:t xml:space="preserve">Research.com — 2026 Best Accounting Certificate Programs — </w:t>
      </w:r>
      <w:hyperlink w:history="1" r:id="rIdb4vbaexoge6hljzclgmlz">
        <w:r>
          <w:rPr>
            <w:rStyle w:val="Hyperlink"/>
            <w:sz w:val="19"/>
            <w:szCs w:val="19"/>
          </w:rPr>
          <w:t xml:space="preserve">https://research.com/degrees/best-accounting-certificate-programs</w:t>
        </w:r>
      </w:hyperlink>
    </w:p>
    <w:p>
      <w:pPr>
        <w:pStyle w:val="ListParagraph"/>
        <w:numPr>
          <w:ilvl w:val="0"/>
          <w:numId w:val="1"/>
        </w:numPr>
        <w:spacing w:after="40" w:before="40"/>
      </w:pPr>
      <w:r>
        <w:rPr>
          <w:sz w:val="19"/>
          <w:szCs w:val="19"/>
        </w:rPr>
        <w:t xml:space="preserve">Community College of Baltimore County — Accounting Certificate — </w:t>
      </w:r>
      <w:hyperlink w:history="1" r:id="rIdeo24gqu-clhiict8-le4i">
        <w:r>
          <w:rPr>
            <w:rStyle w:val="Hyperlink"/>
            <w:sz w:val="19"/>
            <w:szCs w:val="19"/>
          </w:rPr>
          <w:t xml:space="preserve">https://www.ccbcmd.edu/Programs-and-Courses-Finder/Program/accounting-certificate.html</w:t>
        </w:r>
      </w:hyperlink>
    </w:p>
    <w:p>
      <w:pPr>
        <w:spacing w:after="120" w:before="60" w:line="276"/>
      </w:pPr>
      <w:r>
        <w:rPr>
          <w:b w:val="false"/>
          <w:bCs w:val="false"/>
          <w:i w:val="false"/>
          <w:iCs w:val="false"/>
          <w:sz w:val="21"/>
          <w:szCs w:val="21"/>
        </w:rPr>
        <w:t xml:space="preserve">Udemy / LinkedIn Learning-style course:</w:t>
      </w:r>
    </w:p>
    <w:p>
      <w:pPr>
        <w:pStyle w:val="ListParagraph"/>
        <w:numPr>
          <w:ilvl w:val="0"/>
          <w:numId w:val="1"/>
        </w:numPr>
        <w:spacing w:after="40" w:before="40"/>
      </w:pPr>
      <w:r>
        <w:rPr>
          <w:sz w:val="19"/>
          <w:szCs w:val="19"/>
        </w:rPr>
        <w:t xml:space="preserve">Udemy — Accounting &amp; Bookkeeping Masterclass: Beginner to Advanced — </w:t>
      </w:r>
      <w:hyperlink w:history="1" r:id="rIdhbe7gf2o1kpcmbn9xgxh5">
        <w:r>
          <w:rPr>
            <w:rStyle w:val="Hyperlink"/>
            <w:sz w:val="19"/>
            <w:szCs w:val="19"/>
          </w:rPr>
          <w:t xml:space="preserve">https://www.udemy.com/course/accounting-for-entrepreneurs/</w:t>
        </w:r>
      </w:hyperlink>
    </w:p>
    <w:p>
      <w:pPr>
        <w:pStyle w:val="ListParagraph"/>
        <w:numPr>
          <w:ilvl w:val="0"/>
          <w:numId w:val="1"/>
        </w:numPr>
        <w:spacing w:after="40" w:before="40"/>
      </w:pPr>
      <w:r>
        <w:rPr>
          <w:sz w:val="19"/>
          <w:szCs w:val="19"/>
        </w:rPr>
        <w:t xml:space="preserve">Udemy — Top Accounting Courses Online (July 2026) — </w:t>
      </w:r>
      <w:hyperlink w:history="1" r:id="rIdp4im0tybxstx5yddzopqr">
        <w:r>
          <w:rPr>
            <w:rStyle w:val="Hyperlink"/>
            <w:sz w:val="19"/>
            <w:szCs w:val="19"/>
          </w:rPr>
          <w:t xml:space="preserve">https://www.udemy.com/topic/accounting/</w:t>
        </w:r>
      </w:hyperlink>
    </w:p>
    <w:p>
      <w:pPr>
        <w:pStyle w:val="ListParagraph"/>
        <w:numPr>
          <w:ilvl w:val="0"/>
          <w:numId w:val="1"/>
        </w:numPr>
        <w:spacing w:after="40" w:before="40"/>
      </w:pPr>
      <w:r>
        <w:rPr>
          <w:sz w:val="19"/>
          <w:szCs w:val="19"/>
        </w:rPr>
        <w:t xml:space="preserve">Udemy Support — Certificates of Completion — </w:t>
      </w:r>
      <w:hyperlink w:history="1" r:id="rId1rdgfsztesqxqrr0dgvif">
        <w:r>
          <w:rPr>
            <w:rStyle w:val="Hyperlink"/>
            <w:sz w:val="19"/>
            <w:szCs w:val="19"/>
          </w:rPr>
          <w:t xml:space="preserve">https://support.udemy.com/hc/en-us/sections/360011037194-Certificates-of-completion</w:t>
        </w:r>
      </w:hyperlink>
    </w:p>
    <w:p>
      <w:pPr>
        <w:spacing w:after="120" w:before="60" w:line="276"/>
      </w:pPr>
      <w:r>
        <w:rPr>
          <w:b w:val="false"/>
          <w:bCs w:val="false"/>
          <w:i w:val="false"/>
          <w:iCs w:val="false"/>
          <w:sz w:val="21"/>
          <w:szCs w:val="21"/>
        </w:rPr>
        <w:t xml:space="preserve">Bootcamp-style program:</w:t>
      </w:r>
    </w:p>
    <w:p>
      <w:pPr>
        <w:pStyle w:val="ListParagraph"/>
        <w:numPr>
          <w:ilvl w:val="0"/>
          <w:numId w:val="1"/>
        </w:numPr>
        <w:spacing w:after="40" w:before="40"/>
      </w:pPr>
      <w:r>
        <w:rPr>
          <w:sz w:val="19"/>
          <w:szCs w:val="19"/>
        </w:rPr>
        <w:t xml:space="preserve">CourseCareers — 7 Best Entry-Level Accounting and Bookkeeping Courses 2026 — </w:t>
      </w:r>
      <w:hyperlink w:history="1" r:id="rIdwiplj2mssvleejciyrwgh">
        <w:r>
          <w:rPr>
            <w:rStyle w:val="Hyperlink"/>
            <w:sz w:val="19"/>
            <w:szCs w:val="19"/>
          </w:rPr>
          <w:t xml:space="preserve">https://coursecareers.com/blog-posts/7-best-accounting-and-bookkeeping-courses</w:t>
        </w:r>
      </w:hyperlink>
    </w:p>
    <w:p>
      <w:pPr>
        <w:pStyle w:val="ListParagraph"/>
        <w:numPr>
          <w:ilvl w:val="0"/>
          <w:numId w:val="1"/>
        </w:numPr>
        <w:spacing w:after="40" w:before="40"/>
      </w:pPr>
      <w:r>
        <w:rPr>
          <w:sz w:val="19"/>
          <w:szCs w:val="19"/>
        </w:rPr>
        <w:t xml:space="preserve">Noble Desktop — Which Accounting Bootcamp Is Best? — </w:t>
      </w:r>
      <w:hyperlink w:history="1" r:id="rIdrawvmnujvn0nzm5wrxxgd">
        <w:r>
          <w:rPr>
            <w:rStyle w:val="Hyperlink"/>
            <w:sz w:val="19"/>
            <w:szCs w:val="19"/>
          </w:rPr>
          <w:t xml:space="preserve">https://www.nobledesktop.com/learn/accounting/which-accounting-bootcamp-is-best</w:t>
        </w:r>
      </w:hyperlink>
    </w:p>
    <w:p>
      <w:pPr>
        <w:pStyle w:val="ListParagraph"/>
        <w:numPr>
          <w:ilvl w:val="0"/>
          <w:numId w:val="1"/>
        </w:numPr>
        <w:spacing w:after="40" w:before="40"/>
      </w:pPr>
      <w:r>
        <w:rPr>
          <w:sz w:val="19"/>
          <w:szCs w:val="19"/>
        </w:rPr>
        <w:t xml:space="preserve">Research.com — Accounting Degree vs. Bootcamp vs. Certificate (2026) — </w:t>
      </w:r>
      <w:hyperlink w:history="1" r:id="rId8qzwigmcigqhnt16xhpw3">
        <w:r>
          <w:rPr>
            <w:rStyle w:val="Hyperlink"/>
            <w:sz w:val="19"/>
            <w:szCs w:val="19"/>
          </w:rPr>
          <w:t xml:space="preserve">https://research.com/advice/accounting-degree-vs-bootcamp-vs-certificate-which-path-leads-to-better-career-outcomes</w:t>
        </w:r>
      </w:hyperlink>
    </w:p>
    <w:p>
      <w:pPr>
        <w:spacing w:after="120" w:before="60" w:line="276"/>
      </w:pPr>
      <w:r>
        <w:rPr>
          <w:b w:val="false"/>
          <w:bCs w:val="false"/>
          <w:i w:val="false"/>
          <w:iCs w:val="false"/>
          <w:sz w:val="21"/>
          <w:szCs w:val="21"/>
        </w:rPr>
        <w:t xml:space="preserve">Skarion Accounting Track (internal):</w:t>
      </w:r>
    </w:p>
    <w:p>
      <w:pPr>
        <w:spacing w:after="120" w:before="60" w:line="276"/>
      </w:pPr>
      <w:r>
        <w:rPr>
          <w:b w:val="false"/>
          <w:bCs w:val="false"/>
          <w:i/>
          <w:iCs/>
          <w:sz w:val="19"/>
          <w:szCs w:val="19"/>
        </w:rPr>
        <w:t xml:space="preserve">Accounting_Track_V1_Backbone.md — Parts 2, 3, 5, and 7 (course philosophy, 10-day essential path, Minimum Viable Readiness criteria, portfolio and interview framework).</w:t>
      </w:r>
    </w:p>
    <w:sectPr>
      <w:headerReference w:type="default" r:id="rId7"/>
      <w:footerReference w:type="default" r:id="rId8"/>
      <w:pgSz w:w="12240" w:h="15840" w:orient="portrait"/>
      <w:pgMar w:top="900" w:right="620" w:bottom="90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Skarion Accounting Track — Assignment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ynw8hzaqfccumddsymv" Type="http://schemas.openxmlformats.org/officeDocument/2006/relationships/hyperlink" Target="https://www.mtsac.edu/accounting/online-certificate/accounting.html" TargetMode="External"/><Relationship Id="rIdb4vbaexoge6hljzclgmlz" Type="http://schemas.openxmlformats.org/officeDocument/2006/relationships/hyperlink" Target="https://research.com/degrees/best-accounting-certificate-programs" TargetMode="External"/><Relationship Id="rIdeo24gqu-clhiict8-le4i" Type="http://schemas.openxmlformats.org/officeDocument/2006/relationships/hyperlink" Target="https://www.ccbcmd.edu/Programs-and-Courses-Finder/Program/accounting-certificate.html" TargetMode="External"/><Relationship Id="rIdhbe7gf2o1kpcmbn9xgxh5" Type="http://schemas.openxmlformats.org/officeDocument/2006/relationships/hyperlink" Target="https://www.udemy.com/course/accounting-for-entrepreneurs/" TargetMode="External"/><Relationship Id="rIdp4im0tybxstx5yddzopqr" Type="http://schemas.openxmlformats.org/officeDocument/2006/relationships/hyperlink" Target="https://www.udemy.com/topic/accounting/" TargetMode="External"/><Relationship Id="rId1rdgfsztesqxqrr0dgvif" Type="http://schemas.openxmlformats.org/officeDocument/2006/relationships/hyperlink" Target="https://support.udemy.com/hc/en-us/sections/360011037194-Certificates-of-completion" TargetMode="External"/><Relationship Id="rIdwiplj2mssvleejciyrwgh" Type="http://schemas.openxmlformats.org/officeDocument/2006/relationships/hyperlink" Target="https://coursecareers.com/blog-posts/7-best-accounting-and-bookkeeping-courses" TargetMode="External"/><Relationship Id="rIdrawvmnujvn0nzm5wrxxgd" Type="http://schemas.openxmlformats.org/officeDocument/2006/relationships/hyperlink" Target="https://www.nobledesktop.com/learn/accounting/which-accounting-bootcamp-is-best" TargetMode="External"/><Relationship Id="rId8qzwigmcigqhnt16xhpw3" Type="http://schemas.openxmlformats.org/officeDocument/2006/relationships/hyperlink" Target="https://research.com/advice/accounting-degree-vs-bootcamp-vs-certificate-which-path-leads-to-better-career-outcome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2026-07-15T20:31:58.642Z</dcterms:created>
  <dcterms:modified xsi:type="dcterms:W3CDTF">2026-07-15T20:31:58.642Z</dcterms:modified>
</cp:coreProperties>
</file>

<file path=docProps/custom.xml><?xml version="1.0" encoding="utf-8"?>
<Properties xmlns="http://schemas.openxmlformats.org/officeDocument/2006/custom-properties" xmlns:vt="http://schemas.openxmlformats.org/officeDocument/2006/docPropsVTypes"/>
</file>