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Aptos Display" w:hAnsi="Aptos Display"/>
          <w:b/>
          <w:color w:val="1F4E79"/>
          <w:sz w:val="32"/>
        </w:rPr>
        <w:t>US Payroll Basics for Accountants</w:t>
      </w:r>
    </w:p>
    <w:p>
      <w:pPr>
        <w:spacing w:after="100"/>
        <w:jc w:val="center"/>
      </w:pPr>
      <w:r>
        <w:rPr>
          <w:rFonts w:ascii="Aptos" w:hAnsi="Aptos"/>
          <w:i/>
          <w:sz w:val="17"/>
        </w:rPr>
        <w:t>2-Page Reference Sheet | Skarion Manufacturing LLC Accounting Simulation | Updated for 2026 federal payroll rules</w:t>
      </w:r>
    </w:p>
    <w:tbl>
      <w:tblPr>
        <w:tblW w:type="auto" w:w="0"/>
        <w:jc w:val="center"/>
        <w:tblLook w:firstColumn="1" w:firstRow="1" w:lastColumn="0" w:lastRow="0" w:noHBand="0" w:noVBand="1" w:val="04A0"/>
        <w:tblBorders>
          <w:top w:val="single" w:sz="4" w:space="0" w:color="9EADCC"/>
          <w:left w:val="single" w:sz="4" w:space="0" w:color="9EADCC"/>
          <w:bottom w:val="single" w:sz="4" w:space="0" w:color="9EADCC"/>
          <w:right w:val="single" w:sz="4" w:space="0" w:color="9EADCC"/>
          <w:insideH w:val="single" w:sz="4" w:space="0" w:color="9EADCC"/>
          <w:insideV w:val="single" w:sz="4" w:space="0" w:color="9EADCC"/>
        </w:tblBorders>
      </w:tblPr>
      <w:tblGrid>
        <w:gridCol w:w="10944"/>
      </w:tblGrid>
      <w:tr>
        <w:tc>
          <w:tcPr>
            <w:tcW w:type="dxa" w:w="10944"/>
            <w:tcMar>
              <w:top w:w="80" w:type="dxa"/>
              <w:start w:w="100" w:type="dxa"/>
              <w:bottom w:w="80" w:type="dxa"/>
              <w:end w:w="100" w:type="dxa"/>
            </w:tcMar>
            <w:shd w:fill="EAF1F8"/>
          </w:tcPr>
          <w:p>
            <w:pPr>
              <w:spacing w:after="0"/>
            </w:pPr>
            <w:r>
              <w:rPr>
                <w:rFonts w:ascii="Aptos" w:hAnsi="Aptos"/>
                <w:b/>
                <w:sz w:val="17"/>
              </w:rPr>
              <w:t xml:space="preserve">Use this sheet for practice: </w:t>
            </w:r>
            <w:r>
              <w:rPr>
                <w:rFonts w:ascii="Aptos" w:hAnsi="Aptos"/>
                <w:sz w:val="17"/>
              </w:rPr>
              <w:t>It explains the payroll mechanics students need for small-business accounting: gross pay, employee withholdings, employer payroll taxes, payroll journal entries, pay schedules, and QuickBooks Payroll workflow. It is a training reference, not legal or tax advice.</w:t>
            </w:r>
          </w:p>
        </w:tc>
      </w:tr>
    </w:tbl>
    <w:p>
      <w:pPr>
        <w:spacing w:after="40" w:before="60"/>
      </w:pPr>
      <w:r>
        <w:rPr>
          <w:rFonts w:ascii="Aptos Display" w:hAnsi="Aptos Display"/>
          <w:b/>
          <w:color w:val="1F4E79"/>
          <w:sz w:val="24"/>
        </w:rPr>
        <w:t>1. Payroll Flow: What Happens Each Pay Period</w:t>
      </w:r>
    </w:p>
    <w:p>
      <w:pPr>
        <w:pStyle w:val="ListBullet"/>
        <w:spacing w:after="0" w:before="0" w:line="240" w:lineRule="auto"/>
      </w:pPr>
      <w:r>
        <w:rPr>
          <w:rFonts w:ascii="Aptos" w:hAnsi="Aptos"/>
          <w:sz w:val="17"/>
        </w:rPr>
        <w:t>Collect setup data: employee Form W-4, state withholding form, pay rate, pay schedule, benefits, retirement deductions, and direct deposit details.</w:t>
      </w:r>
    </w:p>
    <w:p>
      <w:pPr>
        <w:pStyle w:val="ListBullet"/>
        <w:spacing w:after="0" w:before="0" w:line="240" w:lineRule="auto"/>
      </w:pPr>
      <w:r>
        <w:rPr>
          <w:rFonts w:ascii="Aptos" w:hAnsi="Aptos"/>
          <w:sz w:val="17"/>
        </w:rPr>
        <w:t>Calculate gross pay: salary per pay period or hourly wages plus overtime, bonuses, commissions, and taxable reimbursements.</w:t>
      </w:r>
    </w:p>
    <w:p>
      <w:pPr>
        <w:pStyle w:val="ListBullet"/>
        <w:spacing w:after="0" w:before="0" w:line="240" w:lineRule="auto"/>
      </w:pPr>
      <w:r>
        <w:rPr>
          <w:rFonts w:ascii="Aptos" w:hAnsi="Aptos"/>
          <w:sz w:val="17"/>
        </w:rPr>
        <w:t>Subtract employee withholdings: federal income tax, Social Security, Medicare, state/local income tax if applicable, and employee benefit or 401(k) deductions.</w:t>
      </w:r>
    </w:p>
    <w:p>
      <w:pPr>
        <w:pStyle w:val="ListBullet"/>
        <w:spacing w:after="0" w:before="0" w:line="240" w:lineRule="auto"/>
      </w:pPr>
      <w:r>
        <w:rPr>
          <w:rFonts w:ascii="Aptos" w:hAnsi="Aptos"/>
          <w:sz w:val="17"/>
        </w:rPr>
        <w:t>Add employer payroll taxes: employer Social Security, employer Medicare, FUTA, SUTA, and any state-specific employer payroll taxes.</w:t>
      </w:r>
    </w:p>
    <w:p>
      <w:pPr>
        <w:pStyle w:val="ListBullet"/>
        <w:spacing w:after="0" w:before="0" w:line="240" w:lineRule="auto"/>
      </w:pPr>
      <w:r>
        <w:rPr>
          <w:rFonts w:ascii="Aptos" w:hAnsi="Aptos"/>
          <w:sz w:val="17"/>
        </w:rPr>
        <w:t>Pay the employee net pay, record payroll expense and liabilities, then remit taxes and file forms by the required due dates.</w:t>
      </w:r>
    </w:p>
    <w:p>
      <w:pPr>
        <w:spacing w:after="40" w:before="60"/>
      </w:pPr>
      <w:r>
        <w:rPr>
          <w:rFonts w:ascii="Aptos Display" w:hAnsi="Aptos Display"/>
          <w:b/>
          <w:color w:val="1F4E79"/>
          <w:sz w:val="24"/>
        </w:rPr>
        <w:t>2. 2026 Federal Payroll Tax Quick Table</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736"/>
        <w:gridCol w:w="2736"/>
        <w:gridCol w:w="2736"/>
        <w:gridCol w:w="2736"/>
      </w:tblGrid>
      <w:tr>
        <w:tc>
          <w:tcPr>
            <w:tcW w:type="dxa" w:w="2736"/>
            <w:tcMar>
              <w:top w:w="55" w:type="dxa"/>
              <w:start w:w="50" w:type="dxa"/>
              <w:bottom w:w="55" w:type="dxa"/>
              <w:end w:w="50" w:type="dxa"/>
            </w:tcMar>
            <w:vAlign w:val="top"/>
            <w:shd w:fill="1F4E79"/>
          </w:tcPr>
          <w:p>
            <w:pPr>
              <w:spacing w:after="0" w:before="0" w:line="240" w:lineRule="auto"/>
            </w:pPr>
            <w:r>
              <w:rPr>
                <w:color w:val="FFFFFF"/>
              </w:rPr>
            </w:r>
            <w:r>
              <w:rPr>
                <w:rFonts w:ascii="Aptos" w:hAnsi="Aptos"/>
                <w:b/>
                <w:color w:val="FFFFFF"/>
                <w:sz w:val="15"/>
              </w:rPr>
              <w:t>Tax / Item</w:t>
            </w:r>
          </w:p>
        </w:tc>
        <w:tc>
          <w:tcPr>
            <w:tcW w:type="dxa" w:w="2736"/>
            <w:tcMar>
              <w:top w:w="55" w:type="dxa"/>
              <w:start w:w="50" w:type="dxa"/>
              <w:bottom w:w="55" w:type="dxa"/>
              <w:end w:w="50" w:type="dxa"/>
            </w:tcMar>
            <w:vAlign w:val="top"/>
            <w:shd w:fill="1F4E79"/>
          </w:tcPr>
          <w:p>
            <w:pPr>
              <w:spacing w:after="0" w:before="0" w:line="240" w:lineRule="auto"/>
            </w:pPr>
            <w:r>
              <w:rPr>
                <w:color w:val="FFFFFF"/>
              </w:rPr>
            </w:r>
            <w:r>
              <w:rPr>
                <w:rFonts w:ascii="Aptos" w:hAnsi="Aptos"/>
                <w:b/>
                <w:color w:val="FFFFFF"/>
                <w:sz w:val="15"/>
              </w:rPr>
              <w:t>Employee side</w:t>
            </w:r>
          </w:p>
        </w:tc>
        <w:tc>
          <w:tcPr>
            <w:tcW w:type="dxa" w:w="2736"/>
            <w:tcMar>
              <w:top w:w="55" w:type="dxa"/>
              <w:start w:w="50" w:type="dxa"/>
              <w:bottom w:w="55" w:type="dxa"/>
              <w:end w:w="50" w:type="dxa"/>
            </w:tcMar>
            <w:vAlign w:val="top"/>
            <w:shd w:fill="1F4E79"/>
          </w:tcPr>
          <w:p>
            <w:pPr>
              <w:spacing w:after="0" w:before="0" w:line="240" w:lineRule="auto"/>
            </w:pPr>
            <w:r>
              <w:rPr>
                <w:color w:val="FFFFFF"/>
              </w:rPr>
            </w:r>
            <w:r>
              <w:rPr>
                <w:rFonts w:ascii="Aptos" w:hAnsi="Aptos"/>
                <w:b/>
                <w:color w:val="FFFFFF"/>
                <w:sz w:val="15"/>
              </w:rPr>
              <w:t>Employer side</w:t>
            </w:r>
          </w:p>
        </w:tc>
        <w:tc>
          <w:tcPr>
            <w:tcW w:type="dxa" w:w="2736"/>
            <w:tcMar>
              <w:top w:w="55" w:type="dxa"/>
              <w:start w:w="50" w:type="dxa"/>
              <w:bottom w:w="55" w:type="dxa"/>
              <w:end w:w="50" w:type="dxa"/>
            </w:tcMar>
            <w:vAlign w:val="top"/>
            <w:shd w:fill="1F4E79"/>
          </w:tcPr>
          <w:p>
            <w:pPr>
              <w:spacing w:after="0" w:before="0" w:line="240" w:lineRule="auto"/>
            </w:pPr>
            <w:r>
              <w:rPr>
                <w:color w:val="FFFFFF"/>
              </w:rPr>
            </w:r>
            <w:r>
              <w:rPr>
                <w:rFonts w:ascii="Aptos" w:hAnsi="Aptos"/>
                <w:b/>
                <w:color w:val="FFFFFF"/>
                <w:sz w:val="15"/>
              </w:rPr>
              <w:t>Accountant note</w:t>
            </w:r>
          </w:p>
        </w:tc>
      </w:tr>
      <w:tr>
        <w:tc>
          <w:tcPr>
            <w:tcW w:type="dxa" w:w="2736"/>
            <w:tcMar>
              <w:top w:w="55" w:type="dxa"/>
              <w:start w:w="50" w:type="dxa"/>
              <w:bottom w:w="55" w:type="dxa"/>
              <w:end w:w="50" w:type="dxa"/>
            </w:tcMar>
            <w:vAlign w:val="top"/>
          </w:tcPr>
          <w:p>
            <w:pPr>
              <w:spacing w:after="0" w:before="0" w:line="240" w:lineRule="auto"/>
            </w:pPr>
            <w:r/>
            <w:r>
              <w:rPr>
                <w:rFonts w:ascii="Aptos" w:hAnsi="Aptos"/>
                <w:b w:val="0"/>
                <w:sz w:val="14"/>
              </w:rPr>
              <w:t>Federal income tax withholding</w:t>
            </w:r>
          </w:p>
        </w:tc>
        <w:tc>
          <w:tcPr>
            <w:tcW w:type="dxa" w:w="2736"/>
            <w:tcMar>
              <w:top w:w="55" w:type="dxa"/>
              <w:start w:w="50" w:type="dxa"/>
              <w:bottom w:w="55" w:type="dxa"/>
              <w:end w:w="50" w:type="dxa"/>
            </w:tcMar>
            <w:vAlign w:val="top"/>
          </w:tcPr>
          <w:p>
            <w:pPr>
              <w:spacing w:after="0" w:before="0" w:line="240" w:lineRule="auto"/>
            </w:pPr>
            <w:r/>
            <w:r>
              <w:rPr>
                <w:rFonts w:ascii="Aptos" w:hAnsi="Aptos"/>
                <w:b w:val="0"/>
                <w:sz w:val="14"/>
              </w:rPr>
              <w:t>Withheld from employee pay; no single flat rate for regular wages.</w:t>
            </w:r>
          </w:p>
        </w:tc>
        <w:tc>
          <w:tcPr>
            <w:tcW w:type="dxa" w:w="2736"/>
            <w:tcMar>
              <w:top w:w="55" w:type="dxa"/>
              <w:start w:w="50" w:type="dxa"/>
              <w:bottom w:w="55" w:type="dxa"/>
              <w:end w:w="50" w:type="dxa"/>
            </w:tcMar>
            <w:vAlign w:val="top"/>
          </w:tcPr>
          <w:p>
            <w:pPr>
              <w:spacing w:after="0" w:before="0" w:line="240" w:lineRule="auto"/>
            </w:pPr>
            <w:r/>
            <w:r>
              <w:rPr>
                <w:rFonts w:ascii="Aptos" w:hAnsi="Aptos"/>
                <w:b w:val="0"/>
                <w:sz w:val="14"/>
              </w:rPr>
              <w:t>No employer match.</w:t>
            </w:r>
          </w:p>
        </w:tc>
        <w:tc>
          <w:tcPr>
            <w:tcW w:type="dxa" w:w="2736"/>
            <w:tcMar>
              <w:top w:w="55" w:type="dxa"/>
              <w:start w:w="50" w:type="dxa"/>
              <w:bottom w:w="55" w:type="dxa"/>
              <w:end w:w="50" w:type="dxa"/>
            </w:tcMar>
            <w:vAlign w:val="top"/>
          </w:tcPr>
          <w:p>
            <w:pPr>
              <w:spacing w:after="0" w:before="0" w:line="240" w:lineRule="auto"/>
            </w:pPr>
            <w:r/>
            <w:r>
              <w:rPr>
                <w:rFonts w:ascii="Aptos" w:hAnsi="Aptos"/>
                <w:b w:val="0"/>
                <w:sz w:val="14"/>
              </w:rPr>
              <w:t>Calculate from Form W-4, taxable wages, pay frequency, and IRS Pub. 15-T tables.</w:t>
            </w:r>
          </w:p>
        </w:tc>
      </w:tr>
      <w:tr>
        <w:tc>
          <w:tcPr>
            <w:tcW w:type="dxa" w:w="2736"/>
            <w:tcMar>
              <w:top w:w="55" w:type="dxa"/>
              <w:start w:w="50" w:type="dxa"/>
              <w:bottom w:w="55" w:type="dxa"/>
              <w:end w:w="50" w:type="dxa"/>
            </w:tcMar>
            <w:vAlign w:val="top"/>
            <w:shd w:fill="F2F6FA"/>
          </w:tcPr>
          <w:p>
            <w:pPr>
              <w:spacing w:after="0" w:before="0" w:line="240" w:lineRule="auto"/>
            </w:pPr>
            <w:r/>
            <w:r>
              <w:rPr>
                <w:rFonts w:ascii="Aptos" w:hAnsi="Aptos"/>
                <w:b w:val="0"/>
                <w:sz w:val="14"/>
              </w:rPr>
              <w:t>Social Security tax</w:t>
            </w:r>
          </w:p>
        </w:tc>
        <w:tc>
          <w:tcPr>
            <w:tcW w:type="dxa" w:w="2736"/>
            <w:tcMar>
              <w:top w:w="55" w:type="dxa"/>
              <w:start w:w="50" w:type="dxa"/>
              <w:bottom w:w="55" w:type="dxa"/>
              <w:end w:w="50" w:type="dxa"/>
            </w:tcMar>
            <w:vAlign w:val="top"/>
            <w:shd w:fill="F2F6FA"/>
          </w:tcPr>
          <w:p>
            <w:pPr>
              <w:spacing w:after="0" w:before="0" w:line="240" w:lineRule="auto"/>
            </w:pPr>
            <w:r/>
            <w:r>
              <w:rPr>
                <w:rFonts w:ascii="Aptos" w:hAnsi="Aptos"/>
                <w:b w:val="0"/>
                <w:sz w:val="14"/>
              </w:rPr>
              <w:t>6.2% of wages up to the 2026 wage base of $184,500.</w:t>
            </w:r>
          </w:p>
        </w:tc>
        <w:tc>
          <w:tcPr>
            <w:tcW w:type="dxa" w:w="2736"/>
            <w:tcMar>
              <w:top w:w="55" w:type="dxa"/>
              <w:start w:w="50" w:type="dxa"/>
              <w:bottom w:w="55" w:type="dxa"/>
              <w:end w:w="50" w:type="dxa"/>
            </w:tcMar>
            <w:vAlign w:val="top"/>
            <w:shd w:fill="F2F6FA"/>
          </w:tcPr>
          <w:p>
            <w:pPr>
              <w:spacing w:after="0" w:before="0" w:line="240" w:lineRule="auto"/>
            </w:pPr>
            <w:r/>
            <w:r>
              <w:rPr>
                <w:rFonts w:ascii="Aptos" w:hAnsi="Aptos"/>
                <w:b w:val="0"/>
                <w:sz w:val="14"/>
              </w:rPr>
              <w:t>6.2% match up to the same wage base.</w:t>
            </w:r>
          </w:p>
        </w:tc>
        <w:tc>
          <w:tcPr>
            <w:tcW w:type="dxa" w:w="2736"/>
            <w:tcMar>
              <w:top w:w="55" w:type="dxa"/>
              <w:start w:w="50" w:type="dxa"/>
              <w:bottom w:w="55" w:type="dxa"/>
              <w:end w:w="50" w:type="dxa"/>
            </w:tcMar>
            <w:vAlign w:val="top"/>
            <w:shd w:fill="F2F6FA"/>
          </w:tcPr>
          <w:p>
            <w:pPr>
              <w:spacing w:after="0" w:before="0" w:line="240" w:lineRule="auto"/>
            </w:pPr>
            <w:r/>
            <w:r>
              <w:rPr>
                <w:rFonts w:ascii="Aptos" w:hAnsi="Aptos"/>
                <w:b w:val="0"/>
                <w:sz w:val="14"/>
              </w:rPr>
              <w:t>Part of FICA. Stop withholding after the employee reaches the wage base.</w:t>
            </w:r>
          </w:p>
        </w:tc>
      </w:tr>
      <w:tr>
        <w:tc>
          <w:tcPr>
            <w:tcW w:type="dxa" w:w="2736"/>
            <w:tcMar>
              <w:top w:w="55" w:type="dxa"/>
              <w:start w:w="50" w:type="dxa"/>
              <w:bottom w:w="55" w:type="dxa"/>
              <w:end w:w="50" w:type="dxa"/>
            </w:tcMar>
            <w:vAlign w:val="top"/>
          </w:tcPr>
          <w:p>
            <w:pPr>
              <w:spacing w:after="0" w:before="0" w:line="240" w:lineRule="auto"/>
            </w:pPr>
            <w:r/>
            <w:r>
              <w:rPr>
                <w:rFonts w:ascii="Aptos" w:hAnsi="Aptos"/>
                <w:b w:val="0"/>
                <w:sz w:val="14"/>
              </w:rPr>
              <w:t>Medicare tax</w:t>
            </w:r>
          </w:p>
        </w:tc>
        <w:tc>
          <w:tcPr>
            <w:tcW w:type="dxa" w:w="2736"/>
            <w:tcMar>
              <w:top w:w="55" w:type="dxa"/>
              <w:start w:w="50" w:type="dxa"/>
              <w:bottom w:w="55" w:type="dxa"/>
              <w:end w:w="50" w:type="dxa"/>
            </w:tcMar>
            <w:vAlign w:val="top"/>
          </w:tcPr>
          <w:p>
            <w:pPr>
              <w:spacing w:after="0" w:before="0" w:line="240" w:lineRule="auto"/>
            </w:pPr>
            <w:r/>
            <w:r>
              <w:rPr>
                <w:rFonts w:ascii="Aptos" w:hAnsi="Aptos"/>
                <w:b w:val="0"/>
                <w:sz w:val="14"/>
              </w:rPr>
              <w:t>1.45% of all covered wages.</w:t>
            </w:r>
          </w:p>
        </w:tc>
        <w:tc>
          <w:tcPr>
            <w:tcW w:type="dxa" w:w="2736"/>
            <w:tcMar>
              <w:top w:w="55" w:type="dxa"/>
              <w:start w:w="50" w:type="dxa"/>
              <w:bottom w:w="55" w:type="dxa"/>
              <w:end w:w="50" w:type="dxa"/>
            </w:tcMar>
            <w:vAlign w:val="top"/>
          </w:tcPr>
          <w:p>
            <w:pPr>
              <w:spacing w:after="0" w:before="0" w:line="240" w:lineRule="auto"/>
            </w:pPr>
            <w:r/>
            <w:r>
              <w:rPr>
                <w:rFonts w:ascii="Aptos" w:hAnsi="Aptos"/>
                <w:b w:val="0"/>
                <w:sz w:val="14"/>
              </w:rPr>
              <w:t>1.45% match on all covered wages.</w:t>
            </w:r>
          </w:p>
        </w:tc>
        <w:tc>
          <w:tcPr>
            <w:tcW w:type="dxa" w:w="2736"/>
            <w:tcMar>
              <w:top w:w="55" w:type="dxa"/>
              <w:start w:w="50" w:type="dxa"/>
              <w:bottom w:w="55" w:type="dxa"/>
              <w:end w:w="50" w:type="dxa"/>
            </w:tcMar>
            <w:vAlign w:val="top"/>
          </w:tcPr>
          <w:p>
            <w:pPr>
              <w:spacing w:after="0" w:before="0" w:line="240" w:lineRule="auto"/>
            </w:pPr>
            <w:r/>
            <w:r>
              <w:rPr>
                <w:rFonts w:ascii="Aptos" w:hAnsi="Aptos"/>
                <w:b w:val="0"/>
                <w:sz w:val="14"/>
              </w:rPr>
              <w:t>No wage base limit.</w:t>
            </w:r>
          </w:p>
        </w:tc>
      </w:tr>
      <w:tr>
        <w:tc>
          <w:tcPr>
            <w:tcW w:type="dxa" w:w="2736"/>
            <w:tcMar>
              <w:top w:w="55" w:type="dxa"/>
              <w:start w:w="50" w:type="dxa"/>
              <w:bottom w:w="55" w:type="dxa"/>
              <w:end w:w="50" w:type="dxa"/>
            </w:tcMar>
            <w:vAlign w:val="top"/>
            <w:shd w:fill="F2F6FA"/>
          </w:tcPr>
          <w:p>
            <w:pPr>
              <w:spacing w:after="0" w:before="0" w:line="240" w:lineRule="auto"/>
            </w:pPr>
            <w:r/>
            <w:r>
              <w:rPr>
                <w:rFonts w:ascii="Aptos" w:hAnsi="Aptos"/>
                <w:b w:val="0"/>
                <w:sz w:val="14"/>
              </w:rPr>
              <w:t>Additional Medicare Tax</w:t>
            </w:r>
          </w:p>
        </w:tc>
        <w:tc>
          <w:tcPr>
            <w:tcW w:type="dxa" w:w="2736"/>
            <w:tcMar>
              <w:top w:w="55" w:type="dxa"/>
              <w:start w:w="50" w:type="dxa"/>
              <w:bottom w:w="55" w:type="dxa"/>
              <w:end w:w="50" w:type="dxa"/>
            </w:tcMar>
            <w:vAlign w:val="top"/>
            <w:shd w:fill="F2F6FA"/>
          </w:tcPr>
          <w:p>
            <w:pPr>
              <w:spacing w:after="0" w:before="0" w:line="240" w:lineRule="auto"/>
            </w:pPr>
            <w:r/>
            <w:r>
              <w:rPr>
                <w:rFonts w:ascii="Aptos" w:hAnsi="Aptos"/>
                <w:b w:val="0"/>
                <w:sz w:val="14"/>
              </w:rPr>
              <w:t>Extra 0.9% on employee wages above $200,000 in the calendar year.</w:t>
            </w:r>
          </w:p>
        </w:tc>
        <w:tc>
          <w:tcPr>
            <w:tcW w:type="dxa" w:w="2736"/>
            <w:tcMar>
              <w:top w:w="55" w:type="dxa"/>
              <w:start w:w="50" w:type="dxa"/>
              <w:bottom w:w="55" w:type="dxa"/>
              <w:end w:w="50" w:type="dxa"/>
            </w:tcMar>
            <w:vAlign w:val="top"/>
            <w:shd w:fill="F2F6FA"/>
          </w:tcPr>
          <w:p>
            <w:pPr>
              <w:spacing w:after="0" w:before="0" w:line="240" w:lineRule="auto"/>
            </w:pPr>
            <w:r/>
            <w:r>
              <w:rPr>
                <w:rFonts w:ascii="Aptos" w:hAnsi="Aptos"/>
                <w:b w:val="0"/>
                <w:sz w:val="14"/>
              </w:rPr>
              <w:t>No employer share.</w:t>
            </w:r>
          </w:p>
        </w:tc>
        <w:tc>
          <w:tcPr>
            <w:tcW w:type="dxa" w:w="2736"/>
            <w:tcMar>
              <w:top w:w="55" w:type="dxa"/>
              <w:start w:w="50" w:type="dxa"/>
              <w:bottom w:w="55" w:type="dxa"/>
              <w:end w:w="50" w:type="dxa"/>
            </w:tcMar>
            <w:vAlign w:val="top"/>
            <w:shd w:fill="F2F6FA"/>
          </w:tcPr>
          <w:p>
            <w:pPr>
              <w:spacing w:after="0" w:before="0" w:line="240" w:lineRule="auto"/>
            </w:pPr>
            <w:r/>
            <w:r>
              <w:rPr>
                <w:rFonts w:ascii="Aptos" w:hAnsi="Aptos"/>
                <w:b w:val="0"/>
                <w:sz w:val="14"/>
              </w:rPr>
              <w:t>Begin withholding in the pay period wages exceed $200,000.</w:t>
            </w:r>
          </w:p>
        </w:tc>
      </w:tr>
      <w:tr>
        <w:tc>
          <w:tcPr>
            <w:tcW w:type="dxa" w:w="2736"/>
            <w:tcMar>
              <w:top w:w="55" w:type="dxa"/>
              <w:start w:w="50" w:type="dxa"/>
              <w:bottom w:w="55" w:type="dxa"/>
              <w:end w:w="50" w:type="dxa"/>
            </w:tcMar>
            <w:vAlign w:val="top"/>
          </w:tcPr>
          <w:p>
            <w:pPr>
              <w:spacing w:after="0" w:before="0" w:line="240" w:lineRule="auto"/>
            </w:pPr>
            <w:r/>
            <w:r>
              <w:rPr>
                <w:rFonts w:ascii="Aptos" w:hAnsi="Aptos"/>
                <w:b w:val="0"/>
                <w:sz w:val="14"/>
              </w:rPr>
              <w:t>FUTA</w:t>
            </w:r>
          </w:p>
        </w:tc>
        <w:tc>
          <w:tcPr>
            <w:tcW w:type="dxa" w:w="2736"/>
            <w:tcMar>
              <w:top w:w="55" w:type="dxa"/>
              <w:start w:w="50" w:type="dxa"/>
              <w:bottom w:w="55" w:type="dxa"/>
              <w:end w:w="50" w:type="dxa"/>
            </w:tcMar>
            <w:vAlign w:val="top"/>
          </w:tcPr>
          <w:p>
            <w:pPr>
              <w:spacing w:after="0" w:before="0" w:line="240" w:lineRule="auto"/>
            </w:pPr>
            <w:r/>
            <w:r>
              <w:rPr>
                <w:rFonts w:ascii="Aptos" w:hAnsi="Aptos"/>
                <w:b w:val="0"/>
                <w:sz w:val="14"/>
              </w:rPr>
              <w:t>None.</w:t>
            </w:r>
          </w:p>
        </w:tc>
        <w:tc>
          <w:tcPr>
            <w:tcW w:type="dxa" w:w="2736"/>
            <w:tcMar>
              <w:top w:w="55" w:type="dxa"/>
              <w:start w:w="50" w:type="dxa"/>
              <w:bottom w:w="55" w:type="dxa"/>
              <w:end w:w="50" w:type="dxa"/>
            </w:tcMar>
            <w:vAlign w:val="top"/>
          </w:tcPr>
          <w:p>
            <w:pPr>
              <w:spacing w:after="0" w:before="0" w:line="240" w:lineRule="auto"/>
            </w:pPr>
            <w:r/>
            <w:r>
              <w:rPr>
                <w:rFonts w:ascii="Aptos" w:hAnsi="Aptos"/>
                <w:b w:val="0"/>
                <w:sz w:val="14"/>
              </w:rPr>
              <w:t>6.0% on first $7,000 of annual wages; usually 0.6% after max 5.4% state unemployment credit.</w:t>
            </w:r>
          </w:p>
        </w:tc>
        <w:tc>
          <w:tcPr>
            <w:tcW w:type="dxa" w:w="2736"/>
            <w:tcMar>
              <w:top w:w="55" w:type="dxa"/>
              <w:start w:w="50" w:type="dxa"/>
              <w:bottom w:w="55" w:type="dxa"/>
              <w:end w:w="50" w:type="dxa"/>
            </w:tcMar>
            <w:vAlign w:val="top"/>
          </w:tcPr>
          <w:p>
            <w:pPr>
              <w:spacing w:after="0" w:before="0" w:line="240" w:lineRule="auto"/>
            </w:pPr>
            <w:r/>
            <w:r>
              <w:rPr>
                <w:rFonts w:ascii="Aptos" w:hAnsi="Aptos"/>
                <w:b w:val="0"/>
                <w:sz w:val="14"/>
              </w:rPr>
              <w:t>Employer-only federal unemployment tax. Report on Form 940.</w:t>
            </w:r>
          </w:p>
        </w:tc>
      </w:tr>
      <w:tr>
        <w:tc>
          <w:tcPr>
            <w:tcW w:type="dxa" w:w="2736"/>
            <w:tcMar>
              <w:top w:w="55" w:type="dxa"/>
              <w:start w:w="50" w:type="dxa"/>
              <w:bottom w:w="55" w:type="dxa"/>
              <w:end w:w="50" w:type="dxa"/>
            </w:tcMar>
            <w:vAlign w:val="top"/>
            <w:shd w:fill="F2F6FA"/>
          </w:tcPr>
          <w:p>
            <w:pPr>
              <w:spacing w:after="0" w:before="0" w:line="240" w:lineRule="auto"/>
            </w:pPr>
            <w:r/>
            <w:r>
              <w:rPr>
                <w:rFonts w:ascii="Aptos" w:hAnsi="Aptos"/>
                <w:b w:val="0"/>
                <w:sz w:val="14"/>
              </w:rPr>
              <w:t>SUTA</w:t>
            </w:r>
          </w:p>
        </w:tc>
        <w:tc>
          <w:tcPr>
            <w:tcW w:type="dxa" w:w="2736"/>
            <w:tcMar>
              <w:top w:w="55" w:type="dxa"/>
              <w:start w:w="50" w:type="dxa"/>
              <w:bottom w:w="55" w:type="dxa"/>
              <w:end w:w="50" w:type="dxa"/>
            </w:tcMar>
            <w:vAlign w:val="top"/>
            <w:shd w:fill="F2F6FA"/>
          </w:tcPr>
          <w:p>
            <w:pPr>
              <w:spacing w:after="0" w:before="0" w:line="240" w:lineRule="auto"/>
            </w:pPr>
            <w:r/>
            <w:r>
              <w:rPr>
                <w:rFonts w:ascii="Aptos" w:hAnsi="Aptos"/>
                <w:b w:val="0"/>
                <w:sz w:val="14"/>
              </w:rPr>
              <w:t>Usually none, but some states have employee-side items.</w:t>
            </w:r>
          </w:p>
        </w:tc>
        <w:tc>
          <w:tcPr>
            <w:tcW w:type="dxa" w:w="2736"/>
            <w:tcMar>
              <w:top w:w="55" w:type="dxa"/>
              <w:start w:w="50" w:type="dxa"/>
              <w:bottom w:w="55" w:type="dxa"/>
              <w:end w:w="50" w:type="dxa"/>
            </w:tcMar>
            <w:vAlign w:val="top"/>
            <w:shd w:fill="F2F6FA"/>
          </w:tcPr>
          <w:p>
            <w:pPr>
              <w:spacing w:after="0" w:before="0" w:line="240" w:lineRule="auto"/>
            </w:pPr>
            <w:r/>
            <w:r>
              <w:rPr>
                <w:rFonts w:ascii="Aptos" w:hAnsi="Aptos"/>
                <w:b w:val="0"/>
                <w:sz w:val="14"/>
              </w:rPr>
              <w:t>State-assigned rate and wage base.</w:t>
            </w:r>
          </w:p>
        </w:tc>
        <w:tc>
          <w:tcPr>
            <w:tcW w:type="dxa" w:w="2736"/>
            <w:tcMar>
              <w:top w:w="55" w:type="dxa"/>
              <w:start w:w="50" w:type="dxa"/>
              <w:bottom w:w="55" w:type="dxa"/>
              <w:end w:w="50" w:type="dxa"/>
            </w:tcMar>
            <w:vAlign w:val="top"/>
            <w:shd w:fill="F2F6FA"/>
          </w:tcPr>
          <w:p>
            <w:pPr>
              <w:spacing w:after="0" w:before="0" w:line="240" w:lineRule="auto"/>
            </w:pPr>
            <w:r/>
            <w:r>
              <w:rPr>
                <w:rFonts w:ascii="Aptos" w:hAnsi="Aptos"/>
                <w:b w:val="0"/>
                <w:sz w:val="14"/>
              </w:rPr>
              <w:t>Virginia training assumption: new employer base rate 2.5% on first $8,000 of wages unless instructor gives a different rate.</w:t>
            </w:r>
          </w:p>
        </w:tc>
      </w:tr>
    </w:tbl>
    <w:p>
      <w:pPr>
        <w:spacing w:after="40" w:before="60"/>
      </w:pPr>
      <w:r>
        <w:rPr>
          <w:rFonts w:ascii="Aptos Display" w:hAnsi="Aptos Display"/>
          <w:b/>
          <w:color w:val="1F4E79"/>
          <w:sz w:val="24"/>
        </w:rPr>
        <w:t>3. Federal Income Tax Withholding: Simple Process</w:t>
      </w:r>
    </w:p>
    <w:p>
      <w:pPr>
        <w:pStyle w:val="ListBullet"/>
        <w:spacing w:after="0" w:before="0" w:line="240" w:lineRule="auto"/>
      </w:pPr>
      <w:r>
        <w:rPr>
          <w:rFonts w:ascii="Aptos" w:hAnsi="Aptos"/>
          <w:sz w:val="16"/>
        </w:rPr>
        <w:t>Use the employee’s latest Form W-4. Do not guess filing status, dependents, or extra withholding. Tiny detail, massive audit gremlin.</w:t>
      </w:r>
    </w:p>
    <w:p>
      <w:pPr>
        <w:pStyle w:val="ListBullet"/>
        <w:spacing w:after="0" w:before="0" w:line="240" w:lineRule="auto"/>
      </w:pPr>
      <w:r>
        <w:rPr>
          <w:rFonts w:ascii="Aptos" w:hAnsi="Aptos"/>
          <w:sz w:val="16"/>
        </w:rPr>
        <w:t>Start with taxable wages after pre-tax deductions, then select the correct pay period: weekly, biweekly, semimonthly, monthly, or daily/miscellaneous.</w:t>
      </w:r>
    </w:p>
    <w:p>
      <w:pPr>
        <w:pStyle w:val="ListBullet"/>
        <w:spacing w:after="0" w:before="0" w:line="240" w:lineRule="auto"/>
      </w:pPr>
      <w:r>
        <w:rPr>
          <w:rFonts w:ascii="Aptos" w:hAnsi="Aptos"/>
          <w:sz w:val="16"/>
        </w:rPr>
        <w:t>Use IRS Pub. 15-T. Manual payroll can use the wage bracket or percentage method; payroll software usually uses the automated percentage method.</w:t>
      </w:r>
    </w:p>
    <w:p>
      <w:pPr>
        <w:pStyle w:val="ListBullet"/>
        <w:spacing w:after="0" w:before="0" w:line="240" w:lineRule="auto"/>
      </w:pPr>
      <w:r>
        <w:rPr>
          <w:rFonts w:ascii="Aptos" w:hAnsi="Aptos"/>
          <w:sz w:val="16"/>
        </w:rPr>
        <w:t>Federal income tax withholding is a liability until remitted to the IRS. It is not an employer expense.</w:t>
      </w:r>
    </w:p>
    <w:p>
      <w:r>
        <w:br w:type="page"/>
      </w:r>
    </w:p>
    <w:p>
      <w:pPr>
        <w:spacing w:after="40"/>
        <w:jc w:val="center"/>
      </w:pPr>
      <w:r>
        <w:rPr>
          <w:rFonts w:ascii="Aptos Display" w:hAnsi="Aptos Display"/>
          <w:b/>
          <w:color w:val="1F4E79"/>
          <w:sz w:val="27"/>
        </w:rPr>
        <w:t>US Payroll Basics for Accountants - Payroll Entries, Schedules, QuickBooks</w:t>
      </w:r>
    </w:p>
    <w:p>
      <w:pPr>
        <w:spacing w:after="40" w:before="60"/>
      </w:pPr>
      <w:r>
        <w:rPr>
          <w:rFonts w:ascii="Aptos Display" w:hAnsi="Aptos Display"/>
          <w:b/>
          <w:color w:val="1F4E79"/>
          <w:sz w:val="24"/>
        </w:rPr>
        <w:t>4. Payroll Journal Entries</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736"/>
        <w:gridCol w:w="2736"/>
        <w:gridCol w:w="2736"/>
        <w:gridCol w:w="2736"/>
      </w:tblGrid>
      <w:tr>
        <w:tc>
          <w:tcPr>
            <w:tcW w:type="dxa" w:w="2736"/>
            <w:tcMar>
              <w:top w:w="50" w:type="dxa"/>
              <w:start w:w="50" w:type="dxa"/>
              <w:bottom w:w="50" w:type="dxa"/>
              <w:end w:w="50" w:type="dxa"/>
            </w:tcMar>
            <w:vAlign w:val="top"/>
            <w:shd w:fill="1F4E79"/>
          </w:tcPr>
          <w:p>
            <w:pPr>
              <w:spacing w:after="0" w:before="0" w:line="240" w:lineRule="auto"/>
            </w:pPr>
            <w:r>
              <w:rPr>
                <w:color w:val="FFFFFF"/>
              </w:rPr>
            </w:r>
            <w:r>
              <w:rPr>
                <w:rFonts w:ascii="Aptos" w:hAnsi="Aptos"/>
                <w:b/>
                <w:color w:val="FFFFFF"/>
                <w:sz w:val="15"/>
              </w:rPr>
              <w:t>Step</w:t>
            </w:r>
          </w:p>
        </w:tc>
        <w:tc>
          <w:tcPr>
            <w:tcW w:type="dxa" w:w="2736"/>
            <w:tcMar>
              <w:top w:w="50" w:type="dxa"/>
              <w:start w:w="50" w:type="dxa"/>
              <w:bottom w:w="50" w:type="dxa"/>
              <w:end w:w="50" w:type="dxa"/>
            </w:tcMar>
            <w:vAlign w:val="top"/>
            <w:shd w:fill="1F4E79"/>
          </w:tcPr>
          <w:p>
            <w:pPr>
              <w:spacing w:after="0" w:before="0" w:line="240" w:lineRule="auto"/>
            </w:pPr>
            <w:r>
              <w:rPr>
                <w:color w:val="FFFFFF"/>
              </w:rPr>
            </w:r>
            <w:r>
              <w:rPr>
                <w:rFonts w:ascii="Aptos" w:hAnsi="Aptos"/>
                <w:b/>
                <w:color w:val="FFFFFF"/>
                <w:sz w:val="15"/>
              </w:rPr>
              <w:t>Debit</w:t>
            </w:r>
          </w:p>
        </w:tc>
        <w:tc>
          <w:tcPr>
            <w:tcW w:type="dxa" w:w="2736"/>
            <w:tcMar>
              <w:top w:w="50" w:type="dxa"/>
              <w:start w:w="50" w:type="dxa"/>
              <w:bottom w:w="50" w:type="dxa"/>
              <w:end w:w="50" w:type="dxa"/>
            </w:tcMar>
            <w:vAlign w:val="top"/>
            <w:shd w:fill="1F4E79"/>
          </w:tcPr>
          <w:p>
            <w:pPr>
              <w:spacing w:after="0" w:before="0" w:line="240" w:lineRule="auto"/>
            </w:pPr>
            <w:r>
              <w:rPr>
                <w:color w:val="FFFFFF"/>
              </w:rPr>
            </w:r>
            <w:r>
              <w:rPr>
                <w:rFonts w:ascii="Aptos" w:hAnsi="Aptos"/>
                <w:b/>
                <w:color w:val="FFFFFF"/>
                <w:sz w:val="15"/>
              </w:rPr>
              <w:t>Credit</w:t>
            </w:r>
          </w:p>
        </w:tc>
        <w:tc>
          <w:tcPr>
            <w:tcW w:type="dxa" w:w="2736"/>
            <w:tcMar>
              <w:top w:w="50" w:type="dxa"/>
              <w:start w:w="50" w:type="dxa"/>
              <w:bottom w:w="50" w:type="dxa"/>
              <w:end w:w="50" w:type="dxa"/>
            </w:tcMar>
            <w:vAlign w:val="top"/>
            <w:shd w:fill="1F4E79"/>
          </w:tcPr>
          <w:p>
            <w:pPr>
              <w:spacing w:after="0" w:before="0" w:line="240" w:lineRule="auto"/>
            </w:pPr>
            <w:r>
              <w:rPr>
                <w:color w:val="FFFFFF"/>
              </w:rPr>
            </w:r>
            <w:r>
              <w:rPr>
                <w:rFonts w:ascii="Aptos" w:hAnsi="Aptos"/>
                <w:b/>
                <w:color w:val="FFFFFF"/>
                <w:sz w:val="15"/>
              </w:rPr>
              <w:t>Plain-English meaning</w:t>
            </w:r>
          </w:p>
        </w:tc>
      </w:tr>
      <w:tr>
        <w:tc>
          <w:tcPr>
            <w:tcW w:type="dxa" w:w="2736"/>
            <w:tcMar>
              <w:top w:w="50" w:type="dxa"/>
              <w:start w:w="50" w:type="dxa"/>
              <w:bottom w:w="50" w:type="dxa"/>
              <w:end w:w="50" w:type="dxa"/>
            </w:tcMar>
            <w:vAlign w:val="top"/>
          </w:tcPr>
          <w:p>
            <w:pPr>
              <w:spacing w:after="0" w:before="0" w:line="240" w:lineRule="auto"/>
            </w:pPr>
            <w:r/>
            <w:r>
              <w:rPr>
                <w:rFonts w:ascii="Aptos" w:hAnsi="Aptos"/>
                <w:b w:val="0"/>
                <w:sz w:val="14"/>
              </w:rPr>
              <w:t>Record gross payroll and employee deductions</w:t>
            </w:r>
          </w:p>
        </w:tc>
        <w:tc>
          <w:tcPr>
            <w:tcW w:type="dxa" w:w="2736"/>
            <w:tcMar>
              <w:top w:w="50" w:type="dxa"/>
              <w:start w:w="50" w:type="dxa"/>
              <w:bottom w:w="50" w:type="dxa"/>
              <w:end w:w="50" w:type="dxa"/>
            </w:tcMar>
            <w:vAlign w:val="top"/>
          </w:tcPr>
          <w:p>
            <w:pPr>
              <w:spacing w:after="0" w:before="0" w:line="240" w:lineRule="auto"/>
            </w:pPr>
            <w:r/>
            <w:r>
              <w:rPr>
                <w:rFonts w:ascii="Aptos" w:hAnsi="Aptos"/>
                <w:b w:val="0"/>
                <w:sz w:val="14"/>
              </w:rPr>
              <w:t>Wages / Salaries Expense = gross pay</w:t>
            </w:r>
          </w:p>
        </w:tc>
        <w:tc>
          <w:tcPr>
            <w:tcW w:type="dxa" w:w="2736"/>
            <w:tcMar>
              <w:top w:w="50" w:type="dxa"/>
              <w:start w:w="50" w:type="dxa"/>
              <w:bottom w:w="50" w:type="dxa"/>
              <w:end w:w="50" w:type="dxa"/>
            </w:tcMar>
            <w:vAlign w:val="top"/>
          </w:tcPr>
          <w:p>
            <w:pPr>
              <w:spacing w:after="0" w:before="0" w:line="240" w:lineRule="auto"/>
            </w:pPr>
            <w:r/>
            <w:r>
              <w:rPr>
                <w:rFonts w:ascii="Aptos" w:hAnsi="Aptos"/>
                <w:b w:val="0"/>
                <w:sz w:val="14"/>
              </w:rPr>
              <w:t>Federal income tax payable; employee Social Security payable; employee Medicare payable; benefits / 401(k) payable; Cash or Payroll Clearing = net pay</w:t>
            </w:r>
          </w:p>
        </w:tc>
        <w:tc>
          <w:tcPr>
            <w:tcW w:type="dxa" w:w="2736"/>
            <w:tcMar>
              <w:top w:w="50" w:type="dxa"/>
              <w:start w:w="50" w:type="dxa"/>
              <w:bottom w:w="50" w:type="dxa"/>
              <w:end w:w="50" w:type="dxa"/>
            </w:tcMar>
            <w:vAlign w:val="top"/>
          </w:tcPr>
          <w:p>
            <w:pPr>
              <w:spacing w:after="0" w:before="0" w:line="240" w:lineRule="auto"/>
            </w:pPr>
            <w:r/>
            <w:r>
              <w:rPr>
                <w:rFonts w:ascii="Aptos" w:hAnsi="Aptos"/>
                <w:b w:val="0"/>
                <w:sz w:val="14"/>
              </w:rPr>
              <w:t>The company records the full cost of employee wages, but only pays employees the net amount after deductions.</w:t>
            </w:r>
          </w:p>
        </w:tc>
      </w:tr>
      <w:tr>
        <w:tc>
          <w:tcPr>
            <w:tcW w:type="dxa" w:w="2736"/>
            <w:tcMar>
              <w:top w:w="50" w:type="dxa"/>
              <w:start w:w="50" w:type="dxa"/>
              <w:bottom w:w="50" w:type="dxa"/>
              <w:end w:w="50" w:type="dxa"/>
            </w:tcMar>
            <w:vAlign w:val="top"/>
            <w:shd w:fill="F2F6FA"/>
          </w:tcPr>
          <w:p>
            <w:pPr>
              <w:spacing w:after="0" w:before="0" w:line="240" w:lineRule="auto"/>
            </w:pPr>
            <w:r/>
            <w:r>
              <w:rPr>
                <w:rFonts w:ascii="Aptos" w:hAnsi="Aptos"/>
                <w:b w:val="0"/>
                <w:sz w:val="14"/>
              </w:rPr>
              <w:t>Record employer payroll taxes</w:t>
            </w:r>
          </w:p>
        </w:tc>
        <w:tc>
          <w:tcPr>
            <w:tcW w:type="dxa" w:w="2736"/>
            <w:tcMar>
              <w:top w:w="50" w:type="dxa"/>
              <w:start w:w="50" w:type="dxa"/>
              <w:bottom w:w="50" w:type="dxa"/>
              <w:end w:w="50" w:type="dxa"/>
            </w:tcMar>
            <w:vAlign w:val="top"/>
            <w:shd w:fill="F2F6FA"/>
          </w:tcPr>
          <w:p>
            <w:pPr>
              <w:spacing w:after="0" w:before="0" w:line="240" w:lineRule="auto"/>
            </w:pPr>
            <w:r/>
            <w:r>
              <w:rPr>
                <w:rFonts w:ascii="Aptos" w:hAnsi="Aptos"/>
                <w:b w:val="0"/>
                <w:sz w:val="14"/>
              </w:rPr>
              <w:t>Payroll Tax Expense</w:t>
            </w:r>
          </w:p>
        </w:tc>
        <w:tc>
          <w:tcPr>
            <w:tcW w:type="dxa" w:w="2736"/>
            <w:tcMar>
              <w:top w:w="50" w:type="dxa"/>
              <w:start w:w="50" w:type="dxa"/>
              <w:bottom w:w="50" w:type="dxa"/>
              <w:end w:w="50" w:type="dxa"/>
            </w:tcMar>
            <w:vAlign w:val="top"/>
            <w:shd w:fill="F2F6FA"/>
          </w:tcPr>
          <w:p>
            <w:pPr>
              <w:spacing w:after="0" w:before="0" w:line="240" w:lineRule="auto"/>
            </w:pPr>
            <w:r/>
            <w:r>
              <w:rPr>
                <w:rFonts w:ascii="Aptos" w:hAnsi="Aptos"/>
                <w:b w:val="0"/>
                <w:sz w:val="14"/>
              </w:rPr>
              <w:t>Employer Social Security payable; employer Medicare payable; FUTA payable; SUTA payable</w:t>
            </w:r>
          </w:p>
        </w:tc>
        <w:tc>
          <w:tcPr>
            <w:tcW w:type="dxa" w:w="2736"/>
            <w:tcMar>
              <w:top w:w="50" w:type="dxa"/>
              <w:start w:w="50" w:type="dxa"/>
              <w:bottom w:w="50" w:type="dxa"/>
              <w:end w:w="50" w:type="dxa"/>
            </w:tcMar>
            <w:vAlign w:val="top"/>
            <w:shd w:fill="F2F6FA"/>
          </w:tcPr>
          <w:p>
            <w:pPr>
              <w:spacing w:after="0" w:before="0" w:line="240" w:lineRule="auto"/>
            </w:pPr>
            <w:r/>
            <w:r>
              <w:rPr>
                <w:rFonts w:ascii="Aptos" w:hAnsi="Aptos"/>
                <w:b w:val="0"/>
                <w:sz w:val="14"/>
              </w:rPr>
              <w:t>Employer taxes are extra company costs, separate from employee deductions.</w:t>
            </w:r>
          </w:p>
        </w:tc>
      </w:tr>
      <w:tr>
        <w:tc>
          <w:tcPr>
            <w:tcW w:type="dxa" w:w="2736"/>
            <w:tcMar>
              <w:top w:w="50" w:type="dxa"/>
              <w:start w:w="50" w:type="dxa"/>
              <w:bottom w:w="50" w:type="dxa"/>
              <w:end w:w="50" w:type="dxa"/>
            </w:tcMar>
            <w:vAlign w:val="top"/>
          </w:tcPr>
          <w:p>
            <w:pPr>
              <w:spacing w:after="0" w:before="0" w:line="240" w:lineRule="auto"/>
            </w:pPr>
            <w:r/>
            <w:r>
              <w:rPr>
                <w:rFonts w:ascii="Aptos" w:hAnsi="Aptos"/>
                <w:b w:val="0"/>
                <w:sz w:val="14"/>
              </w:rPr>
              <w:t>Pay employees</w:t>
            </w:r>
          </w:p>
        </w:tc>
        <w:tc>
          <w:tcPr>
            <w:tcW w:type="dxa" w:w="2736"/>
            <w:tcMar>
              <w:top w:w="50" w:type="dxa"/>
              <w:start w:w="50" w:type="dxa"/>
              <w:bottom w:w="50" w:type="dxa"/>
              <w:end w:w="50" w:type="dxa"/>
            </w:tcMar>
            <w:vAlign w:val="top"/>
          </w:tcPr>
          <w:p>
            <w:pPr>
              <w:spacing w:after="0" w:before="0" w:line="240" w:lineRule="auto"/>
            </w:pPr>
            <w:r/>
            <w:r>
              <w:rPr>
                <w:rFonts w:ascii="Aptos" w:hAnsi="Aptos"/>
                <w:b w:val="0"/>
                <w:sz w:val="14"/>
              </w:rPr>
              <w:t>Payroll Clearing or Wages Payable</w:t>
            </w:r>
          </w:p>
        </w:tc>
        <w:tc>
          <w:tcPr>
            <w:tcW w:type="dxa" w:w="2736"/>
            <w:tcMar>
              <w:top w:w="50" w:type="dxa"/>
              <w:start w:w="50" w:type="dxa"/>
              <w:bottom w:w="50" w:type="dxa"/>
              <w:end w:w="50" w:type="dxa"/>
            </w:tcMar>
            <w:vAlign w:val="top"/>
          </w:tcPr>
          <w:p>
            <w:pPr>
              <w:spacing w:after="0" w:before="0" w:line="240" w:lineRule="auto"/>
            </w:pPr>
            <w:r/>
            <w:r>
              <w:rPr>
                <w:rFonts w:ascii="Aptos" w:hAnsi="Aptos"/>
                <w:b w:val="0"/>
                <w:sz w:val="14"/>
              </w:rPr>
              <w:t>Cash</w:t>
            </w:r>
          </w:p>
        </w:tc>
        <w:tc>
          <w:tcPr>
            <w:tcW w:type="dxa" w:w="2736"/>
            <w:tcMar>
              <w:top w:w="50" w:type="dxa"/>
              <w:start w:w="50" w:type="dxa"/>
              <w:bottom w:w="50" w:type="dxa"/>
              <w:end w:w="50" w:type="dxa"/>
            </w:tcMar>
            <w:vAlign w:val="top"/>
          </w:tcPr>
          <w:p>
            <w:pPr>
              <w:spacing w:after="0" w:before="0" w:line="240" w:lineRule="auto"/>
            </w:pPr>
            <w:r/>
            <w:r>
              <w:rPr>
                <w:rFonts w:ascii="Aptos" w:hAnsi="Aptos"/>
                <w:b w:val="0"/>
                <w:sz w:val="14"/>
              </w:rPr>
              <w:t>Clears the net pay owed once payroll is funded or checks/direct deposits clear.</w:t>
            </w:r>
          </w:p>
        </w:tc>
      </w:tr>
      <w:tr>
        <w:tc>
          <w:tcPr>
            <w:tcW w:type="dxa" w:w="2736"/>
            <w:tcMar>
              <w:top w:w="50" w:type="dxa"/>
              <w:start w:w="50" w:type="dxa"/>
              <w:bottom w:w="50" w:type="dxa"/>
              <w:end w:w="50" w:type="dxa"/>
            </w:tcMar>
            <w:vAlign w:val="top"/>
            <w:shd w:fill="F2F6FA"/>
          </w:tcPr>
          <w:p>
            <w:pPr>
              <w:spacing w:after="0" w:before="0" w:line="240" w:lineRule="auto"/>
            </w:pPr>
            <w:r/>
            <w:r>
              <w:rPr>
                <w:rFonts w:ascii="Aptos" w:hAnsi="Aptos"/>
                <w:b w:val="0"/>
                <w:sz w:val="14"/>
              </w:rPr>
              <w:t>Remit taxes and deductions</w:t>
            </w:r>
          </w:p>
        </w:tc>
        <w:tc>
          <w:tcPr>
            <w:tcW w:type="dxa" w:w="2736"/>
            <w:tcMar>
              <w:top w:w="50" w:type="dxa"/>
              <w:start w:w="50" w:type="dxa"/>
              <w:bottom w:w="50" w:type="dxa"/>
              <w:end w:w="50" w:type="dxa"/>
            </w:tcMar>
            <w:vAlign w:val="top"/>
            <w:shd w:fill="F2F6FA"/>
          </w:tcPr>
          <w:p>
            <w:pPr>
              <w:spacing w:after="0" w:before="0" w:line="240" w:lineRule="auto"/>
            </w:pPr>
            <w:r/>
            <w:r>
              <w:rPr>
                <w:rFonts w:ascii="Aptos" w:hAnsi="Aptos"/>
                <w:b w:val="0"/>
                <w:sz w:val="14"/>
              </w:rPr>
              <w:t>Payroll tax payable accounts; benefits / 401(k) payable</w:t>
            </w:r>
          </w:p>
        </w:tc>
        <w:tc>
          <w:tcPr>
            <w:tcW w:type="dxa" w:w="2736"/>
            <w:tcMar>
              <w:top w:w="50" w:type="dxa"/>
              <w:start w:w="50" w:type="dxa"/>
              <w:bottom w:w="50" w:type="dxa"/>
              <w:end w:w="50" w:type="dxa"/>
            </w:tcMar>
            <w:vAlign w:val="top"/>
            <w:shd w:fill="F2F6FA"/>
          </w:tcPr>
          <w:p>
            <w:pPr>
              <w:spacing w:after="0" w:before="0" w:line="240" w:lineRule="auto"/>
            </w:pPr>
            <w:r/>
            <w:r>
              <w:rPr>
                <w:rFonts w:ascii="Aptos" w:hAnsi="Aptos"/>
                <w:b w:val="0"/>
                <w:sz w:val="14"/>
              </w:rPr>
              <w:t>Cash</w:t>
            </w:r>
          </w:p>
        </w:tc>
        <w:tc>
          <w:tcPr>
            <w:tcW w:type="dxa" w:w="2736"/>
            <w:tcMar>
              <w:top w:w="50" w:type="dxa"/>
              <w:start w:w="50" w:type="dxa"/>
              <w:bottom w:w="50" w:type="dxa"/>
              <w:end w:w="50" w:type="dxa"/>
            </w:tcMar>
            <w:vAlign w:val="top"/>
            <w:shd w:fill="F2F6FA"/>
          </w:tcPr>
          <w:p>
            <w:pPr>
              <w:spacing w:after="0" w:before="0" w:line="240" w:lineRule="auto"/>
            </w:pPr>
            <w:r/>
            <w:r>
              <w:rPr>
                <w:rFonts w:ascii="Aptos" w:hAnsi="Aptos"/>
                <w:b w:val="0"/>
                <w:sz w:val="14"/>
              </w:rPr>
              <w:t>Clears liabilities when taxes and third-party deductions are paid.</w:t>
            </w:r>
          </w:p>
        </w:tc>
      </w:tr>
    </w:tbl>
    <w:p>
      <w:pPr>
        <w:spacing w:after="40" w:before="60"/>
      </w:pPr>
      <w:r>
        <w:rPr>
          <w:rFonts w:ascii="Aptos Display" w:hAnsi="Aptos Display"/>
          <w:b/>
          <w:color w:val="1F4E79"/>
          <w:sz w:val="24"/>
        </w:rPr>
        <w:t>5. Common Payroll Schedules</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648"/>
        <w:gridCol w:w="3648"/>
        <w:gridCol w:w="3648"/>
      </w:tblGrid>
      <w:tr>
        <w:tc>
          <w:tcPr>
            <w:tcW w:type="dxa" w:w="3648"/>
            <w:tcMar>
              <w:top w:w="45" w:type="dxa"/>
              <w:start w:w="50" w:type="dxa"/>
              <w:bottom w:w="45" w:type="dxa"/>
              <w:end w:w="50" w:type="dxa"/>
            </w:tcMar>
            <w:shd w:fill="1F4E79"/>
          </w:tcPr>
          <w:p>
            <w:pPr>
              <w:spacing w:after="0" w:before="0" w:line="240" w:lineRule="auto"/>
            </w:pPr>
            <w:r>
              <w:rPr>
                <w:color w:val="FFFFFF"/>
              </w:rPr>
            </w:r>
            <w:r>
              <w:rPr>
                <w:rFonts w:ascii="Aptos" w:hAnsi="Aptos"/>
                <w:b/>
                <w:color w:val="FFFFFF"/>
                <w:sz w:val="15"/>
              </w:rPr>
              <w:t>Schedule</w:t>
            </w:r>
          </w:p>
        </w:tc>
        <w:tc>
          <w:tcPr>
            <w:tcW w:type="dxa" w:w="3648"/>
            <w:tcMar>
              <w:top w:w="45" w:type="dxa"/>
              <w:start w:w="50" w:type="dxa"/>
              <w:bottom w:w="45" w:type="dxa"/>
              <w:end w:w="50" w:type="dxa"/>
            </w:tcMar>
            <w:shd w:fill="1F4E79"/>
          </w:tcPr>
          <w:p>
            <w:pPr>
              <w:spacing w:after="0" w:before="0" w:line="240" w:lineRule="auto"/>
            </w:pPr>
            <w:r>
              <w:rPr>
                <w:color w:val="FFFFFF"/>
              </w:rPr>
            </w:r>
            <w:r>
              <w:rPr>
                <w:rFonts w:ascii="Aptos" w:hAnsi="Aptos"/>
                <w:b/>
                <w:color w:val="FFFFFF"/>
                <w:sz w:val="15"/>
              </w:rPr>
              <w:t>Pay periods/year</w:t>
            </w:r>
          </w:p>
        </w:tc>
        <w:tc>
          <w:tcPr>
            <w:tcW w:type="dxa" w:w="3648"/>
            <w:tcMar>
              <w:top w:w="45" w:type="dxa"/>
              <w:start w:w="50" w:type="dxa"/>
              <w:bottom w:w="45" w:type="dxa"/>
              <w:end w:w="50" w:type="dxa"/>
            </w:tcMar>
            <w:shd w:fill="1F4E79"/>
          </w:tcPr>
          <w:p>
            <w:pPr>
              <w:spacing w:after="0" w:before="0" w:line="240" w:lineRule="auto"/>
            </w:pPr>
            <w:r>
              <w:rPr>
                <w:color w:val="FFFFFF"/>
              </w:rPr>
            </w:r>
            <w:r>
              <w:rPr>
                <w:rFonts w:ascii="Aptos" w:hAnsi="Aptos"/>
                <w:b/>
                <w:color w:val="FFFFFF"/>
                <w:sz w:val="15"/>
              </w:rPr>
              <w:t>Common use</w:t>
            </w:r>
          </w:p>
        </w:tc>
      </w:tr>
      <w:tr>
        <w:tc>
          <w:tcPr>
            <w:tcW w:type="dxa" w:w="3648"/>
            <w:tcMar>
              <w:top w:w="45" w:type="dxa"/>
              <w:start w:w="50" w:type="dxa"/>
              <w:bottom w:w="45" w:type="dxa"/>
              <w:end w:w="50" w:type="dxa"/>
            </w:tcMar>
          </w:tcPr>
          <w:p>
            <w:pPr>
              <w:spacing w:after="0" w:before="0" w:line="240" w:lineRule="auto"/>
            </w:pPr>
            <w:r/>
            <w:r>
              <w:rPr>
                <w:rFonts w:ascii="Aptos" w:hAnsi="Aptos"/>
                <w:b w:val="0"/>
                <w:sz w:val="15"/>
              </w:rPr>
              <w:t>Weekly</w:t>
            </w:r>
          </w:p>
        </w:tc>
        <w:tc>
          <w:tcPr>
            <w:tcW w:type="dxa" w:w="3648"/>
            <w:tcMar>
              <w:top w:w="45" w:type="dxa"/>
              <w:start w:w="50" w:type="dxa"/>
              <w:bottom w:w="45" w:type="dxa"/>
              <w:end w:w="50" w:type="dxa"/>
            </w:tcMar>
          </w:tcPr>
          <w:p>
            <w:pPr>
              <w:spacing w:after="0" w:before="0" w:line="240" w:lineRule="auto"/>
            </w:pPr>
            <w:r/>
            <w:r>
              <w:rPr>
                <w:rFonts w:ascii="Aptos" w:hAnsi="Aptos"/>
                <w:b w:val="0"/>
                <w:sz w:val="15"/>
              </w:rPr>
              <w:t>52</w:t>
            </w:r>
          </w:p>
        </w:tc>
        <w:tc>
          <w:tcPr>
            <w:tcW w:type="dxa" w:w="3648"/>
            <w:tcMar>
              <w:top w:w="45" w:type="dxa"/>
              <w:start w:w="50" w:type="dxa"/>
              <w:bottom w:w="45" w:type="dxa"/>
              <w:end w:w="50" w:type="dxa"/>
            </w:tcMar>
          </w:tcPr>
          <w:p>
            <w:pPr>
              <w:spacing w:after="0" w:before="0" w:line="240" w:lineRule="auto"/>
            </w:pPr>
            <w:r/>
            <w:r>
              <w:rPr>
                <w:rFonts w:ascii="Aptos" w:hAnsi="Aptos"/>
                <w:b w:val="0"/>
                <w:sz w:val="15"/>
              </w:rPr>
              <w:t>Hourly or operations-heavy teams; more processing work.</w:t>
            </w:r>
          </w:p>
        </w:tc>
      </w:tr>
      <w:tr>
        <w:tc>
          <w:tcPr>
            <w:tcW w:type="dxa" w:w="3648"/>
            <w:tcMar>
              <w:top w:w="45" w:type="dxa"/>
              <w:start w:w="50" w:type="dxa"/>
              <w:bottom w:w="45" w:type="dxa"/>
              <w:end w:w="50" w:type="dxa"/>
            </w:tcMar>
            <w:shd w:fill="F2F6FA"/>
          </w:tcPr>
          <w:p>
            <w:pPr>
              <w:spacing w:after="0" w:before="0" w:line="240" w:lineRule="auto"/>
            </w:pPr>
            <w:r/>
            <w:r>
              <w:rPr>
                <w:rFonts w:ascii="Aptos" w:hAnsi="Aptos"/>
                <w:b w:val="0"/>
                <w:sz w:val="15"/>
              </w:rPr>
              <w:t>Biweekly</w:t>
            </w:r>
          </w:p>
        </w:tc>
        <w:tc>
          <w:tcPr>
            <w:tcW w:type="dxa" w:w="3648"/>
            <w:tcMar>
              <w:top w:w="45" w:type="dxa"/>
              <w:start w:w="50" w:type="dxa"/>
              <w:bottom w:w="45" w:type="dxa"/>
              <w:end w:w="50" w:type="dxa"/>
            </w:tcMar>
            <w:shd w:fill="F2F6FA"/>
          </w:tcPr>
          <w:p>
            <w:pPr>
              <w:spacing w:after="0" w:before="0" w:line="240" w:lineRule="auto"/>
            </w:pPr>
            <w:r/>
            <w:r>
              <w:rPr>
                <w:rFonts w:ascii="Aptos" w:hAnsi="Aptos"/>
                <w:b w:val="0"/>
                <w:sz w:val="15"/>
              </w:rPr>
              <w:t>26</w:t>
            </w:r>
          </w:p>
        </w:tc>
        <w:tc>
          <w:tcPr>
            <w:tcW w:type="dxa" w:w="3648"/>
            <w:tcMar>
              <w:top w:w="45" w:type="dxa"/>
              <w:start w:w="50" w:type="dxa"/>
              <w:bottom w:w="45" w:type="dxa"/>
              <w:end w:w="50" w:type="dxa"/>
            </w:tcMar>
            <w:shd w:fill="F2F6FA"/>
          </w:tcPr>
          <w:p>
            <w:pPr>
              <w:spacing w:after="0" w:before="0" w:line="240" w:lineRule="auto"/>
            </w:pPr>
            <w:r/>
            <w:r>
              <w:rPr>
                <w:rFonts w:ascii="Aptos" w:hAnsi="Aptos"/>
                <w:b w:val="0"/>
                <w:sz w:val="15"/>
              </w:rPr>
              <w:t>Very common in the U.S.; easy for hourly overtime cycles.</w:t>
            </w:r>
          </w:p>
        </w:tc>
      </w:tr>
      <w:tr>
        <w:tc>
          <w:tcPr>
            <w:tcW w:type="dxa" w:w="3648"/>
            <w:tcMar>
              <w:top w:w="45" w:type="dxa"/>
              <w:start w:w="50" w:type="dxa"/>
              <w:bottom w:w="45" w:type="dxa"/>
              <w:end w:w="50" w:type="dxa"/>
            </w:tcMar>
          </w:tcPr>
          <w:p>
            <w:pPr>
              <w:spacing w:after="0" w:before="0" w:line="240" w:lineRule="auto"/>
            </w:pPr>
            <w:r/>
            <w:r>
              <w:rPr>
                <w:rFonts w:ascii="Aptos" w:hAnsi="Aptos"/>
                <w:b w:val="0"/>
                <w:sz w:val="15"/>
              </w:rPr>
              <w:t>Semimonthly</w:t>
            </w:r>
          </w:p>
        </w:tc>
        <w:tc>
          <w:tcPr>
            <w:tcW w:type="dxa" w:w="3648"/>
            <w:tcMar>
              <w:top w:w="45" w:type="dxa"/>
              <w:start w:w="50" w:type="dxa"/>
              <w:bottom w:w="45" w:type="dxa"/>
              <w:end w:w="50" w:type="dxa"/>
            </w:tcMar>
          </w:tcPr>
          <w:p>
            <w:pPr>
              <w:spacing w:after="0" w:before="0" w:line="240" w:lineRule="auto"/>
            </w:pPr>
            <w:r/>
            <w:r>
              <w:rPr>
                <w:rFonts w:ascii="Aptos" w:hAnsi="Aptos"/>
                <w:b w:val="0"/>
                <w:sz w:val="15"/>
              </w:rPr>
              <w:t>24</w:t>
            </w:r>
          </w:p>
        </w:tc>
        <w:tc>
          <w:tcPr>
            <w:tcW w:type="dxa" w:w="3648"/>
            <w:tcMar>
              <w:top w:w="45" w:type="dxa"/>
              <w:start w:w="50" w:type="dxa"/>
              <w:bottom w:w="45" w:type="dxa"/>
              <w:end w:w="50" w:type="dxa"/>
            </w:tcMar>
          </w:tcPr>
          <w:p>
            <w:pPr>
              <w:spacing w:after="0" w:before="0" w:line="240" w:lineRule="auto"/>
            </w:pPr>
            <w:r/>
            <w:r>
              <w:rPr>
                <w:rFonts w:ascii="Aptos" w:hAnsi="Aptos"/>
                <w:b w:val="0"/>
                <w:sz w:val="15"/>
              </w:rPr>
              <w:t>Often used for salaried staff; usually 15th and last day of month.</w:t>
            </w:r>
          </w:p>
        </w:tc>
      </w:tr>
      <w:tr>
        <w:tc>
          <w:tcPr>
            <w:tcW w:type="dxa" w:w="3648"/>
            <w:tcMar>
              <w:top w:w="45" w:type="dxa"/>
              <w:start w:w="50" w:type="dxa"/>
              <w:bottom w:w="45" w:type="dxa"/>
              <w:end w:w="50" w:type="dxa"/>
            </w:tcMar>
            <w:shd w:fill="F2F6FA"/>
          </w:tcPr>
          <w:p>
            <w:pPr>
              <w:spacing w:after="0" w:before="0" w:line="240" w:lineRule="auto"/>
            </w:pPr>
            <w:r/>
            <w:r>
              <w:rPr>
                <w:rFonts w:ascii="Aptos" w:hAnsi="Aptos"/>
                <w:b w:val="0"/>
                <w:sz w:val="15"/>
              </w:rPr>
              <w:t>Monthly</w:t>
            </w:r>
          </w:p>
        </w:tc>
        <w:tc>
          <w:tcPr>
            <w:tcW w:type="dxa" w:w="3648"/>
            <w:tcMar>
              <w:top w:w="45" w:type="dxa"/>
              <w:start w:w="50" w:type="dxa"/>
              <w:bottom w:w="45" w:type="dxa"/>
              <w:end w:w="50" w:type="dxa"/>
            </w:tcMar>
            <w:shd w:fill="F2F6FA"/>
          </w:tcPr>
          <w:p>
            <w:pPr>
              <w:spacing w:after="0" w:before="0" w:line="240" w:lineRule="auto"/>
            </w:pPr>
            <w:r/>
            <w:r>
              <w:rPr>
                <w:rFonts w:ascii="Aptos" w:hAnsi="Aptos"/>
                <w:b w:val="0"/>
                <w:sz w:val="15"/>
              </w:rPr>
              <w:t>12</w:t>
            </w:r>
          </w:p>
        </w:tc>
        <w:tc>
          <w:tcPr>
            <w:tcW w:type="dxa" w:w="3648"/>
            <w:tcMar>
              <w:top w:w="45" w:type="dxa"/>
              <w:start w:w="50" w:type="dxa"/>
              <w:bottom w:w="45" w:type="dxa"/>
              <w:end w:w="50" w:type="dxa"/>
            </w:tcMar>
            <w:shd w:fill="F2F6FA"/>
          </w:tcPr>
          <w:p>
            <w:pPr>
              <w:spacing w:after="0" w:before="0" w:line="240" w:lineRule="auto"/>
            </w:pPr>
            <w:r/>
            <w:r>
              <w:rPr>
                <w:rFonts w:ascii="Aptos" w:hAnsi="Aptos"/>
                <w:b w:val="0"/>
                <w:sz w:val="15"/>
              </w:rPr>
              <w:t>Less common for regular U.S. payroll; still used by some small businesses.</w:t>
            </w:r>
          </w:p>
        </w:tc>
      </w:tr>
    </w:tbl>
    <w:p>
      <w:pPr>
        <w:spacing w:after="40" w:before="60"/>
      </w:pPr>
      <w:r>
        <w:rPr>
          <w:rFonts w:ascii="Aptos Display" w:hAnsi="Aptos Display"/>
          <w:b/>
          <w:color w:val="1F4E79"/>
          <w:sz w:val="24"/>
        </w:rPr>
        <w:t>6. How QuickBooks Payroll Handles Payroll</w:t>
      </w:r>
    </w:p>
    <w:p>
      <w:pPr>
        <w:pStyle w:val="ListBullet"/>
        <w:spacing w:after="0" w:before="0" w:line="240" w:lineRule="auto"/>
      </w:pPr>
      <w:r>
        <w:rPr>
          <w:rFonts w:ascii="Aptos" w:hAnsi="Aptos"/>
          <w:sz w:val="16"/>
        </w:rPr>
        <w:t>Employee setup drives calculations: W-4 information, work location, pay schedule, salary/hourly rate, deductions, benefits, and direct deposit settings.</w:t>
      </w:r>
    </w:p>
    <w:p>
      <w:pPr>
        <w:pStyle w:val="ListBullet"/>
        <w:spacing w:after="0" w:before="0" w:line="240" w:lineRule="auto"/>
      </w:pPr>
      <w:r>
        <w:rPr>
          <w:rFonts w:ascii="Aptos" w:hAnsi="Aptos"/>
          <w:sz w:val="16"/>
        </w:rPr>
        <w:t>QuickBooks calculates gross-to-net pay, employee taxes, employer payroll taxes, payroll liabilities, and payroll expenses based on the company payroll setup.</w:t>
      </w:r>
    </w:p>
    <w:p>
      <w:pPr>
        <w:pStyle w:val="ListBullet"/>
        <w:spacing w:after="0" w:before="0" w:line="240" w:lineRule="auto"/>
      </w:pPr>
      <w:r>
        <w:rPr>
          <w:rFonts w:ascii="Aptos" w:hAnsi="Aptos"/>
          <w:sz w:val="16"/>
        </w:rPr>
        <w:t>Depending on the QuickBooks Payroll product and settings, payroll taxes and forms can be automated or handled manually. Supported federal forms include common employer payroll forms such as 940 and 941.</w:t>
      </w:r>
    </w:p>
    <w:p>
      <w:pPr>
        <w:pStyle w:val="ListBullet"/>
        <w:spacing w:after="0" w:before="0" w:line="240" w:lineRule="auto"/>
      </w:pPr>
      <w:r>
        <w:rPr>
          <w:rFonts w:ascii="Aptos" w:hAnsi="Aptos"/>
          <w:sz w:val="16"/>
        </w:rPr>
        <w:t>Accountant control: review the payroll register, compare payroll expense to prior periods, reconcile payroll clearing to the bank withdrawal, and tie payroll tax liabilities to tax reports before month-end close.</w:t>
      </w:r>
    </w:p>
    <w:p>
      <w:pPr>
        <w:spacing w:after="40" w:before="60"/>
      </w:pPr>
      <w:r>
        <w:rPr>
          <w:rFonts w:ascii="Aptos Display" w:hAnsi="Aptos Display"/>
          <w:b/>
          <w:color w:val="1F4E79"/>
          <w:sz w:val="24"/>
        </w:rPr>
        <w:t>7. Skarion Simulation Rules for Student Exercises</w:t>
      </w:r>
    </w:p>
    <w:p>
      <w:pPr>
        <w:pStyle w:val="ListBullet"/>
        <w:spacing w:after="0" w:before="0" w:line="240" w:lineRule="auto"/>
      </w:pPr>
      <w:r>
        <w:rPr>
          <w:rFonts w:ascii="Aptos" w:hAnsi="Aptos"/>
          <w:sz w:val="16"/>
        </w:rPr>
        <w:t>Use the provided employee salary table, pay schedule, W-4 assumptions, and deduction details. Do not invent missing deductions.</w:t>
      </w:r>
    </w:p>
    <w:p>
      <w:pPr>
        <w:pStyle w:val="ListBullet"/>
        <w:spacing w:after="0" w:before="0" w:line="240" w:lineRule="auto"/>
      </w:pPr>
      <w:r>
        <w:rPr>
          <w:rFonts w:ascii="Aptos" w:hAnsi="Aptos"/>
          <w:sz w:val="16"/>
        </w:rPr>
        <w:t>For basic exercises, calculate FICA, Medicare, employer FICA/Medicare, FUTA, and SUTA. Federal income tax withholding should be supplied in the payroll register unless the question asks students to use Pub. 15-T.</w:t>
      </w:r>
    </w:p>
    <w:p>
      <w:pPr>
        <w:pStyle w:val="ListBullet"/>
        <w:spacing w:after="0" w:before="0" w:line="240" w:lineRule="auto"/>
      </w:pPr>
      <w:r>
        <w:rPr>
          <w:rFonts w:ascii="Aptos" w:hAnsi="Aptos"/>
          <w:sz w:val="16"/>
        </w:rPr>
        <w:t>Always separate employee deductions from employer payroll tax expense. This is where beginners joyfully destroy the general ledger.</w:t>
      </w:r>
    </w:p>
    <w:p>
      <w:pPr>
        <w:spacing w:after="40" w:before="60"/>
      </w:pPr>
      <w:r>
        <w:rPr>
          <w:rFonts w:ascii="Aptos Display" w:hAnsi="Aptos Display"/>
          <w:b/>
          <w:color w:val="1F4E79"/>
          <w:sz w:val="24"/>
        </w:rPr>
        <w:t>Sources Reviewed</w:t>
      </w:r>
    </w:p>
    <w:p>
      <w:pPr>
        <w:spacing w:after="0"/>
      </w:pPr>
      <w:r>
        <w:rPr>
          <w:rFonts w:ascii="Aptos" w:hAnsi="Aptos"/>
          <w:i/>
          <w:sz w:val="14"/>
        </w:rPr>
        <w:t>IRS Publication 15 (Circular E), Employer's Tax Guide, 2026; IRS Publication 15-T, Federal Income Tax Withholding Methods, 2026; IRS Topic 751, Social Security and Medicare Withholding Rates; Virginia Employment Commission employer tax-rate guidance; Intuit QuickBooks Payroll support articles on automated payroll taxes/forms and federal payroll forms.</w:t>
      </w:r>
    </w:p>
    <w:sectPr w:rsidR="00FC693F" w:rsidRPr="0006063C" w:rsidSect="00034616">
      <w:footerReference w:type="default" r:id="rId9"/>
      <w:pgSz w:w="12240" w:h="15840"/>
      <w:pgMar w:top="605" w:right="648" w:bottom="547"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sz w:val="14"/>
      </w:rPr>
      <w:t>Skarion Accounting Track | Assignment 8 Reference Sheet | For training use only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17"/>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sz w:val="17"/>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4.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3.xml"/><Relationship Id="rId5" Type="http://schemas.openxmlformats.org/officeDocument/2006/relationships/settings" Target="settings.xml"/><Relationship Id="rId10" Type="http://schemas.openxmlformats.org/officeDocument/2006/relationships/customXml" Target="../customXml/item2.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7FFCDA72B33F704B902DF05EFF11A127" ma:contentTypeVersion="12" ma:contentTypeDescription="Create a new document." ma:contentTypeScope="" ma:versionID="c6f9a1a39b749c0b35fc296ed518e8f3">
  <xsd:schema xmlns:xsd="http://www.w3.org/2001/XMLSchema" xmlns:xs="http://www.w3.org/2001/XMLSchema" xmlns:p="http://schemas.microsoft.com/office/2006/metadata/properties" xmlns:ns2="7019b7ea-2583-48d5-9dd7-5b4a847e7ee9" xmlns:ns3="27445e43-ccdd-4da6-b549-fdecb12a794f" targetNamespace="http://schemas.microsoft.com/office/2006/metadata/properties" ma:root="true" ma:fieldsID="45a2daf967dbe5b730172693d155efad" ns2:_="" ns3:_="">
    <xsd:import namespace="7019b7ea-2583-48d5-9dd7-5b4a847e7ee9"/>
    <xsd:import namespace="27445e43-ccdd-4da6-b549-fdecb12a794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019b7ea-2583-48d5-9dd7-5b4a847e7ee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20f1de3d-d31a-4396-82d5-79995a55124e"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7445e43-ccdd-4da6-b549-fdecb12a794f"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ef456272-03e4-4335-84cf-9ee0017832c0}" ma:internalName="TaxCatchAll" ma:showField="CatchAllData" ma:web="27445e43-ccdd-4da6-b549-fdecb12a794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7019b7ea-2583-48d5-9dd7-5b4a847e7ee9">
      <Terms xmlns="http://schemas.microsoft.com/office/infopath/2007/PartnerControls"/>
    </lcf76f155ced4ddcb4097134ff3c332f>
    <TaxCatchAll xmlns="27445e43-ccdd-4da6-b549-fdecb12a794f"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7C4BA8FA-8AF6-4C61-A59B-5027E78A383B}"/>
</file>

<file path=customXml/itemProps3.xml><?xml version="1.0" encoding="utf-8"?>
<ds:datastoreItem xmlns:ds="http://schemas.openxmlformats.org/officeDocument/2006/customXml" ds:itemID="{56FB3CA0-6AFF-485C-ACEB-760E4DD4F9F0}"/>
</file>

<file path=customXml/itemProps4.xml><?xml version="1.0" encoding="utf-8"?>
<ds:datastoreItem xmlns:ds="http://schemas.openxmlformats.org/officeDocument/2006/customXml" ds:itemID="{FC8E8715-8296-4025-AF89-B688CDE5D2BF}"/>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0x0101007FFCDA72B33F704B902DF05EFF11A127</vt:lpwstr>
  </property>
</Properties>
</file>