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4"/>
        </w:rPr>
        <w:t>Skarion Manufacturing LLC</w:t>
      </w:r>
    </w:p>
    <w:p>
      <w:pPr>
        <w:spacing w:after="80" w:line="252" w:lineRule="auto"/>
        <w:jc w:val="center"/>
      </w:pPr>
      <w:r>
        <w:rPr>
          <w:b/>
          <w:color w:val="1F4E79"/>
          <w:sz w:val="38"/>
        </w:rPr>
        <w:t>Month-End Close Playbook</w:t>
      </w:r>
    </w:p>
    <w:p>
      <w:pPr>
        <w:spacing w:after="80" w:line="252" w:lineRule="auto"/>
        <w:jc w:val="center"/>
      </w:pPr>
      <w:r>
        <w:rPr>
          <w:i/>
          <w:sz w:val="22"/>
        </w:rPr>
        <w:t>Assignment 9 - Step-by-Step Guide with Timeline</w:t>
      </w:r>
    </w:p>
    <w:tbl>
      <w:tblPr>
        <w:tblW w:type="auto" w:w="0"/>
        <w:tblLook w:firstColumn="1" w:firstRow="1" w:lastColumn="0" w:lastRow="0" w:noHBand="0" w:noVBand="1" w:val="04A0"/>
      </w:tblPr>
      <w:tblGrid>
        <w:gridCol w:w="10656"/>
      </w:tblGrid>
      <w:tr>
        <w:tc>
          <w:tcPr>
            <w:tcW w:type="dxa" w:w="10656"/>
            <w:shd w:fill="EAF2F8"/>
            <w:tcBorders>
              <w:top w:sz="4" w:val="single" w:color="9EB6CE"/>
              <w:left w:sz="4" w:val="single" w:color="9EB6CE"/>
              <w:bottom w:sz="4" w:val="single" w:color="9EB6CE"/>
              <w:right w:sz="4" w:val="single" w:color="9EB6CE"/>
            </w:tcBorders>
          </w:tcPr>
          <w:p>
            <w:pPr>
              <w:spacing w:after="0"/>
            </w:pPr>
            <w:r>
              <w:rPr>
                <w:b/>
                <w:color w:val="1F4E79"/>
                <w:sz w:val="17"/>
              </w:rPr>
              <w:t>Purpose</w:t>
            </w:r>
            <w:r>
              <w:rPr>
                <w:sz w:val="17"/>
              </w:rPr>
              <w:br/>
              <w:t>This playbook teaches a new staff accountant how to close one accounting month for a small US manufacturing company. It uses simple language, a fixed timeline, practical checklist tasks, and clear done criteria so students can practice the same work expected in entry-level accounting jobs.</w:t>
            </w:r>
          </w:p>
        </w:tc>
      </w:tr>
    </w:tbl>
    <w:p>
      <w:pPr>
        <w:pStyle w:val="Heading2"/>
        <w:keepNext/>
        <w:spacing w:before="120" w:after="60"/>
      </w:pPr>
      <w:r>
        <w:t>How to Use This Handout</w:t>
      </w:r>
    </w:p>
    <w:p>
      <w:pPr>
        <w:pStyle w:val="ListBullet"/>
        <w:spacing w:after="40"/>
      </w:pPr>
      <w:r>
        <w:t>Student: Use this as your close guide while completing monthly accounting exercises in QuickBooks and Excel.</w:t>
      </w:r>
    </w:p>
    <w:p>
      <w:pPr>
        <w:pStyle w:val="ListBullet"/>
        <w:spacing w:after="40"/>
      </w:pPr>
      <w:r>
        <w:t>Instructor: Use the checklist, timeline, and done criteria to grade whether the close package is complete.</w:t>
      </w:r>
    </w:p>
    <w:p>
      <w:pPr>
        <w:pStyle w:val="ListBullet"/>
        <w:spacing w:after="40"/>
      </w:pPr>
      <w:r>
        <w:t>Simulation context: Skarion Manufacturing LLC uses accrual accounting, QuickBooks Online, monthly bank reconciliation, AR/AP aging, payroll entries, depreciation, loan interest, and basic management reports.</w:t>
      </w:r>
    </w:p>
    <w:p>
      <w:pPr>
        <w:pStyle w:val="ListBullet"/>
        <w:spacing w:after="40"/>
      </w:pPr>
      <w:r>
        <w:t>Target close speed for training: 5 business days after month-end. Accuracy is more important than speed.</w:t>
      </w:r>
    </w:p>
    <w:p>
      <w:pPr>
        <w:pStyle w:val="Heading1"/>
        <w:keepNext/>
        <w:spacing w:before="120" w:after="60"/>
      </w:pPr>
      <w:r>
        <w:t>1. What Month-End Close Means</w:t>
      </w:r>
    </w:p>
    <w:p>
      <w:pPr>
        <w:spacing w:after="80" w:line="252" w:lineRule="auto"/>
      </w:pPr>
      <w:r>
        <w:t>Month-end close is the process of reviewing, reconciling, adjusting, and finalizing the books for a completed month. In plain words: make sure every transaction is recorded, every important account agrees to support, and the financial statements are ready for management review.</w:t>
      </w:r>
    </w:p>
    <w:p>
      <w:pPr>
        <w:pStyle w:val="ListBullet"/>
        <w:spacing w:after="40"/>
      </w:pPr>
      <w:r>
        <w:t>Review means checking that sales, bills, payments, payroll, bank activity, and journal entries are complete.</w:t>
      </w:r>
    </w:p>
    <w:p>
      <w:pPr>
        <w:pStyle w:val="ListBullet"/>
        <w:spacing w:after="40"/>
      </w:pPr>
      <w:r>
        <w:t>Reconcile means comparing the accounting records to outside or supporting records, such as bank statements, customer aging, vendor aging, payroll reports, loan statements, and fixed asset schedules.</w:t>
      </w:r>
    </w:p>
    <w:p>
      <w:pPr>
        <w:pStyle w:val="ListBullet"/>
        <w:spacing w:after="40"/>
      </w:pPr>
      <w:r>
        <w:t>Adjust means posting entries for timing items such as accruals, prepaids, depreciation, payroll liabilities, and interest.</w:t>
      </w:r>
    </w:p>
    <w:p>
      <w:pPr>
        <w:pStyle w:val="ListBullet"/>
        <w:spacing w:after="40"/>
      </w:pPr>
      <w:r>
        <w:t>Finalize means preparing reports, saving workpapers, getting approval, and locking the period so prior-month numbers do not change without review.</w:t>
      </w:r>
    </w:p>
    <w:p>
      <w:pPr>
        <w:pStyle w:val="Heading1"/>
        <w:keepNext/>
        <w:spacing w:before="120" w:after="60"/>
      </w:pPr>
      <w:r>
        <w:t>2. Recommended Close Timeline</w:t>
      </w:r>
    </w:p>
    <w:p>
      <w:pPr>
        <w:spacing w:after="80" w:line="252" w:lineRule="auto"/>
      </w:pPr>
      <w:r>
        <w:t>A small company should normally aim to close within 5 business days after month-end. Some companies close faster, but a 5-day schedule is realistic for training because students must show their work instead of just clicking buttons and hoping accounting forgives them.</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Timing</w:t>
            </w:r>
          </w:p>
        </w:tc>
        <w:tc>
          <w:tcPr>
            <w:tcW w:type="dxa" w:w="180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Goal</w:t>
            </w:r>
          </w:p>
        </w:tc>
        <w:tc>
          <w:tcPr>
            <w:tcW w:type="dxa" w:w="5328"/>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Staff Accountant Tasks</w:t>
            </w:r>
          </w:p>
        </w:tc>
        <w:tc>
          <w:tcPr>
            <w:tcW w:type="dxa" w:w="288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Required Output</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Pre-Close: Day -3 to Day -1</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Prepare before the month ends</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Send cutoff reminders, collect missing bills/receipts, update checklist, review open POs, review unbilled revenue, confirm payroll dates, download available bank activity.</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Close schedule, missing document list, open item tracker</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Day 1</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Complete transaction entry</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Enter all customer invoices, vendor bills, cash receipts, payments, bank fees, credit card charges, transfers, and payroll activity for the month.</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Complete GL activity, AR listing, AP listing</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Day 2</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Reconcile cash and subledgers</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Reconcile bank accounts and credit cards. Reconcile AR aging to AR GL balance and AP aging to AP GL balance. Investigate unmatched deposits, checks, or vendor bills.</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Bank rec report, AR rec, AP rec, open exceptions list</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Post adjusting entries</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Record depreciation, prepaid amortization, loan interest, payroll accruals, utility accruals, inventory/COGS adjustments, and other month-end journal entries.</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Journal entry log, fixed asset schedule, prepaid schedule, loan schedule</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Day 4</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Review reports and explain variances</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Review trial balance, P&amp;L, balance sheet, and cash flow. Compare revenue, gross profit, payroll, rent, utilities, and major expenses to prior month or budget.</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Reviewed financial statements, variance notes</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Day 5</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Finalize and lock period</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Resolve open issues, prepare CEO summary, save workpapers, get manager approval, close/lock the period, and write post-close notes.</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Final close package, signed checklist, locked period</w:t>
            </w:r>
          </w:p>
        </w:tc>
      </w:tr>
      <w:tr>
        <w:tc>
          <w:tcPr>
            <w:tcW w:type="dxa" w:w="1800"/>
            <w:tcBorders>
              <w:top w:sz="4" w:val="single" w:color="C9CDD3"/>
              <w:left w:sz="4" w:val="single" w:color="C9CDD3"/>
              <w:bottom w:sz="4" w:val="single" w:color="C9CDD3"/>
              <w:right w:sz="4" w:val="single" w:color="C9CDD3"/>
            </w:tcBorders>
            <w:vAlign w:val="top"/>
          </w:tcPr>
          <w:p>
            <w:pPr>
              <w:spacing w:after="0"/>
            </w:pPr>
            <w:r>
              <w:rPr>
                <w:sz w:val="17"/>
              </w:rPr>
              <w:t>Post-Close: Day 6 or 7</w:t>
            </w:r>
          </w:p>
        </w:tc>
        <w:tc>
          <w:tcPr>
            <w:tcW w:type="dxa" w:w="1800"/>
            <w:tcBorders>
              <w:top w:sz="4" w:val="single" w:color="C9CDD3"/>
              <w:left w:sz="4" w:val="single" w:color="C9CDD3"/>
              <w:bottom w:sz="4" w:val="single" w:color="C9CDD3"/>
              <w:right w:sz="4" w:val="single" w:color="C9CDD3"/>
            </w:tcBorders>
            <w:vAlign w:val="top"/>
          </w:tcPr>
          <w:p>
            <w:pPr>
              <w:spacing w:after="0"/>
            </w:pPr>
            <w:r>
              <w:rPr>
                <w:sz w:val="17"/>
              </w:rPr>
              <w:t>Improve the next close</w:t>
            </w:r>
          </w:p>
        </w:tc>
        <w:tc>
          <w:tcPr>
            <w:tcW w:type="dxa" w:w="5328"/>
            <w:tcBorders>
              <w:top w:sz="4" w:val="single" w:color="C9CDD3"/>
              <w:left w:sz="4" w:val="single" w:color="C9CDD3"/>
              <w:bottom w:sz="4" w:val="single" w:color="C9CDD3"/>
              <w:right w:sz="4" w:val="single" w:color="C9CDD3"/>
            </w:tcBorders>
            <w:vAlign w:val="top"/>
          </w:tcPr>
          <w:p>
            <w:pPr>
              <w:spacing w:after="0"/>
            </w:pPr>
            <w:r>
              <w:rPr>
                <w:sz w:val="17"/>
              </w:rPr>
              <w:t>Review what caused delays, update checklist, assign recurring issues to owners, and improve document collection rules.</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Post-close improvement notes</w:t>
            </w:r>
          </w:p>
        </w:tc>
      </w:tr>
    </w:tbl>
    <w:p>
      <w:pPr>
        <w:pStyle w:val="Heading1"/>
        <w:keepNext/>
        <w:spacing w:before="120" w:after="60"/>
      </w:pPr>
      <w:r>
        <w:t>3. The 15 Standard Close Steps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72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Step</w:t>
            </w:r>
          </w:p>
        </w:tc>
        <w:tc>
          <w:tcPr>
            <w:tcW w:type="dxa" w:w="288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Close Activity</w:t>
            </w:r>
          </w:p>
        </w:tc>
        <w:tc>
          <w:tcPr>
            <w:tcW w:type="dxa" w:w="8208"/>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Plain-English Explanation</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Confirm cutoff</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Make sure transactions are recorded in the correct month. Example: January expenses belong in January even if paid in February.</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2</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Collect source documents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Gather bank statements, credit card statements, vendor invoices, customer invoices, payroll reports, loan statements, receipts, and inventory records.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3</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Record sales and AR</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Enter all customer invoices, sales receipts, credit memos, and customer payments. Review unapplied cash.</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4</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Record vendor bills and AP</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Enter all vendor bills, expense reports, purchase-related costs, recurring expenses, and vendor credits.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5</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Record cash activity</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Post deposits, checks, ACH payments, wires, bank fees, interest income, transfers, and loan payments.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6</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Reconcile bank accounts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Match bank statement activity to the GL. Identify outstanding checks, deposits in transit, duplicates, missing items, or wrong amounts.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7</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Reconcile credit cards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Match credit card statement charges and payments to the GL. Confirm all receipts or approvals are attached.</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8</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Reconcile AR aging to GL</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The AR aging total must equal the Accounts Receivable balance on the balance sheet. Investigate differences.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9</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Reconcile AP aging to GL</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The AP aging total must equal the Accounts Payable balance on the balance sheet. Investigate missing or duplicate bills.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10</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Review inventory and COGS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For a manufacturer, check purchases, usage, ending inventory, and cost of goods sold. Record adjustments if the physical count or schedule differs from the books.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11</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Record payroll and payroll liabilities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Record gross wages, employee withholdings, employer payroll taxes, benefit deductions, and net payroll payments.</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12</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Update fixed assets and depreciation</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Add new assets, remove disposed assets, calculate monthly depreciation, and reconcile the fixed asset schedule to the GL.</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13</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Record accruals and prepaids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Post expenses incurred but not billed yet, and amortize prepaid items such as insurance or annual software.</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14</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Review financial statements and variances</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Review the trial balance, income statement, balance sheet, and cash flow. Explain unusual changes from prior month or budget.</w:t>
            </w:r>
          </w:p>
        </w:tc>
      </w:tr>
      <w:tr>
        <w:tc>
          <w:tcPr>
            <w:tcW w:type="dxa" w:w="720"/>
            <w:tcBorders>
              <w:top w:sz="4" w:val="single" w:color="C9CDD3"/>
              <w:left w:sz="4" w:val="single" w:color="C9CDD3"/>
              <w:bottom w:sz="4" w:val="single" w:color="C9CDD3"/>
              <w:right w:sz="4" w:val="single" w:color="C9CDD3"/>
            </w:tcBorders>
            <w:vAlign w:val="top"/>
          </w:tcPr>
          <w:p>
            <w:pPr>
              <w:spacing w:after="0"/>
            </w:pPr>
            <w:r>
              <w:rPr>
                <w:sz w:val="17"/>
              </w:rPr>
              <w:t>15</w:t>
            </w:r>
          </w:p>
        </w:tc>
        <w:tc>
          <w:tcPr>
            <w:tcW w:type="dxa" w:w="2880"/>
            <w:tcBorders>
              <w:top w:sz="4" w:val="single" w:color="C9CDD3"/>
              <w:left w:sz="4" w:val="single" w:color="C9CDD3"/>
              <w:bottom w:sz="4" w:val="single" w:color="C9CDD3"/>
              <w:right w:sz="4" w:val="single" w:color="C9CDD3"/>
            </w:tcBorders>
            <w:vAlign w:val="top"/>
          </w:tcPr>
          <w:p>
            <w:pPr>
              <w:spacing w:after="0"/>
            </w:pPr>
            <w:r>
              <w:rPr>
                <w:sz w:val="17"/>
              </w:rPr>
              <w:t>Finalize, approve, and lock</w:t>
            </w:r>
          </w:p>
        </w:tc>
        <w:tc>
          <w:tcPr>
            <w:tcW w:type="dxa" w:w="8208"/>
            <w:tcBorders>
              <w:top w:sz="4" w:val="single" w:color="C9CDD3"/>
              <w:left w:sz="4" w:val="single" w:color="C9CDD3"/>
              <w:bottom w:sz="4" w:val="single" w:color="C9CDD3"/>
              <w:right w:sz="4" w:val="single" w:color="C9CDD3"/>
            </w:tcBorders>
            <w:vAlign w:val="top"/>
          </w:tcPr>
          <w:p>
            <w:pPr>
              <w:spacing w:after="0"/>
            </w:pPr>
            <w:r>
              <w:rPr>
                <w:sz w:val="17"/>
              </w:rPr>
              <w:t>Save workpapers, prepare the management report, get approval, and lock the accounting period.</w:t>
            </w:r>
          </w:p>
        </w:tc>
      </w:tr>
    </w:tbl>
    <w:p>
      <w:pPr>
        <w:pStyle w:val="Heading1"/>
        <w:keepNext/>
        <w:spacing w:before="120" w:after="60"/>
      </w:pPr>
      <w:r>
        <w:t>4. What a Close Checklist Is</w:t>
      </w:r>
    </w:p>
    <w:p>
      <w:pPr>
        <w:spacing w:after="80" w:line="252" w:lineRule="auto"/>
      </w:pPr>
      <w:r>
        <w:t>A close checklist is the control document that tells the accountant what must be completed, who owns each task, when it is due, what evidence is required, and whether it was reviewed. Without a checklist, the close depends on memory, which is bold considering humans routinely forget why they walked into a room.</w:t>
      </w:r>
    </w:p>
    <w:p>
      <w:pPr>
        <w:pStyle w:val="Heading2"/>
        <w:keepNext/>
        <w:spacing w:before="120" w:after="60"/>
      </w:pPr>
      <w:r>
        <w:t>Recommended Checklist Columns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16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Column</w:t>
            </w:r>
          </w:p>
        </w:tc>
        <w:tc>
          <w:tcPr>
            <w:tcW w:type="dxa" w:w="9648"/>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What It Means</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Task ID</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A short number such as C-01, C-02, C-03.</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Close Area</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Bank, AR, AP, payroll, fixed assets, inventory, reporting, or management review.</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Task</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The exact action to complete.</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Owner</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Person responsible for doing the task.</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Due Day</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Target day in the close calendar, such as Day 1 or Day 3.</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Evidence Required</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The report, schedule, screenshot, invoice, or reconciliation that proves the work was done.</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Status</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Not Started, In Progress, Waiting, Complete, or Reviewed.</w:t>
            </w:r>
          </w:p>
        </w:tc>
      </w:tr>
      <w:tr>
        <w:tc>
          <w:tcPr>
            <w:tcW w:type="dxa" w:w="2160"/>
            <w:tcBorders>
              <w:top w:sz="4" w:val="single" w:color="C9CDD3"/>
              <w:left w:sz="4" w:val="single" w:color="C9CDD3"/>
              <w:bottom w:sz="4" w:val="single" w:color="C9CDD3"/>
              <w:right w:sz="4" w:val="single" w:color="C9CDD3"/>
            </w:tcBorders>
            <w:vAlign w:val="top"/>
          </w:tcPr>
          <w:p>
            <w:pPr>
              <w:spacing w:after="0"/>
            </w:pPr>
            <w:r>
              <w:rPr>
                <w:sz w:val="17"/>
              </w:rPr>
              <w:t>Reviewer Notes</w:t>
            </w:r>
          </w:p>
        </w:tc>
        <w:tc>
          <w:tcPr>
            <w:tcW w:type="dxa" w:w="9648"/>
            <w:tcBorders>
              <w:top w:sz="4" w:val="single" w:color="C9CDD3"/>
              <w:left w:sz="4" w:val="single" w:color="C9CDD3"/>
              <w:bottom w:sz="4" w:val="single" w:color="C9CDD3"/>
              <w:right w:sz="4" w:val="single" w:color="C9CDD3"/>
            </w:tcBorders>
            <w:vAlign w:val="top"/>
          </w:tcPr>
          <w:p>
            <w:pPr>
              <w:spacing w:after="0"/>
            </w:pPr>
            <w:r>
              <w:rPr>
                <w:sz w:val="17"/>
              </w:rPr>
              <w:t>Manager comments, questions, or correction instructions.</w:t>
            </w:r>
          </w:p>
        </w:tc>
      </w:tr>
    </w:tbl>
    <w:p>
      <w:pPr>
        <w:pStyle w:val="Heading2"/>
        <w:keepNext/>
        <w:spacing w:before="120" w:after="60"/>
      </w:pPr>
      <w:r>
        <w:t>Sample Month-End Close Checklist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648"/>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ID</w:t>
            </w:r>
          </w:p>
        </w:tc>
        <w:tc>
          <w:tcPr>
            <w:tcW w:type="dxa" w:w="1296"/>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Area</w:t>
            </w:r>
          </w:p>
        </w:tc>
        <w:tc>
          <w:tcPr>
            <w:tcW w:type="dxa" w:w="3816"/>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Task</w:t>
            </w:r>
          </w:p>
        </w:tc>
        <w:tc>
          <w:tcPr>
            <w:tcW w:type="dxa" w:w="1584"/>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Owner</w:t>
            </w:r>
          </w:p>
        </w:tc>
        <w:tc>
          <w:tcPr>
            <w:tcW w:type="dxa" w:w="864"/>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Due</w:t>
            </w:r>
          </w:p>
        </w:tc>
        <w:tc>
          <w:tcPr>
            <w:tcW w:type="dxa" w:w="252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Evidence</w:t>
            </w:r>
          </w:p>
        </w:tc>
        <w:tc>
          <w:tcPr>
            <w:tcW w:type="dxa" w:w="108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Status/Notes</w:t>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C-01</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Pre-Close</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Send cutoff reminder to AP, AR, payroll, and operations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Email or Teams message</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C-02</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AP</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Enter all vendor bills received by cutoff</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AP Clerk</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1</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AP aging report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C-03</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AP</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Review unmatched POs and missing invoices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AP Clerk</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1</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Open PO report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C-04</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AR</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Create all customer invoices for the month</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AR Clerk</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1</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Invoice register</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C-05</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AR</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Apply customer payments and review unapplied cash</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AR Clerk</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1</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Payment application report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C-06</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Bank</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Reconcile operating bank account</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2</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Bank reconciliation report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C-07</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Credit Card</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Reconcile corporate credit card</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2</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Credit card reconciliation</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C-08</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AR</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Reconcile AR aging to GL</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2</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AR aging tie-out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C-09</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AP</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Reconcile AP aging to GL</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2</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AP aging tie-out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C-10</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Inventory</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Review inventory movement and COGS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Inventory schedule</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C-11</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Payroll</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Record payroll and payroll liabilities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Payroll journal entry and payroll register</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C-12</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Fixed Assets</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Record depreciation and asset additions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Fixed asset rollforward</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C-13</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Accruals</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Post utilities, payroll, interest, and other accruals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Journal entry log</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C-14</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Prepaids</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Amortize prepaid insurance and annual software</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3</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Prepaid schedule</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C-15</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Review</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Review trial balance for unusual balances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Accounting Manager</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4</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Reviewed trial balance</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C-16</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Reporting</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Prepare P&amp;L, balance sheet, cash flow, AR/AP aging, and CEO summary</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Staff Accountant</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4</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Close package</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C-17</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Approval</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Manager review and approval</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Accounting Manager</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5</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Signed checklist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r>
        <w:tc>
          <w:tcPr>
            <w:tcW w:type="dxa" w:w="648"/>
            <w:tcBorders>
              <w:top w:sz="4" w:val="single" w:color="C9CDD3"/>
              <w:left w:sz="4" w:val="single" w:color="C9CDD3"/>
              <w:bottom w:sz="4" w:val="single" w:color="C9CDD3"/>
              <w:right w:sz="4" w:val="single" w:color="C9CDD3"/>
            </w:tcBorders>
            <w:vAlign w:val="top"/>
          </w:tcPr>
          <w:p>
            <w:pPr>
              <w:spacing w:after="0"/>
            </w:pPr>
            <w:r>
              <w:rPr>
                <w:sz w:val="17"/>
              </w:rPr>
              <w:t>C-18</w:t>
            </w:r>
          </w:p>
        </w:tc>
        <w:tc>
          <w:tcPr>
            <w:tcW w:type="dxa" w:w="1296"/>
            <w:tcBorders>
              <w:top w:sz="4" w:val="single" w:color="C9CDD3"/>
              <w:left w:sz="4" w:val="single" w:color="C9CDD3"/>
              <w:bottom w:sz="4" w:val="single" w:color="C9CDD3"/>
              <w:right w:sz="4" w:val="single" w:color="C9CDD3"/>
            </w:tcBorders>
            <w:vAlign w:val="top"/>
          </w:tcPr>
          <w:p>
            <w:pPr>
              <w:spacing w:after="0"/>
            </w:pPr>
            <w:r>
              <w:rPr>
                <w:sz w:val="17"/>
              </w:rPr>
              <w:t>Lock</w:t>
            </w:r>
          </w:p>
        </w:tc>
        <w:tc>
          <w:tcPr>
            <w:tcW w:type="dxa" w:w="3816"/>
            <w:tcBorders>
              <w:top w:sz="4" w:val="single" w:color="C9CDD3"/>
              <w:left w:sz="4" w:val="single" w:color="C9CDD3"/>
              <w:bottom w:sz="4" w:val="single" w:color="C9CDD3"/>
              <w:right w:sz="4" w:val="single" w:color="C9CDD3"/>
            </w:tcBorders>
            <w:vAlign w:val="top"/>
          </w:tcPr>
          <w:p>
            <w:pPr>
              <w:spacing w:after="0"/>
            </w:pPr>
            <w:r>
              <w:rPr>
                <w:sz w:val="17"/>
              </w:rPr>
              <w:t>Lock the accounting period in QuickBooks</w:t>
            </w:r>
          </w:p>
        </w:tc>
        <w:tc>
          <w:tcPr>
            <w:tcW w:type="dxa" w:w="1584"/>
            <w:tcBorders>
              <w:top w:sz="4" w:val="single" w:color="C9CDD3"/>
              <w:left w:sz="4" w:val="single" w:color="C9CDD3"/>
              <w:bottom w:sz="4" w:val="single" w:color="C9CDD3"/>
              <w:right w:sz="4" w:val="single" w:color="C9CDD3"/>
            </w:tcBorders>
            <w:vAlign w:val="top"/>
          </w:tcPr>
          <w:p>
            <w:pPr>
              <w:spacing w:after="0"/>
            </w:pPr>
            <w:r>
              <w:rPr>
                <w:sz w:val="17"/>
              </w:rPr>
              <w:t>Accounting Manager</w:t>
            </w:r>
          </w:p>
        </w:tc>
        <w:tc>
          <w:tcPr>
            <w:tcW w:type="dxa" w:w="864"/>
            <w:tcBorders>
              <w:top w:sz="4" w:val="single" w:color="C9CDD3"/>
              <w:left w:sz="4" w:val="single" w:color="C9CDD3"/>
              <w:bottom w:sz="4" w:val="single" w:color="C9CDD3"/>
              <w:right w:sz="4" w:val="single" w:color="C9CDD3"/>
            </w:tcBorders>
            <w:vAlign w:val="top"/>
          </w:tcPr>
          <w:p>
            <w:pPr>
              <w:spacing w:after="0"/>
            </w:pPr>
            <w:r>
              <w:rPr>
                <w:sz w:val="17"/>
              </w:rPr>
              <w:t>Day 5</w:t>
            </w:r>
          </w:p>
        </w:tc>
        <w:tc>
          <w:tcPr>
            <w:tcW w:type="dxa" w:w="2520"/>
            <w:tcBorders>
              <w:top w:sz="4" w:val="single" w:color="C9CDD3"/>
              <w:left w:sz="4" w:val="single" w:color="C9CDD3"/>
              <w:bottom w:sz="4" w:val="single" w:color="C9CDD3"/>
              <w:right w:sz="4" w:val="single" w:color="C9CDD3"/>
            </w:tcBorders>
            <w:vAlign w:val="top"/>
          </w:tcPr>
          <w:p>
            <w:pPr>
              <w:spacing w:after="0"/>
            </w:pPr>
            <w:r>
              <w:rPr>
                <w:sz w:val="17"/>
              </w:rPr>
              <w:t>Lock confirmation screenshot</w:t>
            </w:r>
          </w:p>
        </w:tc>
        <w:tc>
          <w:tcPr>
            <w:tcW w:type="dxa" w:w="1080"/>
            <w:tcBorders>
              <w:top w:sz="4" w:val="single" w:color="C9CDD3"/>
              <w:left w:sz="4" w:val="single" w:color="C9CDD3"/>
              <w:bottom w:sz="4" w:val="single" w:color="C9CDD3"/>
              <w:right w:sz="4" w:val="single" w:color="C9CDD3"/>
            </w:tcBorders>
            <w:vAlign w:val="top"/>
          </w:tcPr>
          <w:p>
            <w:pPr>
              <w:spacing w:after="0"/>
            </w:pPr>
            <w:r>
              <w:rPr>
                <w:sz w:val="17"/>
              </w:rPr>
            </w:r>
          </w:p>
        </w:tc>
      </w:tr>
    </w:tbl>
    <w:p>
      <w:pPr>
        <w:pStyle w:val="Heading1"/>
        <w:keepNext/>
        <w:spacing w:before="120" w:after="60"/>
      </w:pPr>
      <w:r>
        <w:t>5. Common Bottlenecks and How to Fix Them</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Bottleneck</w:t>
            </w:r>
          </w:p>
        </w:tc>
        <w:tc>
          <w:tcPr>
            <w:tcW w:type="dxa" w:w="324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Why It Slows the Close</w:t>
            </w:r>
          </w:p>
        </w:tc>
        <w:tc>
          <w:tcPr>
            <w:tcW w:type="dxa" w:w="6336"/>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Practical Fix</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Late vendor invoices</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AP cannot record all expenses before close.</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Use cutoff reminders, an open PO report, and a missing invoice accrual when the goods/services were received but the invoice has not arrived.</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Missing receipts or approvals</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Expenses stay uncoded or unsupported.</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Require receipts before reimbursement, use a missing receipt log, and keep unsupported items on the open exceptions list.</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Bank and GL do not match</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Duplicate, missing, wrong-amount, or uncleared transactions create reconciliation differences.</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Compare by date, amount, description, and reference number. Document outstanding checks and deposits in transit.</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Unapplied customer payments</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Cash is received but not matched to the correct invoice.</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Review unapplied cash daily near close and ask AR to identify the customer invoice before reports are finalized.</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AP aging does not tie to GL</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Bills may be missing, duplicated, paid from the wrong account, or posted to the wrong period.</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Run AP aging as of month-end and compare it to the balance sheet AP balance. Investigate differences immediately.</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Payroll report received late</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Wages, taxes, and liabilities may be missing from the books.</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Set a payroll cutoff, request the payroll register on Day 1, and accrue unpaid wages if needed.</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Inventory count differences</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COGS and gross profit may be wrong.</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Compare the inventory schedule to the GL and record approved inventory adjustments.</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Too many spreadsheets</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Version control problems cause errors and rework.</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Use standard templates, controlled file names, and one shared close folder.</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No clear owner</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Tasks sit unfinished because everyone assumes someone else owns them.</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Assign every close task to one owner and one reviewer. No orphan tasks.</w:t>
            </w:r>
          </w:p>
        </w:tc>
      </w:tr>
      <w:tr>
        <w:tc>
          <w:tcPr>
            <w:tcW w:type="dxa" w:w="2232"/>
            <w:tcBorders>
              <w:top w:sz="4" w:val="single" w:color="C9CDD3"/>
              <w:left w:sz="4" w:val="single" w:color="C9CDD3"/>
              <w:bottom w:sz="4" w:val="single" w:color="C9CDD3"/>
              <w:right w:sz="4" w:val="single" w:color="C9CDD3"/>
            </w:tcBorders>
            <w:vAlign w:val="top"/>
          </w:tcPr>
          <w:p>
            <w:pPr>
              <w:spacing w:after="0"/>
            </w:pPr>
            <w:r>
              <w:rPr>
                <w:sz w:val="17"/>
              </w:rPr>
              <w:t>No post-close review</w:t>
            </w:r>
          </w:p>
        </w:tc>
        <w:tc>
          <w:tcPr>
            <w:tcW w:type="dxa" w:w="3240"/>
            <w:tcBorders>
              <w:top w:sz="4" w:val="single" w:color="C9CDD3"/>
              <w:left w:sz="4" w:val="single" w:color="C9CDD3"/>
              <w:bottom w:sz="4" w:val="single" w:color="C9CDD3"/>
              <w:right w:sz="4" w:val="single" w:color="C9CDD3"/>
            </w:tcBorders>
            <w:vAlign w:val="top"/>
          </w:tcPr>
          <w:p>
            <w:pPr>
              <w:spacing w:after="0"/>
            </w:pPr>
            <w:r>
              <w:rPr>
                <w:sz w:val="17"/>
              </w:rPr>
              <w:t>The same problems repeat every month.</w:t>
            </w:r>
          </w:p>
        </w:tc>
        <w:tc>
          <w:tcPr>
            <w:tcW w:type="dxa" w:w="6336"/>
            <w:tcBorders>
              <w:top w:sz="4" w:val="single" w:color="C9CDD3"/>
              <w:left w:sz="4" w:val="single" w:color="C9CDD3"/>
              <w:bottom w:sz="4" w:val="single" w:color="C9CDD3"/>
              <w:right w:sz="4" w:val="single" w:color="C9CDD3"/>
            </w:tcBorders>
            <w:vAlign w:val="top"/>
          </w:tcPr>
          <w:p>
            <w:pPr>
              <w:spacing w:after="0"/>
            </w:pPr>
            <w:r>
              <w:rPr>
                <w:sz w:val="17"/>
              </w:rPr>
              <w:t>Hold a short post-close meeting and update the checklist for the next month.</w:t>
            </w:r>
          </w:p>
        </w:tc>
      </w:tr>
    </w:tbl>
    <w:p>
      <w:pPr>
        <w:pStyle w:val="Heading1"/>
        <w:keepNext/>
        <w:spacing w:before="120" w:after="60"/>
      </w:pPr>
      <w:r>
        <w:t>6. Soft Close vs. Hard Close</w:t>
      </w:r>
    </w:p>
    <w:p>
      <w:pPr>
        <w:spacing w:after="80" w:line="252" w:lineRule="auto"/>
      </w:pPr>
      <w:r>
        <w:t>Companies do not always close with the same level of detail. A soft close is faster and less formal. A hard close is more complete and controlled.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Area</w:t>
            </w:r>
          </w:p>
        </w:tc>
        <w:tc>
          <w:tcPr>
            <w:tcW w:type="dxa" w:w="4680"/>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Soft Close</w:t>
            </w:r>
          </w:p>
        </w:tc>
        <w:tc>
          <w:tcPr>
            <w:tcW w:type="dxa" w:w="5112"/>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Hard Close</w:t>
            </w:r>
          </w:p>
        </w:tc>
      </w:tr>
      <w:tr>
        <w:tc>
          <w:tcPr>
            <w:tcW w:type="dxa" w:w="2016"/>
            <w:tcBorders>
              <w:top w:sz="4" w:val="single" w:color="C9CDD3"/>
              <w:left w:sz="4" w:val="single" w:color="C9CDD3"/>
              <w:bottom w:sz="4" w:val="single" w:color="C9CDD3"/>
              <w:right w:sz="4" w:val="single" w:color="C9CDD3"/>
            </w:tcBorders>
            <w:vAlign w:val="top"/>
          </w:tcPr>
          <w:p>
            <w:pPr>
              <w:spacing w:after="0"/>
            </w:pPr>
            <w:r>
              <w:rPr>
                <w:sz w:val="17"/>
              </w:rPr>
              <w:t>Definition</w:t>
            </w:r>
          </w:p>
        </w:tc>
        <w:tc>
          <w:tcPr>
            <w:tcW w:type="dxa" w:w="4680"/>
            <w:tcBorders>
              <w:top w:sz="4" w:val="single" w:color="C9CDD3"/>
              <w:left w:sz="4" w:val="single" w:color="C9CDD3"/>
              <w:bottom w:sz="4" w:val="single" w:color="C9CDD3"/>
              <w:right w:sz="4" w:val="single" w:color="C9CDD3"/>
            </w:tcBorders>
            <w:vAlign w:val="top"/>
          </w:tcPr>
          <w:p>
            <w:pPr>
              <w:spacing w:after="0"/>
            </w:pPr>
            <w:r>
              <w:rPr>
                <w:sz w:val="17"/>
              </w:rPr>
              <w:t>A faster close that focuses on the most important accounts and may use reasonable estimates for smaller items.</w:t>
            </w:r>
          </w:p>
        </w:tc>
        <w:tc>
          <w:tcPr>
            <w:tcW w:type="dxa" w:w="5112"/>
            <w:tcBorders>
              <w:top w:sz="4" w:val="single" w:color="C9CDD3"/>
              <w:left w:sz="4" w:val="single" w:color="C9CDD3"/>
              <w:bottom w:sz="4" w:val="single" w:color="C9CDD3"/>
              <w:right w:sz="4" w:val="single" w:color="C9CDD3"/>
            </w:tcBorders>
            <w:vAlign w:val="top"/>
          </w:tcPr>
          <w:p>
            <w:pPr>
              <w:spacing w:after="0"/>
            </w:pPr>
            <w:r>
              <w:rPr>
                <w:sz w:val="17"/>
              </w:rPr>
              <w:t>A full close where accounts are reconciled, adjustments are posted, workpapers are saved, reviews are completed, and the period is locked.</w:t>
            </w:r>
          </w:p>
        </w:tc>
      </w:tr>
      <w:tr>
        <w:tc>
          <w:tcPr>
            <w:tcW w:type="dxa" w:w="2016"/>
            <w:tcBorders>
              <w:top w:sz="4" w:val="single" w:color="C9CDD3"/>
              <w:left w:sz="4" w:val="single" w:color="C9CDD3"/>
              <w:bottom w:sz="4" w:val="single" w:color="C9CDD3"/>
              <w:right w:sz="4" w:val="single" w:color="C9CDD3"/>
            </w:tcBorders>
            <w:vAlign w:val="top"/>
          </w:tcPr>
          <w:p>
            <w:pPr>
              <w:spacing w:after="0"/>
            </w:pPr>
            <w:r>
              <w:rPr>
                <w:sz w:val="17"/>
              </w:rPr>
              <w:t>Best for</w:t>
            </w:r>
          </w:p>
        </w:tc>
        <w:tc>
          <w:tcPr>
            <w:tcW w:type="dxa" w:w="4680"/>
            <w:tcBorders>
              <w:top w:sz="4" w:val="single" w:color="C9CDD3"/>
              <w:left w:sz="4" w:val="single" w:color="C9CDD3"/>
              <w:bottom w:sz="4" w:val="single" w:color="C9CDD3"/>
              <w:right w:sz="4" w:val="single" w:color="C9CDD3"/>
            </w:tcBorders>
            <w:vAlign w:val="top"/>
          </w:tcPr>
          <w:p>
            <w:pPr>
              <w:spacing w:after="0"/>
            </w:pPr>
            <w:r>
              <w:rPr>
                <w:sz w:val="17"/>
              </w:rPr>
              <w:t>Internal monthly management reporting when the company needs quick numbers and risk is low.</w:t>
            </w:r>
          </w:p>
        </w:tc>
        <w:tc>
          <w:tcPr>
            <w:tcW w:type="dxa" w:w="5112"/>
            <w:tcBorders>
              <w:top w:sz="4" w:val="single" w:color="C9CDD3"/>
              <w:left w:sz="4" w:val="single" w:color="C9CDD3"/>
              <w:bottom w:sz="4" w:val="single" w:color="C9CDD3"/>
              <w:right w:sz="4" w:val="single" w:color="C9CDD3"/>
            </w:tcBorders>
            <w:vAlign w:val="top"/>
          </w:tcPr>
          <w:p>
            <w:pPr>
              <w:spacing w:after="0"/>
            </w:pPr>
            <w:r>
              <w:rPr>
                <w:sz w:val="17"/>
              </w:rPr>
              <w:t>Quarter-end, year-end, audits, loan reporting, tax support, or any month where accuracy must be very high.</w:t>
            </w:r>
          </w:p>
        </w:tc>
      </w:tr>
      <w:tr>
        <w:tc>
          <w:tcPr>
            <w:tcW w:type="dxa" w:w="2016"/>
            <w:tcBorders>
              <w:top w:sz="4" w:val="single" w:color="C9CDD3"/>
              <w:left w:sz="4" w:val="single" w:color="C9CDD3"/>
              <w:bottom w:sz="4" w:val="single" w:color="C9CDD3"/>
              <w:right w:sz="4" w:val="single" w:color="C9CDD3"/>
            </w:tcBorders>
            <w:vAlign w:val="top"/>
          </w:tcPr>
          <w:p>
            <w:pPr>
              <w:spacing w:after="0"/>
            </w:pPr>
            <w:r>
              <w:rPr>
                <w:sz w:val="17"/>
              </w:rPr>
              <w:t>Review level</w:t>
            </w:r>
          </w:p>
        </w:tc>
        <w:tc>
          <w:tcPr>
            <w:tcW w:type="dxa" w:w="4680"/>
            <w:tcBorders>
              <w:top w:sz="4" w:val="single" w:color="C9CDD3"/>
              <w:left w:sz="4" w:val="single" w:color="C9CDD3"/>
              <w:bottom w:sz="4" w:val="single" w:color="C9CDD3"/>
              <w:right w:sz="4" w:val="single" w:color="C9CDD3"/>
            </w:tcBorders>
            <w:vAlign w:val="top"/>
          </w:tcPr>
          <w:p>
            <w:pPr>
              <w:spacing w:after="0"/>
            </w:pPr>
            <w:r>
              <w:rPr>
                <w:sz w:val="17"/>
              </w:rPr>
              <w:t>Limited review of major accounts and unusual balances.</w:t>
            </w:r>
          </w:p>
        </w:tc>
        <w:tc>
          <w:tcPr>
            <w:tcW w:type="dxa" w:w="5112"/>
            <w:tcBorders>
              <w:top w:sz="4" w:val="single" w:color="C9CDD3"/>
              <w:left w:sz="4" w:val="single" w:color="C9CDD3"/>
              <w:bottom w:sz="4" w:val="single" w:color="C9CDD3"/>
              <w:right w:sz="4" w:val="single" w:color="C9CDD3"/>
            </w:tcBorders>
            <w:vAlign w:val="top"/>
          </w:tcPr>
          <w:p>
            <w:pPr>
              <w:spacing w:after="0"/>
            </w:pPr>
            <w:r>
              <w:rPr>
                <w:sz w:val="17"/>
              </w:rPr>
              <w:t>Detailed review of all key balance sheet accounts and supporting schedules.</w:t>
            </w:r>
          </w:p>
        </w:tc>
      </w:tr>
      <w:tr>
        <w:tc>
          <w:tcPr>
            <w:tcW w:type="dxa" w:w="2016"/>
            <w:tcBorders>
              <w:top w:sz="4" w:val="single" w:color="C9CDD3"/>
              <w:left w:sz="4" w:val="single" w:color="C9CDD3"/>
              <w:bottom w:sz="4" w:val="single" w:color="C9CDD3"/>
              <w:right w:sz="4" w:val="single" w:color="C9CDD3"/>
            </w:tcBorders>
            <w:vAlign w:val="top"/>
          </w:tcPr>
          <w:p>
            <w:pPr>
              <w:spacing w:after="0"/>
            </w:pPr>
            <w:r>
              <w:rPr>
                <w:sz w:val="17"/>
              </w:rPr>
              <w:t>Speed</w:t>
            </w:r>
          </w:p>
        </w:tc>
        <w:tc>
          <w:tcPr>
            <w:tcW w:type="dxa" w:w="4680"/>
            <w:tcBorders>
              <w:top w:sz="4" w:val="single" w:color="C9CDD3"/>
              <w:left w:sz="4" w:val="single" w:color="C9CDD3"/>
              <w:bottom w:sz="4" w:val="single" w:color="C9CDD3"/>
              <w:right w:sz="4" w:val="single" w:color="C9CDD3"/>
            </w:tcBorders>
            <w:vAlign w:val="top"/>
          </w:tcPr>
          <w:p>
            <w:pPr>
              <w:spacing w:after="0"/>
            </w:pPr>
            <w:r>
              <w:rPr>
                <w:sz w:val="17"/>
              </w:rPr>
              <w:t>Usually faster because it skips or estimates low-risk items.</w:t>
            </w:r>
          </w:p>
        </w:tc>
        <w:tc>
          <w:tcPr>
            <w:tcW w:type="dxa" w:w="5112"/>
            <w:tcBorders>
              <w:top w:sz="4" w:val="single" w:color="C9CDD3"/>
              <w:left w:sz="4" w:val="single" w:color="C9CDD3"/>
              <w:bottom w:sz="4" w:val="single" w:color="C9CDD3"/>
              <w:right w:sz="4" w:val="single" w:color="C9CDD3"/>
            </w:tcBorders>
            <w:vAlign w:val="top"/>
          </w:tcPr>
          <w:p>
            <w:pPr>
              <w:spacing w:after="0"/>
            </w:pPr>
            <w:r>
              <w:rPr>
                <w:sz w:val="17"/>
              </w:rPr>
              <w:t>Usually slower because every major balance needs support and review.</w:t>
            </w:r>
          </w:p>
        </w:tc>
      </w:tr>
      <w:tr>
        <w:tc>
          <w:tcPr>
            <w:tcW w:type="dxa" w:w="2016"/>
            <w:tcBorders>
              <w:top w:sz="4" w:val="single" w:color="C9CDD3"/>
              <w:left w:sz="4" w:val="single" w:color="C9CDD3"/>
              <w:bottom w:sz="4" w:val="single" w:color="C9CDD3"/>
              <w:right w:sz="4" w:val="single" w:color="C9CDD3"/>
            </w:tcBorders>
            <w:vAlign w:val="top"/>
          </w:tcPr>
          <w:p>
            <w:pPr>
              <w:spacing w:after="0"/>
            </w:pPr>
            <w:r>
              <w:rPr>
                <w:sz w:val="17"/>
              </w:rPr>
              <w:t>Risk</w:t>
            </w:r>
          </w:p>
        </w:tc>
        <w:tc>
          <w:tcPr>
            <w:tcW w:type="dxa" w:w="4680"/>
            <w:tcBorders>
              <w:top w:sz="4" w:val="single" w:color="C9CDD3"/>
              <w:left w:sz="4" w:val="single" w:color="C9CDD3"/>
              <w:bottom w:sz="4" w:val="single" w:color="C9CDD3"/>
              <w:right w:sz="4" w:val="single" w:color="C9CDD3"/>
            </w:tcBorders>
            <w:vAlign w:val="top"/>
          </w:tcPr>
          <w:p>
            <w:pPr>
              <w:spacing w:after="0"/>
            </w:pPr>
            <w:r>
              <w:rPr>
                <w:sz w:val="17"/>
              </w:rPr>
              <w:t>Higher risk of later adjustments.</w:t>
            </w:r>
          </w:p>
        </w:tc>
        <w:tc>
          <w:tcPr>
            <w:tcW w:type="dxa" w:w="5112"/>
            <w:tcBorders>
              <w:top w:sz="4" w:val="single" w:color="C9CDD3"/>
              <w:left w:sz="4" w:val="single" w:color="C9CDD3"/>
              <w:bottom w:sz="4" w:val="single" w:color="C9CDD3"/>
              <w:right w:sz="4" w:val="single" w:color="C9CDD3"/>
            </w:tcBorders>
            <w:vAlign w:val="top"/>
          </w:tcPr>
          <w:p>
            <w:pPr>
              <w:spacing w:after="0"/>
            </w:pPr>
            <w:r>
              <w:rPr>
                <w:sz w:val="17"/>
              </w:rPr>
              <w:t>Lower risk because accounts are fully supported.</w:t>
            </w:r>
          </w:p>
        </w:tc>
      </w:tr>
      <w:tr>
        <w:tc>
          <w:tcPr>
            <w:tcW w:type="dxa" w:w="2016"/>
            <w:tcBorders>
              <w:top w:sz="4" w:val="single" w:color="C9CDD3"/>
              <w:left w:sz="4" w:val="single" w:color="C9CDD3"/>
              <w:bottom w:sz="4" w:val="single" w:color="C9CDD3"/>
              <w:right w:sz="4" w:val="single" w:color="C9CDD3"/>
            </w:tcBorders>
            <w:vAlign w:val="top"/>
          </w:tcPr>
          <w:p>
            <w:pPr>
              <w:spacing w:after="0"/>
            </w:pPr>
            <w:r>
              <w:rPr>
                <w:sz w:val="17"/>
              </w:rPr>
              <w:t>Skarion training rule</w:t>
            </w:r>
          </w:p>
        </w:tc>
        <w:tc>
          <w:tcPr>
            <w:tcW w:type="dxa" w:w="4680"/>
            <w:tcBorders>
              <w:top w:sz="4" w:val="single" w:color="C9CDD3"/>
              <w:left w:sz="4" w:val="single" w:color="C9CDD3"/>
              <w:bottom w:sz="4" w:val="single" w:color="C9CDD3"/>
              <w:right w:sz="4" w:val="single" w:color="C9CDD3"/>
            </w:tcBorders>
            <w:vAlign w:val="top"/>
          </w:tcPr>
          <w:p>
            <w:pPr>
              <w:spacing w:after="0"/>
            </w:pPr>
            <w:r>
              <w:rPr>
                <w:sz w:val="17"/>
              </w:rPr>
              <w:t>Discussed as a concept only.</w:t>
            </w:r>
          </w:p>
        </w:tc>
        <w:tc>
          <w:tcPr>
            <w:tcW w:type="dxa" w:w="5112"/>
            <w:tcBorders>
              <w:top w:sz="4" w:val="single" w:color="C9CDD3"/>
              <w:left w:sz="4" w:val="single" w:color="C9CDD3"/>
              <w:bottom w:sz="4" w:val="single" w:color="C9CDD3"/>
              <w:right w:sz="4" w:val="single" w:color="C9CDD3"/>
            </w:tcBorders>
            <w:vAlign w:val="top"/>
          </w:tcPr>
          <w:p>
            <w:pPr>
              <w:spacing w:after="0"/>
            </w:pPr>
            <w:r>
              <w:rPr>
                <w:sz w:val="17"/>
              </w:rPr>
              <w:t>Students should practice a hard close for the simulation so they learn the full accounting cycle.</w:t>
            </w:r>
          </w:p>
        </w:tc>
      </w:tr>
    </w:tbl>
    <w:p>
      <w:pPr>
        <w:pStyle w:val="Heading1"/>
        <w:keepNext/>
        <w:spacing w:before="120" w:after="60"/>
      </w:pPr>
      <w:r>
        <w:t>7. How You Know the Close Is Done</w:t>
      </w:r>
    </w:p>
    <w:p>
      <w:pPr>
        <w:spacing w:after="80" w:line="252" w:lineRule="auto"/>
      </w:pPr>
      <w:r>
        <w:t>The close is not done just because the income statement prints. That is adorable, but wrong. The close is done only when the books are complete, reconciled, reviewed, documented, and approved.</w:t>
      </w:r>
    </w:p>
    <w:p>
      <w:pPr>
        <w:pStyle w:val="ListBullet"/>
        <w:spacing w:after="40"/>
      </w:pPr>
      <w:r>
        <w:t>All monthly transactions have been entered or intentionally accrued.</w:t>
      </w:r>
    </w:p>
    <w:p>
      <w:pPr>
        <w:pStyle w:val="ListBullet"/>
        <w:spacing w:after="40"/>
      </w:pPr>
      <w:r>
        <w:t>Operating bank account and credit card accounts are reconciled to statements.</w:t>
      </w:r>
    </w:p>
    <w:p>
      <w:pPr>
        <w:pStyle w:val="ListBullet"/>
        <w:spacing w:after="40"/>
      </w:pPr>
      <w:r>
        <w:t>AR aging agrees to the Accounts Receivable balance on the balance sheet.</w:t>
      </w:r>
    </w:p>
    <w:p>
      <w:pPr>
        <w:pStyle w:val="ListBullet"/>
        <w:spacing w:after="40"/>
      </w:pPr>
      <w:r>
        <w:t>AP aging agrees to the Accounts Payable balance on the balance sheet.</w:t>
      </w:r>
    </w:p>
    <w:p>
      <w:pPr>
        <w:pStyle w:val="ListBullet"/>
        <w:spacing w:after="40"/>
      </w:pPr>
      <w:r>
        <w:t>Inventory and COGS have been reviewed and adjusted if needed.</w:t>
      </w:r>
    </w:p>
    <w:p>
      <w:pPr>
        <w:pStyle w:val="ListBullet"/>
        <w:spacing w:after="40"/>
      </w:pPr>
      <w:r>
        <w:t>Payroll expense, payroll tax liabilities, and benefit deductions have been recorded and reviewed.</w:t>
      </w:r>
    </w:p>
    <w:p>
      <w:pPr>
        <w:pStyle w:val="ListBullet"/>
        <w:spacing w:after="40"/>
      </w:pPr>
      <w:r>
        <w:t>Fixed asset additions, disposals, and depreciation have been recorded.</w:t>
      </w:r>
    </w:p>
    <w:p>
      <w:pPr>
        <w:pStyle w:val="ListBullet"/>
        <w:spacing w:after="40"/>
      </w:pPr>
      <w:r>
        <w:t>Loan principal and interest have been recorded correctly and agree to the loan schedule.</w:t>
      </w:r>
    </w:p>
    <w:p>
      <w:pPr>
        <w:pStyle w:val="ListBullet"/>
        <w:spacing w:after="40"/>
      </w:pPr>
      <w:r>
        <w:t>Prepaids and accruals have been posted and supported.</w:t>
      </w:r>
    </w:p>
    <w:p>
      <w:pPr>
        <w:pStyle w:val="ListBullet"/>
        <w:spacing w:after="40"/>
      </w:pPr>
      <w:r>
        <w:t>Trial balance has no unexplained unusual or negative balances.</w:t>
      </w:r>
    </w:p>
    <w:p>
      <w:pPr>
        <w:pStyle w:val="ListBullet"/>
        <w:spacing w:after="40"/>
      </w:pPr>
      <w:r>
        <w:t>P&amp;L, balance sheet, cash flow, AR aging, and AP aging have been generated.</w:t>
      </w:r>
    </w:p>
    <w:p>
      <w:pPr>
        <w:pStyle w:val="ListBullet"/>
        <w:spacing w:after="40"/>
      </w:pPr>
      <w:r>
        <w:t>Major variances have a short written explanation.</w:t>
      </w:r>
    </w:p>
    <w:p>
      <w:pPr>
        <w:pStyle w:val="ListBullet"/>
        <w:spacing w:after="40"/>
      </w:pPr>
      <w:r>
        <w:t>Workpapers are saved in the close folder with clear file names.</w:t>
      </w:r>
    </w:p>
    <w:p>
      <w:pPr>
        <w:pStyle w:val="ListBullet"/>
        <w:spacing w:after="40"/>
      </w:pPr>
      <w:r>
        <w:t>Accounting manager has reviewed and approved the close package.</w:t>
      </w:r>
    </w:p>
    <w:p>
      <w:pPr>
        <w:pStyle w:val="ListBullet"/>
        <w:spacing w:after="40"/>
      </w:pPr>
      <w:r>
        <w:t>The period is locked in QuickBooks.</w:t>
      </w:r>
    </w:p>
    <w:p>
      <w:pPr>
        <w:pStyle w:val="Heading1"/>
        <w:keepNext/>
        <w:spacing w:before="120" w:after="60"/>
      </w:pPr>
      <w:r>
        <w:t>8. Skarion Manufacturing Close Practice Assignment</w:t>
      </w:r>
    </w:p>
    <w:p>
      <w:pPr>
        <w:spacing w:after="80" w:line="252" w:lineRule="auto"/>
      </w:pPr>
      <w:r>
        <w:t>Use this section as the student activity after AP, AR, bank reconciliation, payroll, fixed assets, and adjusting-entry lessons are complete.</w:t>
      </w:r>
    </w:p>
    <w:p>
      <w:pPr>
        <w:pStyle w:val="Heading2"/>
        <w:keepNext/>
        <w:spacing w:before="120" w:after="60"/>
      </w:pPr>
      <w:r>
        <w:t>Student Inputs</w:t>
      </w:r>
    </w:p>
    <w:p>
      <w:pPr>
        <w:pStyle w:val="ListBullet"/>
        <w:spacing w:after="40"/>
      </w:pPr>
      <w:r>
        <w:t>January bank statement and QuickBooks bank register.</w:t>
      </w:r>
    </w:p>
    <w:p>
      <w:pPr>
        <w:pStyle w:val="ListBullet"/>
        <w:spacing w:after="40"/>
      </w:pPr>
      <w:r>
        <w:t>January vendor bills, customer invoices, customer payments, and vendor payments.</w:t>
      </w:r>
    </w:p>
    <w:p>
      <w:pPr>
        <w:pStyle w:val="ListBullet"/>
        <w:spacing w:after="40"/>
      </w:pPr>
      <w:r>
        <w:t>Payroll summary for 15 employees.</w:t>
      </w:r>
    </w:p>
    <w:p>
      <w:pPr>
        <w:pStyle w:val="ListBullet"/>
        <w:spacing w:after="40"/>
      </w:pPr>
      <w:r>
        <w:t>Fixed asset register with purchase dates, costs, and useful lives.</w:t>
      </w:r>
    </w:p>
    <w:p>
      <w:pPr>
        <w:pStyle w:val="ListBullet"/>
        <w:spacing w:after="40"/>
      </w:pPr>
      <w:r>
        <w:t>Loan schedule with principal and interest detail.</w:t>
      </w:r>
    </w:p>
    <w:p>
      <w:pPr>
        <w:pStyle w:val="ListBullet"/>
        <w:spacing w:after="40"/>
      </w:pPr>
      <w:r>
        <w:t>Recurring expenses list: rent, utilities, insurance, software, internet, payroll service, and other monthly costs.</w:t>
      </w:r>
    </w:p>
    <w:p>
      <w:pPr>
        <w:pStyle w:val="ListBullet"/>
        <w:spacing w:after="40"/>
      </w:pPr>
      <w:r>
        <w:t>Inventory purchases and COGS support.</w:t>
      </w:r>
    </w:p>
    <w:p>
      <w:pPr>
        <w:pStyle w:val="Heading2"/>
        <w:keepNext/>
        <w:spacing w:before="120" w:after="60"/>
      </w:pPr>
      <w:r>
        <w:t>Student Deliverables</w:t>
      </w:r>
    </w:p>
    <w:p>
      <w:pPr>
        <w:pStyle w:val="ListBullet"/>
        <w:spacing w:after="40"/>
      </w:pPr>
      <w:r>
        <w:t>Completed month-end close checklist.</w:t>
      </w:r>
    </w:p>
    <w:p>
      <w:pPr>
        <w:pStyle w:val="ListBullet"/>
        <w:spacing w:after="40"/>
      </w:pPr>
      <w:r>
        <w:t>Bank reconciliation report with notes for outstanding checks, deposits in transit, duplicates, missing transactions, or wrong amounts.</w:t>
      </w:r>
    </w:p>
    <w:p>
      <w:pPr>
        <w:pStyle w:val="ListBullet"/>
        <w:spacing w:after="40"/>
      </w:pPr>
      <w:r>
        <w:t>AR aging and AP aging tied to the balance sheet.</w:t>
      </w:r>
    </w:p>
    <w:p>
      <w:pPr>
        <w:pStyle w:val="ListBullet"/>
        <w:spacing w:after="40"/>
      </w:pPr>
      <w:r>
        <w:t>Journal entry log for depreciation, loan interest, accruals, prepaids, payroll, and inventory/COGS adjustments.</w:t>
      </w:r>
    </w:p>
    <w:p>
      <w:pPr>
        <w:pStyle w:val="ListBullet"/>
        <w:spacing w:after="40"/>
      </w:pPr>
      <w:r>
        <w:t>Adjusted trial balance.</w:t>
      </w:r>
    </w:p>
    <w:p>
      <w:pPr>
        <w:pStyle w:val="ListBullet"/>
        <w:spacing w:after="40"/>
      </w:pPr>
      <w:r>
        <w:t>January income statement, balance sheet, and cash flow statement.</w:t>
      </w:r>
    </w:p>
    <w:p>
      <w:pPr>
        <w:pStyle w:val="ListBullet"/>
        <w:spacing w:after="40"/>
      </w:pPr>
      <w:r>
        <w:t>One-page CEO summary explaining revenue, gross profit, net income, cash position, and major issues found during close.</w:t>
      </w:r>
    </w:p>
    <w:p>
      <w:pPr>
        <w:pStyle w:val="Heading2"/>
        <w:keepNext/>
        <w:spacing w:before="120" w:after="60"/>
      </w:pPr>
      <w:r>
        <w:t>Practice Questions</w:t>
      </w:r>
    </w:p>
    <w:p>
      <w:pPr>
        <w:pStyle w:val="ListNumber"/>
        <w:spacing w:after="40"/>
      </w:pPr>
      <w:r>
        <w:t>Create a 5-day close calendar for January. What task should happen on each day?</w:t>
      </w:r>
    </w:p>
    <w:p>
      <w:pPr>
        <w:pStyle w:val="ListNumber"/>
        <w:spacing w:after="40"/>
      </w:pPr>
      <w:r>
        <w:t>Which accounts must be reconciled before financial statements are trusted?</w:t>
      </w:r>
    </w:p>
    <w:p>
      <w:pPr>
        <w:pStyle w:val="ListNumber"/>
        <w:spacing w:after="40"/>
      </w:pPr>
      <w:r>
        <w:t>What adjusting journal entries are normally posted at month-end for Skarion Manufacturing?</w:t>
      </w:r>
    </w:p>
    <w:p>
      <w:pPr>
        <w:pStyle w:val="ListNumber"/>
        <w:spacing w:after="40"/>
      </w:pPr>
      <w:r>
        <w:t>What would you do if a vendor invoice was received after month-end but the materials were received in January?</w:t>
      </w:r>
    </w:p>
    <w:p>
      <w:pPr>
        <w:pStyle w:val="ListNumber"/>
        <w:spacing w:after="40"/>
      </w:pPr>
      <w:r>
        <w:t>What would you do if the bank statement shows a payment that is missing from QuickBooks?</w:t>
      </w:r>
    </w:p>
    <w:p>
      <w:pPr>
        <w:pStyle w:val="ListNumber"/>
        <w:spacing w:after="40"/>
      </w:pPr>
      <w:r>
        <w:t>How would you explain the difference between a soft close and a hard close to a manager?</w:t>
      </w:r>
    </w:p>
    <w:p>
      <w:pPr>
        <w:pStyle w:val="ListNumber"/>
        <w:spacing w:after="40"/>
      </w:pPr>
      <w:r>
        <w:t>What documents prove that the January close is complete?</w:t>
      </w:r>
    </w:p>
    <w:p>
      <w:pPr>
        <w:pStyle w:val="ListNumber"/>
        <w:spacing w:after="40"/>
      </w:pPr>
      <w:r>
        <w:t>Write a short manager note explaining one bottleneck you found and how you fixed it.</w:t>
      </w:r>
    </w:p>
    <w:p>
      <w:pPr>
        <w:pStyle w:val="Heading1"/>
        <w:keepNext/>
        <w:spacing w:before="120" w:after="60"/>
      </w:pPr>
      <w:r>
        <w:t>9. Instructor Grading Rubric</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944"/>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Area</w:t>
            </w:r>
          </w:p>
        </w:tc>
        <w:tc>
          <w:tcPr>
            <w:tcW w:type="dxa" w:w="4968"/>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Excellent</w:t>
            </w:r>
          </w:p>
        </w:tc>
        <w:tc>
          <w:tcPr>
            <w:tcW w:type="dxa" w:w="4896"/>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Needs Correction</w:t>
            </w:r>
          </w:p>
        </w:tc>
      </w:tr>
      <w:tr>
        <w:tc>
          <w:tcPr>
            <w:tcW w:type="dxa" w:w="1944"/>
            <w:tcBorders>
              <w:top w:sz="4" w:val="single" w:color="C9CDD3"/>
              <w:left w:sz="4" w:val="single" w:color="C9CDD3"/>
              <w:bottom w:sz="4" w:val="single" w:color="C9CDD3"/>
              <w:right w:sz="4" w:val="single" w:color="C9CDD3"/>
            </w:tcBorders>
            <w:vAlign w:val="top"/>
          </w:tcPr>
          <w:p>
            <w:pPr>
              <w:spacing w:after="0"/>
            </w:pPr>
            <w:r>
              <w:rPr>
                <w:sz w:val="17"/>
              </w:rPr>
              <w:t>Checklist use</w:t>
            </w:r>
          </w:p>
        </w:tc>
        <w:tc>
          <w:tcPr>
            <w:tcW w:type="dxa" w:w="4968"/>
            <w:tcBorders>
              <w:top w:sz="4" w:val="single" w:color="C9CDD3"/>
              <w:left w:sz="4" w:val="single" w:color="C9CDD3"/>
              <w:bottom w:sz="4" w:val="single" w:color="C9CDD3"/>
              <w:right w:sz="4" w:val="single" w:color="C9CDD3"/>
            </w:tcBorders>
            <w:vAlign w:val="top"/>
          </w:tcPr>
          <w:p>
            <w:pPr>
              <w:spacing w:after="0"/>
            </w:pPr>
            <w:r>
              <w:rPr>
                <w:sz w:val="17"/>
              </w:rPr>
              <w:t>Every task has owner, due date, status, evidence, and reviewer notes.</w:t>
            </w:r>
          </w:p>
        </w:tc>
        <w:tc>
          <w:tcPr>
            <w:tcW w:type="dxa" w:w="4896"/>
            <w:tcBorders>
              <w:top w:sz="4" w:val="single" w:color="C9CDD3"/>
              <w:left w:sz="4" w:val="single" w:color="C9CDD3"/>
              <w:bottom w:sz="4" w:val="single" w:color="C9CDD3"/>
              <w:right w:sz="4" w:val="single" w:color="C9CDD3"/>
            </w:tcBorders>
            <w:vAlign w:val="top"/>
          </w:tcPr>
          <w:p>
            <w:pPr>
              <w:spacing w:after="0"/>
            </w:pPr>
            <w:r>
              <w:rPr>
                <w:sz w:val="17"/>
              </w:rPr>
              <w:t>Tasks are incomplete, missing evidence, or not tied to the close timeline.</w:t>
            </w:r>
          </w:p>
        </w:tc>
      </w:tr>
      <w:tr>
        <w:tc>
          <w:tcPr>
            <w:tcW w:type="dxa" w:w="1944"/>
            <w:tcBorders>
              <w:top w:sz="4" w:val="single" w:color="C9CDD3"/>
              <w:left w:sz="4" w:val="single" w:color="C9CDD3"/>
              <w:bottom w:sz="4" w:val="single" w:color="C9CDD3"/>
              <w:right w:sz="4" w:val="single" w:color="C9CDD3"/>
            </w:tcBorders>
            <w:vAlign w:val="top"/>
          </w:tcPr>
          <w:p>
            <w:pPr>
              <w:spacing w:after="0"/>
            </w:pPr>
            <w:r>
              <w:rPr>
                <w:sz w:val="17"/>
              </w:rPr>
              <w:t>Reconciliations</w:t>
            </w:r>
          </w:p>
        </w:tc>
        <w:tc>
          <w:tcPr>
            <w:tcW w:type="dxa" w:w="4968"/>
            <w:tcBorders>
              <w:top w:sz="4" w:val="single" w:color="C9CDD3"/>
              <w:left w:sz="4" w:val="single" w:color="C9CDD3"/>
              <w:bottom w:sz="4" w:val="single" w:color="C9CDD3"/>
              <w:right w:sz="4" w:val="single" w:color="C9CDD3"/>
            </w:tcBorders>
            <w:vAlign w:val="top"/>
          </w:tcPr>
          <w:p>
            <w:pPr>
              <w:spacing w:after="0"/>
            </w:pPr>
            <w:r>
              <w:rPr>
                <w:sz w:val="17"/>
              </w:rPr>
              <w:t>Bank, AR, AP, payroll, loan, fixed assets, and inventory are reconciled or explained.</w:t>
            </w:r>
          </w:p>
        </w:tc>
        <w:tc>
          <w:tcPr>
            <w:tcW w:type="dxa" w:w="4896"/>
            <w:tcBorders>
              <w:top w:sz="4" w:val="single" w:color="C9CDD3"/>
              <w:left w:sz="4" w:val="single" w:color="C9CDD3"/>
              <w:bottom w:sz="4" w:val="single" w:color="C9CDD3"/>
              <w:right w:sz="4" w:val="single" w:color="C9CDD3"/>
            </w:tcBorders>
            <w:vAlign w:val="top"/>
          </w:tcPr>
          <w:p>
            <w:pPr>
              <w:spacing w:after="0"/>
            </w:pPr>
            <w:r>
              <w:rPr>
                <w:sz w:val="17"/>
              </w:rPr>
              <w:t>Reconciliations are missing, out of balance, or unsupported.</w:t>
            </w:r>
          </w:p>
        </w:tc>
      </w:tr>
      <w:tr>
        <w:tc>
          <w:tcPr>
            <w:tcW w:type="dxa" w:w="1944"/>
            <w:tcBorders>
              <w:top w:sz="4" w:val="single" w:color="C9CDD3"/>
              <w:left w:sz="4" w:val="single" w:color="C9CDD3"/>
              <w:bottom w:sz="4" w:val="single" w:color="C9CDD3"/>
              <w:right w:sz="4" w:val="single" w:color="C9CDD3"/>
            </w:tcBorders>
            <w:vAlign w:val="top"/>
          </w:tcPr>
          <w:p>
            <w:pPr>
              <w:spacing w:after="0"/>
            </w:pPr>
            <w:r>
              <w:rPr>
                <w:sz w:val="17"/>
              </w:rPr>
              <w:t>Journal entries</w:t>
            </w:r>
          </w:p>
        </w:tc>
        <w:tc>
          <w:tcPr>
            <w:tcW w:type="dxa" w:w="4968"/>
            <w:tcBorders>
              <w:top w:sz="4" w:val="single" w:color="C9CDD3"/>
              <w:left w:sz="4" w:val="single" w:color="C9CDD3"/>
              <w:bottom w:sz="4" w:val="single" w:color="C9CDD3"/>
              <w:right w:sz="4" w:val="single" w:color="C9CDD3"/>
            </w:tcBorders>
            <w:vAlign w:val="top"/>
          </w:tcPr>
          <w:p>
            <w:pPr>
              <w:spacing w:after="0"/>
            </w:pPr>
            <w:r>
              <w:rPr>
                <w:sz w:val="17"/>
              </w:rPr>
              <w:t>Entries are dated correctly, use proper debit/credit logic, and include explanations.</w:t>
            </w:r>
          </w:p>
        </w:tc>
        <w:tc>
          <w:tcPr>
            <w:tcW w:type="dxa" w:w="4896"/>
            <w:tcBorders>
              <w:top w:sz="4" w:val="single" w:color="C9CDD3"/>
              <w:left w:sz="4" w:val="single" w:color="C9CDD3"/>
              <w:bottom w:sz="4" w:val="single" w:color="C9CDD3"/>
              <w:right w:sz="4" w:val="single" w:color="C9CDD3"/>
            </w:tcBorders>
            <w:vAlign w:val="top"/>
          </w:tcPr>
          <w:p>
            <w:pPr>
              <w:spacing w:after="0"/>
            </w:pPr>
            <w:r>
              <w:rPr>
                <w:sz w:val="17"/>
              </w:rPr>
              <w:t>Entries are missing support, posted to wrong accounts, or recorded in wrong period.</w:t>
            </w:r>
          </w:p>
        </w:tc>
      </w:tr>
      <w:tr>
        <w:tc>
          <w:tcPr>
            <w:tcW w:type="dxa" w:w="1944"/>
            <w:tcBorders>
              <w:top w:sz="4" w:val="single" w:color="C9CDD3"/>
              <w:left w:sz="4" w:val="single" w:color="C9CDD3"/>
              <w:bottom w:sz="4" w:val="single" w:color="C9CDD3"/>
              <w:right w:sz="4" w:val="single" w:color="C9CDD3"/>
            </w:tcBorders>
            <w:vAlign w:val="top"/>
          </w:tcPr>
          <w:p>
            <w:pPr>
              <w:spacing w:after="0"/>
            </w:pPr>
            <w:r>
              <w:rPr>
                <w:sz w:val="17"/>
              </w:rPr>
              <w:t>Financial statements</w:t>
            </w:r>
          </w:p>
        </w:tc>
        <w:tc>
          <w:tcPr>
            <w:tcW w:type="dxa" w:w="4968"/>
            <w:tcBorders>
              <w:top w:sz="4" w:val="single" w:color="C9CDD3"/>
              <w:left w:sz="4" w:val="single" w:color="C9CDD3"/>
              <w:bottom w:sz="4" w:val="single" w:color="C9CDD3"/>
              <w:right w:sz="4" w:val="single" w:color="C9CDD3"/>
            </w:tcBorders>
            <w:vAlign w:val="top"/>
          </w:tcPr>
          <w:p>
            <w:pPr>
              <w:spacing w:after="0"/>
            </w:pPr>
            <w:r>
              <w:rPr>
                <w:sz w:val="17"/>
              </w:rPr>
              <w:t>Reports are complete and agree to the adjusted trial balance.</w:t>
            </w:r>
          </w:p>
        </w:tc>
        <w:tc>
          <w:tcPr>
            <w:tcW w:type="dxa" w:w="4896"/>
            <w:tcBorders>
              <w:top w:sz="4" w:val="single" w:color="C9CDD3"/>
              <w:left w:sz="4" w:val="single" w:color="C9CDD3"/>
              <w:bottom w:sz="4" w:val="single" w:color="C9CDD3"/>
              <w:right w:sz="4" w:val="single" w:color="C9CDD3"/>
            </w:tcBorders>
            <w:vAlign w:val="top"/>
          </w:tcPr>
          <w:p>
            <w:pPr>
              <w:spacing w:after="0"/>
            </w:pPr>
            <w:r>
              <w:rPr>
                <w:sz w:val="17"/>
              </w:rPr>
              <w:t>Reports do not tie out or have unexplained unusual balances.</w:t>
            </w:r>
          </w:p>
        </w:tc>
      </w:tr>
      <w:tr>
        <w:tc>
          <w:tcPr>
            <w:tcW w:type="dxa" w:w="1944"/>
            <w:tcBorders>
              <w:top w:sz="4" w:val="single" w:color="C9CDD3"/>
              <w:left w:sz="4" w:val="single" w:color="C9CDD3"/>
              <w:bottom w:sz="4" w:val="single" w:color="C9CDD3"/>
              <w:right w:sz="4" w:val="single" w:color="C9CDD3"/>
            </w:tcBorders>
            <w:vAlign w:val="top"/>
          </w:tcPr>
          <w:p>
            <w:pPr>
              <w:spacing w:after="0"/>
            </w:pPr>
            <w:r>
              <w:rPr>
                <w:sz w:val="17"/>
              </w:rPr>
              <w:t>Variance review</w:t>
            </w:r>
          </w:p>
        </w:tc>
        <w:tc>
          <w:tcPr>
            <w:tcW w:type="dxa" w:w="4968"/>
            <w:tcBorders>
              <w:top w:sz="4" w:val="single" w:color="C9CDD3"/>
              <w:left w:sz="4" w:val="single" w:color="C9CDD3"/>
              <w:bottom w:sz="4" w:val="single" w:color="C9CDD3"/>
              <w:right w:sz="4" w:val="single" w:color="C9CDD3"/>
            </w:tcBorders>
            <w:vAlign w:val="top"/>
          </w:tcPr>
          <w:p>
            <w:pPr>
              <w:spacing w:after="0"/>
            </w:pPr>
            <w:r>
              <w:rPr>
                <w:sz w:val="17"/>
              </w:rPr>
              <w:t>Major changes are identified and explained in plain English.</w:t>
            </w:r>
          </w:p>
        </w:tc>
        <w:tc>
          <w:tcPr>
            <w:tcW w:type="dxa" w:w="4896"/>
            <w:tcBorders>
              <w:top w:sz="4" w:val="single" w:color="C9CDD3"/>
              <w:left w:sz="4" w:val="single" w:color="C9CDD3"/>
              <w:bottom w:sz="4" w:val="single" w:color="C9CDD3"/>
              <w:right w:sz="4" w:val="single" w:color="C9CDD3"/>
            </w:tcBorders>
            <w:vAlign w:val="top"/>
          </w:tcPr>
          <w:p>
            <w:pPr>
              <w:spacing w:after="0"/>
            </w:pPr>
            <w:r>
              <w:rPr>
                <w:sz w:val="17"/>
              </w:rPr>
              <w:t>Large changes are ignored or explanations are vague.</w:t>
            </w:r>
          </w:p>
        </w:tc>
      </w:tr>
      <w:tr>
        <w:tc>
          <w:tcPr>
            <w:tcW w:type="dxa" w:w="1944"/>
            <w:tcBorders>
              <w:top w:sz="4" w:val="single" w:color="C9CDD3"/>
              <w:left w:sz="4" w:val="single" w:color="C9CDD3"/>
              <w:bottom w:sz="4" w:val="single" w:color="C9CDD3"/>
              <w:right w:sz="4" w:val="single" w:color="C9CDD3"/>
            </w:tcBorders>
            <w:vAlign w:val="top"/>
          </w:tcPr>
          <w:p>
            <w:pPr>
              <w:spacing w:after="0"/>
            </w:pPr>
            <w:r>
              <w:rPr>
                <w:sz w:val="17"/>
              </w:rPr>
              <w:t>Close package</w:t>
            </w:r>
          </w:p>
        </w:tc>
        <w:tc>
          <w:tcPr>
            <w:tcW w:type="dxa" w:w="4968"/>
            <w:tcBorders>
              <w:top w:sz="4" w:val="single" w:color="C9CDD3"/>
              <w:left w:sz="4" w:val="single" w:color="C9CDD3"/>
              <w:bottom w:sz="4" w:val="single" w:color="C9CDD3"/>
              <w:right w:sz="4" w:val="single" w:color="C9CDD3"/>
            </w:tcBorders>
            <w:vAlign w:val="top"/>
          </w:tcPr>
          <w:p>
            <w:pPr>
              <w:spacing w:after="0"/>
            </w:pPr>
            <w:r>
              <w:rPr>
                <w:sz w:val="17"/>
              </w:rPr>
              <w:t>Workpapers are organized, named clearly, and ready for manager review.</w:t>
            </w:r>
          </w:p>
        </w:tc>
        <w:tc>
          <w:tcPr>
            <w:tcW w:type="dxa" w:w="4896"/>
            <w:tcBorders>
              <w:top w:sz="4" w:val="single" w:color="C9CDD3"/>
              <w:left w:sz="4" w:val="single" w:color="C9CDD3"/>
              <w:bottom w:sz="4" w:val="single" w:color="C9CDD3"/>
              <w:right w:sz="4" w:val="single" w:color="C9CDD3"/>
            </w:tcBorders>
            <w:vAlign w:val="top"/>
          </w:tcPr>
          <w:p>
            <w:pPr>
              <w:spacing w:after="0"/>
            </w:pPr>
            <w:r>
              <w:rPr>
                <w:sz w:val="17"/>
              </w:rPr>
              <w:t>Files are scattered, hard to follow, or missing.</w:t>
            </w:r>
          </w:p>
        </w:tc>
      </w:tr>
    </w:tbl>
    <w:p>
      <w:pPr>
        <w:pStyle w:val="Heading1"/>
        <w:keepNext/>
        <w:spacing w:before="120" w:after="60"/>
      </w:pPr>
      <w:r>
        <w:t>10. Research Sources Used</w:t>
      </w:r>
    </w:p>
    <w:p>
      <w:pPr>
        <w:spacing w:after="80" w:line="252" w:lineRule="auto"/>
      </w:pPr>
      <w:r>
        <w:t>This playbook was built from current month-end close guides and adapted into a simple small-business accounting simulation format.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4032"/>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Source Reviewed</w:t>
            </w:r>
          </w:p>
        </w:tc>
        <w:tc>
          <w:tcPr>
            <w:tcW w:type="dxa" w:w="7776"/>
            <w:tcBorders>
              <w:top w:sz="4" w:val="single" w:color="C9CDD3"/>
              <w:left w:sz="4" w:val="single" w:color="C9CDD3"/>
              <w:bottom w:sz="4" w:val="single" w:color="C9CDD3"/>
              <w:right w:sz="4" w:val="single" w:color="C9CDD3"/>
            </w:tcBorders>
            <w:shd w:fill="1F4E79"/>
            <w:vAlign w:val="top"/>
          </w:tcPr>
          <w:p>
            <w:pPr>
              <w:spacing w:after="0"/>
            </w:pPr>
            <w:r>
              <w:rPr>
                <w:b/>
                <w:color w:val="FFFFFF"/>
                <w:sz w:val="17"/>
              </w:rPr>
              <w:t>How It Was Used</w:t>
            </w:r>
          </w:p>
        </w:tc>
      </w:tr>
      <w:tr>
        <w:tc>
          <w:tcPr>
            <w:tcW w:type="dxa" w:w="4032"/>
            <w:tcBorders>
              <w:top w:sz="4" w:val="single" w:color="C9CDD3"/>
              <w:left w:sz="4" w:val="single" w:color="C9CDD3"/>
              <w:bottom w:sz="4" w:val="single" w:color="C9CDD3"/>
              <w:right w:sz="4" w:val="single" w:color="C9CDD3"/>
            </w:tcBorders>
            <w:vAlign w:val="top"/>
          </w:tcPr>
          <w:p>
            <w:pPr>
              <w:spacing w:after="0"/>
            </w:pPr>
            <w:r>
              <w:rPr>
                <w:sz w:val="17"/>
              </w:rPr>
              <w:t>QuickBooks / Intuit, Month-End Close Best Practices</w:t>
            </w:r>
          </w:p>
        </w:tc>
        <w:tc>
          <w:tcPr>
            <w:tcW w:type="dxa" w:w="7776"/>
            <w:tcBorders>
              <w:top w:sz="4" w:val="single" w:color="C9CDD3"/>
              <w:left w:sz="4" w:val="single" w:color="C9CDD3"/>
              <w:bottom w:sz="4" w:val="single" w:color="C9CDD3"/>
              <w:right w:sz="4" w:val="single" w:color="C9CDD3"/>
            </w:tcBorders>
            <w:vAlign w:val="top"/>
          </w:tcPr>
          <w:p>
            <w:pPr>
              <w:spacing w:after="0"/>
            </w:pPr>
            <w:r>
              <w:rPr>
                <w:sz w:val="17"/>
              </w:rPr>
              <w:t>Used for the definition of month-end close, core activities, software-supported close workflow, and common issues such as missed tasks and manual documentation problems.</w:t>
            </w:r>
          </w:p>
        </w:tc>
      </w:tr>
      <w:tr>
        <w:tc>
          <w:tcPr>
            <w:tcW w:type="dxa" w:w="4032"/>
            <w:tcBorders>
              <w:top w:sz="4" w:val="single" w:color="C9CDD3"/>
              <w:left w:sz="4" w:val="single" w:color="C9CDD3"/>
              <w:bottom w:sz="4" w:val="single" w:color="C9CDD3"/>
              <w:right w:sz="4" w:val="single" w:color="C9CDD3"/>
            </w:tcBorders>
            <w:vAlign w:val="top"/>
          </w:tcPr>
          <w:p>
            <w:pPr>
              <w:spacing w:after="0"/>
            </w:pPr>
            <w:r>
              <w:rPr>
                <w:sz w:val="17"/>
              </w:rPr>
              <w:t>Spendesk, Month-End Close Checklist for Finance Teams</w:t>
            </w:r>
          </w:p>
        </w:tc>
        <w:tc>
          <w:tcPr>
            <w:tcW w:type="dxa" w:w="7776"/>
            <w:tcBorders>
              <w:top w:sz="4" w:val="single" w:color="C9CDD3"/>
              <w:left w:sz="4" w:val="single" w:color="C9CDD3"/>
              <w:bottom w:sz="4" w:val="single" w:color="C9CDD3"/>
              <w:right w:sz="4" w:val="single" w:color="C9CDD3"/>
            </w:tcBorders>
            <w:vAlign w:val="top"/>
          </w:tcPr>
          <w:p>
            <w:pPr>
              <w:spacing w:after="0"/>
            </w:pPr>
            <w:r>
              <w:rPr>
                <w:sz w:val="17"/>
              </w:rPr>
              <w:t>Used for close schedule structure, sales/AR checks, expense/AP reconciliation, and deadline discipline.</w:t>
            </w:r>
          </w:p>
        </w:tc>
      </w:tr>
      <w:tr>
        <w:tc>
          <w:tcPr>
            <w:tcW w:type="dxa" w:w="4032"/>
            <w:tcBorders>
              <w:top w:sz="4" w:val="single" w:color="C9CDD3"/>
              <w:left w:sz="4" w:val="single" w:color="C9CDD3"/>
              <w:bottom w:sz="4" w:val="single" w:color="C9CDD3"/>
              <w:right w:sz="4" w:val="single" w:color="C9CDD3"/>
            </w:tcBorders>
            <w:vAlign w:val="top"/>
          </w:tcPr>
          <w:p>
            <w:pPr>
              <w:spacing w:after="0"/>
            </w:pPr>
            <w:r>
              <w:rPr>
                <w:sz w:val="17"/>
              </w:rPr>
              <w:t>HighRadius, Month-End Close Process: Steps, Checklist, and Best Practices</w:t>
            </w:r>
          </w:p>
        </w:tc>
        <w:tc>
          <w:tcPr>
            <w:tcW w:type="dxa" w:w="7776"/>
            <w:tcBorders>
              <w:top w:sz="4" w:val="single" w:color="C9CDD3"/>
              <w:left w:sz="4" w:val="single" w:color="C9CDD3"/>
              <w:bottom w:sz="4" w:val="single" w:color="C9CDD3"/>
              <w:right w:sz="4" w:val="single" w:color="C9CDD3"/>
            </w:tcBorders>
            <w:vAlign w:val="top"/>
          </w:tcPr>
          <w:p>
            <w:pPr>
              <w:spacing w:after="0"/>
            </w:pPr>
            <w:r>
              <w:rPr>
                <w:sz w:val="17"/>
              </w:rPr>
              <w:t>Used for purpose, checklist contents, timeline expectations, typical steps, common closing errors, and importance of structured close.</w:t>
            </w:r>
          </w:p>
        </w:tc>
      </w:tr>
      <w:tr>
        <w:tc>
          <w:tcPr>
            <w:tcW w:type="dxa" w:w="4032"/>
            <w:tcBorders>
              <w:top w:sz="4" w:val="single" w:color="C9CDD3"/>
              <w:left w:sz="4" w:val="single" w:color="C9CDD3"/>
              <w:bottom w:sz="4" w:val="single" w:color="C9CDD3"/>
              <w:right w:sz="4" w:val="single" w:color="C9CDD3"/>
            </w:tcBorders>
            <w:vAlign w:val="top"/>
          </w:tcPr>
          <w:p>
            <w:pPr>
              <w:spacing w:after="0"/>
            </w:pPr>
            <w:r>
              <w:rPr>
                <w:sz w:val="17"/>
              </w:rPr>
              <w:t>Ramp, Month-End Close Process: Steps and Checklist</w:t>
            </w:r>
          </w:p>
        </w:tc>
        <w:tc>
          <w:tcPr>
            <w:tcW w:type="dxa" w:w="7776"/>
            <w:tcBorders>
              <w:top w:sz="4" w:val="single" w:color="C9CDD3"/>
              <w:left w:sz="4" w:val="single" w:color="C9CDD3"/>
              <w:bottom w:sz="4" w:val="single" w:color="C9CDD3"/>
              <w:right w:sz="4" w:val="single" w:color="C9CDD3"/>
            </w:tcBorders>
            <w:vAlign w:val="top"/>
          </w:tcPr>
          <w:p>
            <w:pPr>
              <w:spacing w:after="0"/>
            </w:pPr>
            <w:r>
              <w:rPr>
                <w:sz w:val="17"/>
              </w:rPr>
              <w:t>Used for the pre-close, execution, and post-close structure; typical timing; and role ownership across accounting, AP, AR, and payroll.</w:t>
            </w:r>
          </w:p>
        </w:tc>
      </w:tr>
      <w:tr>
        <w:tc>
          <w:tcPr>
            <w:tcW w:type="dxa" w:w="4032"/>
            <w:tcBorders>
              <w:top w:sz="4" w:val="single" w:color="C9CDD3"/>
              <w:left w:sz="4" w:val="single" w:color="C9CDD3"/>
              <w:bottom w:sz="4" w:val="single" w:color="C9CDD3"/>
              <w:right w:sz="4" w:val="single" w:color="C9CDD3"/>
            </w:tcBorders>
            <w:vAlign w:val="top"/>
          </w:tcPr>
          <w:p>
            <w:pPr>
              <w:spacing w:after="0"/>
            </w:pPr>
            <w:r>
              <w:rPr>
                <w:sz w:val="17"/>
              </w:rPr>
              <w:t>Upflow, Month-End Close Complete Guide and Checklist</w:t>
            </w:r>
          </w:p>
        </w:tc>
        <w:tc>
          <w:tcPr>
            <w:tcW w:type="dxa" w:w="7776"/>
            <w:tcBorders>
              <w:top w:sz="4" w:val="single" w:color="C9CDD3"/>
              <w:left w:sz="4" w:val="single" w:color="C9CDD3"/>
              <w:bottom w:sz="4" w:val="single" w:color="C9CDD3"/>
              <w:right w:sz="4" w:val="single" w:color="C9CDD3"/>
            </w:tcBorders>
            <w:vAlign w:val="top"/>
          </w:tcPr>
          <w:p>
            <w:pPr>
              <w:spacing w:after="0"/>
            </w:pPr>
            <w:r>
              <w:rPr>
                <w:sz w:val="17"/>
              </w:rPr>
              <w:t>Used for timeline benchmarks, bottlenecks, pre-close reviews, post-close improvement meetings, and standardization/automation themes.</w:t>
            </w:r>
          </w:p>
        </w:tc>
      </w:tr>
      <w:tr>
        <w:tc>
          <w:tcPr>
            <w:tcW w:type="dxa" w:w="4032"/>
            <w:tcBorders>
              <w:top w:sz="4" w:val="single" w:color="C9CDD3"/>
              <w:left w:sz="4" w:val="single" w:color="C9CDD3"/>
              <w:bottom w:sz="4" w:val="single" w:color="C9CDD3"/>
              <w:right w:sz="4" w:val="single" w:color="C9CDD3"/>
            </w:tcBorders>
            <w:vAlign w:val="top"/>
          </w:tcPr>
          <w:p>
            <w:pPr>
              <w:spacing w:after="0"/>
            </w:pPr>
            <w:r>
              <w:rPr>
                <w:sz w:val="17"/>
              </w:rPr>
              <w:t>Hubifi and Innovative CPA Group, Soft Close vs. Hard Close</w:t>
            </w:r>
          </w:p>
        </w:tc>
        <w:tc>
          <w:tcPr>
            <w:tcW w:type="dxa" w:w="7776"/>
            <w:tcBorders>
              <w:top w:sz="4" w:val="single" w:color="C9CDD3"/>
              <w:left w:sz="4" w:val="single" w:color="C9CDD3"/>
              <w:bottom w:sz="4" w:val="single" w:color="C9CDD3"/>
              <w:right w:sz="4" w:val="single" w:color="C9CDD3"/>
            </w:tcBorders>
            <w:vAlign w:val="top"/>
          </w:tcPr>
          <w:p>
            <w:pPr>
              <w:spacing w:after="0"/>
            </w:pPr>
            <w:r>
              <w:rPr>
                <w:sz w:val="17"/>
              </w:rPr>
              <w:t>Used for simple definitions and comparison of soft close and hard close approaches.</w:t>
            </w:r>
          </w:p>
        </w:tc>
      </w:tr>
    </w:tbl>
    <w:sectPr w:rsidR="00FC693F" w:rsidRPr="0006063C" w:rsidSect="00034616">
      <w:footerReference w:type="default" r:id="rId9"/>
      <w:head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Skarion Accounting Job Simulation - Assignment 9: Month-End Close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CDA72B33F704B902DF05EFF11A127" ma:contentTypeVersion="12" ma:contentTypeDescription="Create a new document." ma:contentTypeScope="" ma:versionID="c6f9a1a39b749c0b35fc296ed518e8f3">
  <xsd:schema xmlns:xsd="http://www.w3.org/2001/XMLSchema" xmlns:xs="http://www.w3.org/2001/XMLSchema" xmlns:p="http://schemas.microsoft.com/office/2006/metadata/properties" xmlns:ns2="7019b7ea-2583-48d5-9dd7-5b4a847e7ee9" xmlns:ns3="27445e43-ccdd-4da6-b549-fdecb12a794f" targetNamespace="http://schemas.microsoft.com/office/2006/metadata/properties" ma:root="true" ma:fieldsID="45a2daf967dbe5b730172693d155efad" ns2:_="" ns3:_="">
    <xsd:import namespace="7019b7ea-2583-48d5-9dd7-5b4a847e7ee9"/>
    <xsd:import namespace="27445e43-ccdd-4da6-b549-fdecb12a79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19b7ea-2583-48d5-9dd7-5b4a847e7e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0f1de3d-d31a-4396-82d5-79995a5512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445e43-ccdd-4da6-b549-fdecb12a794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f456272-03e4-4335-84cf-9ee0017832c0}" ma:internalName="TaxCatchAll" ma:showField="CatchAllData" ma:web="27445e43-ccdd-4da6-b549-fdecb12a79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19b7ea-2583-48d5-9dd7-5b4a847e7ee9">
      <Terms xmlns="http://schemas.microsoft.com/office/infopath/2007/PartnerControls"/>
    </lcf76f155ced4ddcb4097134ff3c332f>
    <TaxCatchAll xmlns="27445e43-ccdd-4da6-b549-fdecb12a794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F1BCA56-48DA-458F-9392-A8B5CEC7A164}"/>
</file>

<file path=customXml/itemProps3.xml><?xml version="1.0" encoding="utf-8"?>
<ds:datastoreItem xmlns:ds="http://schemas.openxmlformats.org/officeDocument/2006/customXml" ds:itemID="{D719791C-2A08-4A26-AA5B-C1A9734BFEF3}"/>
</file>

<file path=customXml/itemProps4.xml><?xml version="1.0" encoding="utf-8"?>
<ds:datastoreItem xmlns:ds="http://schemas.openxmlformats.org/officeDocument/2006/customXml" ds:itemID="{BA0FE062-F19D-4C84-B53B-117300A157F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Skarion Manufacturing LLC - Month-End Close Playbook</dc:title>
  <dc:subject>Assignment 9 Month-End Close Best Practices</dc:subject>
  <dc:creator>Skarion</dc:creator>
  <cp:keywords>month-end close, accounting, QuickBooks, reconciliation, close checklist</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0x0101007FFCDA72B33F704B902DF05EFF11A127</vt:lpwstr>
  </property>
</Properties>
</file>