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Skarion Accounting Interview Cheat Sheet</w:t>
      </w:r>
    </w:p>
    <w:p>
      <w:pPr>
        <w:jc w:val="center"/>
      </w:pPr>
      <w:r>
        <w:rPr>
          <w:i/>
          <w:sz w:val="20"/>
        </w:rPr>
        <w:t>20 Questions Candidates Must Know | Staff Accountant / AP / AR / Junior Accountant</w:t>
      </w:r>
    </w:p>
    <w:tbl>
      <w:tblPr>
        <w:tblW w:type="auto" w:w="0"/>
        <w:jc w:val="center"/>
        <w:tblLook w:firstColumn="1" w:firstRow="1" w:lastColumn="0" w:lastRow="0" w:noHBand="0" w:noVBand="1" w:val="04A0"/>
      </w:tblPr>
      <w:tblGrid>
        <w:gridCol w:w="10656"/>
      </w:tblGrid>
      <w:tr>
        <w:tc>
          <w:tcPr>
            <w:tcW w:type="dxa" w:w="10656"/>
            <w:shd w:fill="EAF2F8"/>
          </w:tcPr>
          <w:p>
            <w:pPr>
              <w:spacing w:after="0" w:line="240" w:lineRule="auto"/>
              <w:jc w:val="left"/>
            </w:pPr>
            <w:r/>
            <w:r>
              <w:rPr>
                <w:b w:val="0"/>
                <w:sz w:val="17"/>
              </w:rPr>
              <w:t>How to use this sheet: Memorize the structure, not every word. Use honest wording such as “in my Skarion Manufacturing accounting simulation / portfolio project” when describing practice-based experience. Strong answers should include process, tools, controls, and one specific example.</w:t>
            </w:r>
          </w:p>
        </w:tc>
      </w:tr>
    </w:tbl>
    <w:p>
      <w:pPr>
        <w:spacing w:after="80"/>
      </w:pP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16"/>
            <w:shd w:fill="1F4E79"/>
          </w:tcPr>
          <w:p>
            <w:pPr>
              <w:spacing w:after="0" w:line="240" w:lineRule="auto"/>
              <w:jc w:val="left"/>
            </w:pPr>
            <w:r/>
            <w:r>
              <w:rPr>
                <w:b/>
                <w:color w:val="FFFFFF"/>
                <w:sz w:val="16"/>
              </w:rPr>
              <w:t>Answer Formula</w:t>
            </w:r>
          </w:p>
        </w:tc>
        <w:tc>
          <w:tcPr>
            <w:tcW w:type="dxa" w:w="2880"/>
            <w:shd w:fill="1F4E79"/>
          </w:tcPr>
          <w:p>
            <w:pPr>
              <w:spacing w:after="0" w:line="240" w:lineRule="auto"/>
              <w:jc w:val="left"/>
            </w:pPr>
            <w:r/>
            <w:r>
              <w:rPr>
                <w:b/>
                <w:color w:val="FFFFFF"/>
                <w:sz w:val="16"/>
              </w:rPr>
              <w:t>1. Context</w:t>
            </w:r>
          </w:p>
        </w:tc>
        <w:tc>
          <w:tcPr>
            <w:tcW w:type="dxa" w:w="3456"/>
            <w:shd w:fill="1F4E79"/>
          </w:tcPr>
          <w:p>
            <w:pPr>
              <w:spacing w:after="0" w:line="240" w:lineRule="auto"/>
              <w:jc w:val="left"/>
            </w:pPr>
            <w:r/>
            <w:r>
              <w:rPr>
                <w:b/>
                <w:color w:val="FFFFFF"/>
                <w:sz w:val="16"/>
              </w:rPr>
              <w:t>2. Action</w:t>
            </w:r>
          </w:p>
        </w:tc>
        <w:tc>
          <w:tcPr>
            <w:tcW w:type="dxa" w:w="2880"/>
            <w:shd w:fill="1F4E79"/>
          </w:tcPr>
          <w:p>
            <w:pPr>
              <w:spacing w:after="0" w:line="240" w:lineRule="auto"/>
              <w:jc w:val="left"/>
            </w:pPr>
            <w:r/>
            <w:r>
              <w:rPr>
                <w:b/>
                <w:color w:val="FFFFFF"/>
                <w:sz w:val="16"/>
              </w:rPr>
              <w:t>3. Result</w:t>
            </w:r>
          </w:p>
        </w:tc>
      </w:tr>
      <w:tr>
        <w:tc>
          <w:tcPr>
            <w:tcW w:type="dxa" w:w="2016"/>
          </w:tcPr>
          <w:p>
            <w:pPr>
              <w:spacing w:after="0" w:line="240" w:lineRule="auto"/>
              <w:jc w:val="left"/>
            </w:pPr>
            <w:r/>
            <w:r>
              <w:rPr>
                <w:b w:val="0"/>
                <w:sz w:val="15"/>
              </w:rPr>
              <w:t>Use this for most questions</w:t>
            </w:r>
          </w:p>
        </w:tc>
        <w:tc>
          <w:tcPr>
            <w:tcW w:type="dxa" w:w="2880"/>
          </w:tcPr>
          <w:p>
            <w:pPr>
              <w:spacing w:after="0" w:line="240" w:lineRule="auto"/>
              <w:jc w:val="left"/>
            </w:pPr>
            <w:r/>
            <w:r>
              <w:rPr>
                <w:b w:val="0"/>
                <w:sz w:val="15"/>
              </w:rPr>
              <w:t>Company/file, month, transaction, or report</w:t>
            </w:r>
          </w:p>
        </w:tc>
        <w:tc>
          <w:tcPr>
            <w:tcW w:type="dxa" w:w="3456"/>
          </w:tcPr>
          <w:p>
            <w:pPr>
              <w:spacing w:after="0" w:line="240" w:lineRule="auto"/>
              <w:jc w:val="left"/>
            </w:pPr>
            <w:r/>
            <w:r>
              <w:rPr>
                <w:b w:val="0"/>
                <w:sz w:val="15"/>
              </w:rPr>
              <w:t>What you checked, posted, reconciled, or escalated</w:t>
            </w:r>
          </w:p>
        </w:tc>
        <w:tc>
          <w:tcPr>
            <w:tcW w:type="dxa" w:w="2880"/>
          </w:tcPr>
          <w:p>
            <w:pPr>
              <w:spacing w:after="0" w:line="240" w:lineRule="auto"/>
              <w:jc w:val="left"/>
            </w:pPr>
            <w:r/>
            <w:r>
              <w:rPr>
                <w:b w:val="0"/>
                <w:sz w:val="15"/>
              </w:rPr>
              <w:t>Correction made, report finished, lesson learned</w:t>
            </w:r>
          </w:p>
        </w:tc>
      </w:tr>
    </w:tbl>
    <w:p>
      <w:pPr>
        <w:spacing w:before="120" w:after="40"/>
      </w:pPr>
      <w:r>
        <w:rPr>
          <w:b/>
          <w:color w:val="1F4E79"/>
          <w:sz w:val="22"/>
        </w:rPr>
        <w:t>Core Accounting and Close Questions</w:t>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 Walk me through a month-end close you have done.</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In my Skarion Manufacturing practice file, I followed a month-end close checklist. I finished AP and AR entry, reconciled the operating bank account, reviewed AR and AP aging, posted payroll, depreciation, prepaid, interest, and utility accrual entries, then reviewed the trial balance. After that, I generated the P&amp;L, balance sheet, and close summary. The bank reconciliation converged on an adjusted balance of $217,334.09, but only after I traced a $9,503.60 duplicate Coastal Electric &amp; Controls deposit that had been entered twice in QuickBooks. I corrected it by debiting Accounts Receivable and crediting Cash for $9,503.60 - reinstating the receivable rather than touching Sales Revenue, since the sale itself was never overstated.</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Clear close sequence; mentions reconciliations, adjusting entries, reports, and one real issue found.</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2. How do you handle a bank reconciliation discrepancy?</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 first compare the bank statement to the GL or QuickBooks register by date, amount, and transaction type. I look for outstanding checks, deposits in transit, duplicate entries, bank fees, interest, missing ACH payments, and wrong amounts. I do not force the reconciliation. I identify the cause, correct the entry if needed, attach support, and leave a note explaining the adjustment.</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Does not plug numbers; knows common causes; documents the resolution.</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3. What is the difference between cash and accrual accounting?</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Cash accounting records revenue when cash is received and expenses when cash is paid. Accrual accounting records revenue when it is earned and expenses when they are incurred, even if cash has not moved yet. For example, if we receive a vendor invoice in January but pay it in February, accrual accounting records the expense and payable in January.</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Simple definition; timing difference; gives AP/AR example.</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4. Tell me about a time you found an error in the books.</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During a bank reconciliation exercise, QuickBooks showed more cash than the bank statement. I reviewed deposits and found that one customer ACH receipt had been entered twice. I confirmed the bank only received it once, reversed the duplicate receipt, and updated the reconciliation notes. It reminded me to check transaction IDs and deposit dates, not just customer names.</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Specific error; investigation steps; correction; lesson learned.</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5. How do you ensure accuracy when processing invoices?</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 check the vendor name, invoice number, date, PO number, amount, sales tax, and payment terms. For inventory or materials, I perform a 3-way match between the PO, receiving document, and invoice. I also check for duplicate invoice numbers before posting. If something does not match, I hold the invoice and ask for approval or clarification before entering it for payment.</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Controls, duplicate check, 3-way match, escalation before payment.</w:t>
            </w:r>
          </w:p>
        </w:tc>
      </w:tr>
    </w:tbl>
    <w:p>
      <w:pPr>
        <w:spacing w:after="40"/>
      </w:pPr>
    </w:p>
    <w:p>
      <w:r>
        <w:br w:type="page"/>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6. What is a 3-way match?</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A 3-way match compares the purchase order, receiving report, and vendor invoice. The PO confirms what was ordered and the agreed price. The receiving report confirms what was actually received. The invoice confirms what the vendor is billing. If all three match, the invoice can usually be approved. If price or quantity differs, it needs review before payment.</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Knows all three documents; understands price and quantity issues.</w:t>
            </w:r>
          </w:p>
        </w:tc>
      </w:tr>
    </w:tbl>
    <w:p>
      <w:pPr>
        <w:spacing w:after="40"/>
      </w:pPr>
    </w:p>
    <w:p>
      <w:pPr>
        <w:spacing w:before="120" w:after="40"/>
      </w:pPr>
      <w:r>
        <w:rPr>
          <w:b/>
          <w:color w:val="1F4E79"/>
          <w:sz w:val="22"/>
        </w:rPr>
        <w:t>AR, AP, Fixed Assets, and Controls</w:t>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7. How do you handle a customer who has not paid?</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 first review the AR aging report to confirm how overdue the invoice is. Then I check whether the invoice was sent correctly and whether there are disputes, credits, or unapplied payments. If there is no issue, I send a polite reminder with invoice details and payment options. For older balances, I escalate to the manager or sales contact and document each follow-up.</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Uses AR aging; checks disputes/unapplied cash; documents collection activity.</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8. What accounts do you reconcile during month-end?</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 reconcile cash and bank accounts, credit cards, AR subledger to the GL, AP subledger to the GL, inventory, fixed assets and accumulated depreciation, payroll liabilities, sales tax payable, loan balances, prepaid expenses, and accrued expenses. In Skarion Manufacturing's January close, that meant tying the bank account to an adjusted balance of $217,334.09, AR to $176,918.00, AP to $42,265.00, accumulated depreciation to a $5,208.10 monthly add, and the loan's accrued interest to $1,510.42. The goal is to make sure each balance sheet account has support and agrees to the ledger.</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Balance-sheet focus; knows subledger-to-GL reconciliation.</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9. How do you record depreciation?</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For straight-line depreciation, I take the asset cost minus any salvage value and divide it by the useful life. Each month I debit depreciation expense and credit accumulated depreciation. For example, if equipment costs $24,000 and has a 5-year useful life with no salvage value, monthly depreciation is $400. The entry is debit depreciation expense $400 and credit accumulated depreciation $400.</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Formula; monthly entry; understands accumulated depreciation.</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10. What is the accounting equation?</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The accounting equation is Assets = Liabilities + Equity. It means everything the company owns is funded either by what it owes or by owner equity. Every journal entry must keep that equation balanced because total debits must equal total credits.</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Correct equation; explains balance and debit/credit logic.</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11. How do you use Excel pivot tables?</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 use pivot tables to summarize accounting data quickly. For example, I can take a GL export and summarize expenses by vendor, account, or month. I also use filters to review one period or one department, and I use pivot totals to check whether the report agrees to the trial balance or QuickBooks report.</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Practical accounting use; not just generic Excel knowledge.</w:t>
            </w:r>
          </w:p>
        </w:tc>
      </w:tr>
    </w:tbl>
    <w:p>
      <w:pPr>
        <w:spacing w:after="40"/>
      </w:pPr>
    </w:p>
    <w:p>
      <w:r>
        <w:br w:type="page"/>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12. What is your experience with QuickBooks?</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 have worked with a QuickBooks Online practice company for Skarion Manufacturing. I used it to enter vendor bills, create customer invoices, record customer payments, post deposits, reconcile the bank account, review AR and AP aging, and generate P&amp;L and balance sheet reports. I also exported reports to Excel for review and analysis.</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Specific QBO workflows; reporting and export experience.</w:t>
            </w:r>
          </w:p>
        </w:tc>
      </w:tr>
    </w:tbl>
    <w:p>
      <w:pPr>
        <w:spacing w:after="40"/>
      </w:pPr>
    </w:p>
    <w:p>
      <w:pPr>
        <w:spacing w:before="120" w:after="40"/>
      </w:pPr>
      <w:r>
        <w:rPr>
          <w:b/>
          <w:color w:val="1F4E79"/>
          <w:sz w:val="22"/>
        </w:rPr>
        <w:t>GAAP, Deadlines, and Analysis</w:t>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13. How do you handle a vendor invoice that does not match the PO?</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 do not pay or approve it immediately. I compare the invoice to the PO and receiving report to identify whether the issue is price, quantity, tax, freight, or missing information. If it is a small approved variance, I follow company policy. If not, I contact purchasing, receiving, or the vendor and document the resolution before posting or paying the invoice.</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Control mindset; identifies mismatch type; follows approval process.</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14. What is GAAP?</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GAAP means Generally Accepted Accounting Principles. It is the standard accounting framework used by US companies to keep financial reporting consistent, accurate, and comparable. In daily accounting work, GAAP affects things like revenue recognition, matching expenses to the right period, accruals, and depreciation.</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US framework; connects GAAP to daily entries.</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15. How do you prioritize when you have multiple deadlines?</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 start by identifying deadlines that affect reporting or payments, such as payroll, vendor payment runs, bank reconciliation, and month-end close tasks. I separate urgent items from routine items, use a checklist, and communicate early if something is blocked. During close, I focus first on tasks that other reports depend on, like AP, AR, bank reconciliation, and adjusting entries.</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Prioritization logic; communicates blockers; understands dependencies.</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16. What is deferred revenue?</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Deferred revenue is cash received before the company has earned the revenue. It is recorded as a liability at first because the company still owes goods or services. When the work is completed or the product is delivered, the amount is moved from deferred revenue to revenue.</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Liability first; revenue recognized when earned.</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17. How do you calculate days sales outstanding, or DSO?</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DSO measures how long it takes to collect customer invoices. A common formula is average accounts receivable divided by credit sales, multiplied by the number of days in the period. For example, if average AR is $100,000, monthly credit sales are $300,000, and the period is 30 days, DSO is 10 days.</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Formula; knows it measures collection speed.</w:t>
            </w:r>
          </w:p>
        </w:tc>
      </w:tr>
    </w:tbl>
    <w:p>
      <w:pPr>
        <w:spacing w:after="40"/>
      </w:pPr>
    </w:p>
    <w:p>
      <w:r>
        <w:br w:type="page"/>
      </w:r>
    </w:p>
    <w:p>
      <w:pPr>
        <w:spacing w:before="120" w:after="40"/>
      </w:pPr>
      <w:r>
        <w:rPr>
          <w:b/>
          <w:color w:val="1F4E79"/>
          <w:sz w:val="22"/>
        </w:rPr>
        <w:t>Organization and Career Questions</w:t>
      </w: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18. What internal controls have you worked with?</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In the simulation, I worked with basic AP and cash controls such as 3-way match, invoice approval before payment, duplicate invoice review, bank reconciliation, separation of invoice entry and payment approval, supporting documentation, and review of unusual transactions during month-end close.</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Practical controls; AP, cash, review, documentation.</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19. How do you stay organized during month-end?</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 use a close checklist with task owner, due date, status, and notes. I keep support files for reconciliations, accruals, depreciation, payroll, and bank activity. In Skarion Manufacturing's January close, that meant tracking open items like the $217,334.09 bank reconciliation, the $5,208.10 depreciation entry across 10 fixed assets, and the $375.00 water/sewer accrual, so I always knew what was posted versus still pending support. That habit is what kept me from missing a recurring entry or a balance sheet reconciliation.</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Checklist discipline; support files; open-item tracking.</w:t>
            </w:r>
          </w:p>
        </w:tc>
      </w:tr>
    </w:tbl>
    <w:p>
      <w:pPr>
        <w:spacing w:after="40"/>
      </w:pPr>
    </w:p>
    <w:tbl>
      <w:tblPr>
        <w:tblStyle w:val="TableGrid"/>
        <w:tblW w:type="auto" w:w="0"/>
        <w:jc w:val="center"/>
        <w:tblLayout w:type="fixed"/>
        <w:tblLook w:firstColumn="1" w:firstRow="1" w:lastColumn="0" w:lastRow="0" w:noHBand="0" w:noVBand="1" w:val="04A0"/>
      </w:tblPr>
      <w:tblGrid>
        <w:gridCol w:w="5328"/>
        <w:gridCol w:w="5328"/>
      </w:tblGrid>
      <w:tr>
        <w:trPr>
          <w:cantSplit/>
        </w:trPr>
        <w:tc>
          <w:tcPr>
            <w:tcW w:type="dxa" w:w="10944"/>
            <w:gridSpan w:val="2"/>
            <w:shd w:fill="D9EAF7"/>
            <w:vAlign w:val="top"/>
          </w:tcPr>
          <w:p>
            <w:pPr>
              <w:spacing w:after="0" w:line="240" w:lineRule="auto"/>
              <w:jc w:val="left"/>
            </w:pPr>
            <w:r/>
            <w:r>
              <w:rPr>
                <w:b/>
                <w:sz w:val="18"/>
              </w:rPr>
              <w:t>20. Where do you see yourself in 2 years?</w:t>
            </w:r>
          </w:p>
        </w:tc>
      </w:tr>
      <w:tr>
        <w:trPr>
          <w:cantSplit/>
        </w:trPr>
        <w:tc>
          <w:tcPr>
            <w:tcW w:type="dxa" w:w="2016"/>
            <w:shd w:fill="F2F2F2"/>
            <w:vAlign w:val="top"/>
          </w:tcPr>
          <w:p>
            <w:pPr>
              <w:spacing w:after="0" w:line="240" w:lineRule="auto"/>
              <w:jc w:val="left"/>
            </w:pPr>
            <w:r/>
            <w:r>
              <w:rPr>
                <w:b/>
                <w:sz w:val="16"/>
              </w:rPr>
              <w:t>Sample answer</w:t>
            </w:r>
          </w:p>
        </w:tc>
        <w:tc>
          <w:tcPr>
            <w:tcW w:type="dxa" w:w="8928"/>
            <w:vAlign w:val="top"/>
          </w:tcPr>
          <w:p>
            <w:pPr>
              <w:spacing w:after="0" w:line="240" w:lineRule="auto"/>
              <w:jc w:val="left"/>
            </w:pPr>
            <w:r/>
            <w:r>
              <w:rPr>
                <w:b w:val="0"/>
                <w:sz w:val="16"/>
              </w:rPr>
              <w:t>I want to grow into a stronger staff accountant and eventually move toward a senior accountant or financial analyst role. My focus is to become very reliable with month-end close, reconciliations, AP, AR, reporting, and Excel analysis, then take on more ownership over reporting and variance analysis.</w:t>
            </w:r>
          </w:p>
        </w:tc>
      </w:tr>
      <w:tr>
        <w:trPr>
          <w:cantSplit/>
        </w:trPr>
        <w:tc>
          <w:tcPr>
            <w:tcW w:type="dxa" w:w="2016"/>
            <w:shd w:fill="F2F2F2"/>
            <w:vAlign w:val="top"/>
          </w:tcPr>
          <w:p>
            <w:pPr>
              <w:spacing w:after="0" w:line="240" w:lineRule="auto"/>
              <w:jc w:val="left"/>
            </w:pPr>
            <w:r/>
            <w:r>
              <w:rPr>
                <w:b/>
                <w:sz w:val="16"/>
              </w:rPr>
              <w:t>Listen for</w:t>
            </w:r>
          </w:p>
        </w:tc>
        <w:tc>
          <w:tcPr>
            <w:tcW w:type="dxa" w:w="8928"/>
            <w:vAlign w:val="top"/>
          </w:tcPr>
          <w:p>
            <w:pPr>
              <w:spacing w:after="0" w:line="240" w:lineRule="auto"/>
              <w:jc w:val="left"/>
            </w:pPr>
            <w:r/>
            <w:r>
              <w:rPr>
                <w:b w:val="0"/>
                <w:sz w:val="16"/>
              </w:rPr>
              <w:t>Realistic ambition; growth path; aligns with accounting role.</w:t>
            </w:r>
          </w:p>
        </w:tc>
      </w:tr>
    </w:tbl>
    <w:p>
      <w:pPr>
        <w:spacing w:after="40"/>
      </w:pPr>
    </w:p>
    <w:p>
      <w:r>
        <w:rPr>
          <w:b/>
          <w:color w:val="1F4E79"/>
          <w:sz w:val="28"/>
        </w:rPr>
        <w:t>Quick Memory Cues</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1F4E79"/>
          </w:tcPr>
          <w:p>
            <w:pPr>
              <w:spacing w:after="0" w:line="240" w:lineRule="auto"/>
              <w:jc w:val="left"/>
            </w:pPr>
            <w:r/>
            <w:r>
              <w:rPr>
                <w:b/>
                <w:color w:val="FFFFFF"/>
                <w:sz w:val="16"/>
              </w:rPr>
              <w:t>Topic</w:t>
            </w:r>
          </w:p>
        </w:tc>
        <w:tc>
          <w:tcPr>
            <w:tcW w:type="dxa" w:w="5184"/>
            <w:shd w:fill="1F4E79"/>
          </w:tcPr>
          <w:p>
            <w:pPr>
              <w:spacing w:after="0" w:line="240" w:lineRule="auto"/>
              <w:jc w:val="left"/>
            </w:pPr>
            <w:r/>
            <w:r>
              <w:rPr>
                <w:b/>
                <w:color w:val="FFFFFF"/>
                <w:sz w:val="16"/>
              </w:rPr>
              <w:t>Say This</w:t>
            </w:r>
          </w:p>
        </w:tc>
        <w:tc>
          <w:tcPr>
            <w:tcW w:type="dxa" w:w="3888"/>
            <w:shd w:fill="1F4E79"/>
          </w:tcPr>
          <w:p>
            <w:pPr>
              <w:spacing w:after="0" w:line="240" w:lineRule="auto"/>
              <w:jc w:val="left"/>
            </w:pPr>
            <w:r/>
            <w:r>
              <w:rPr>
                <w:b/>
                <w:color w:val="FFFFFF"/>
                <w:sz w:val="16"/>
              </w:rPr>
              <w:t>Do Not Say This</w:t>
            </w:r>
          </w:p>
        </w:tc>
      </w:tr>
      <w:tr>
        <w:tc>
          <w:tcPr>
            <w:tcW w:type="dxa" w:w="2016"/>
          </w:tcPr>
          <w:p>
            <w:pPr>
              <w:spacing w:after="0" w:line="240" w:lineRule="auto"/>
              <w:jc w:val="left"/>
            </w:pPr>
            <w:r/>
            <w:r>
              <w:rPr>
                <w:b w:val="0"/>
                <w:sz w:val="16"/>
              </w:rPr>
              <w:t>Month-end close</w:t>
            </w:r>
          </w:p>
        </w:tc>
        <w:tc>
          <w:tcPr>
            <w:tcW w:type="dxa" w:w="5184"/>
          </w:tcPr>
          <w:p>
            <w:pPr>
              <w:spacing w:after="0" w:line="240" w:lineRule="auto"/>
              <w:jc w:val="left"/>
            </w:pPr>
            <w:r/>
            <w:r>
              <w:rPr>
                <w:b w:val="0"/>
                <w:sz w:val="16"/>
              </w:rPr>
              <w:t>“I follow a close checklist and reconcile balance sheet accounts before reports are finalized.”</w:t>
            </w:r>
          </w:p>
        </w:tc>
        <w:tc>
          <w:tcPr>
            <w:tcW w:type="dxa" w:w="3888"/>
          </w:tcPr>
          <w:p>
            <w:pPr>
              <w:spacing w:after="0" w:line="240" w:lineRule="auto"/>
              <w:jc w:val="left"/>
            </w:pPr>
            <w:r/>
            <w:r>
              <w:rPr>
                <w:b w:val="0"/>
                <w:sz w:val="16"/>
              </w:rPr>
              <w:t>“I just run reports.”</w:t>
            </w:r>
          </w:p>
        </w:tc>
      </w:tr>
      <w:tr>
        <w:tc>
          <w:tcPr>
            <w:tcW w:type="dxa" w:w="2016"/>
          </w:tcPr>
          <w:p>
            <w:pPr>
              <w:spacing w:after="0" w:line="240" w:lineRule="auto"/>
              <w:jc w:val="left"/>
            </w:pPr>
            <w:r/>
            <w:r>
              <w:rPr>
                <w:b w:val="0"/>
                <w:sz w:val="16"/>
              </w:rPr>
              <w:t>Bank reconciliation</w:t>
            </w:r>
          </w:p>
        </w:tc>
        <w:tc>
          <w:tcPr>
            <w:tcW w:type="dxa" w:w="5184"/>
          </w:tcPr>
          <w:p>
            <w:pPr>
              <w:spacing w:after="0" w:line="240" w:lineRule="auto"/>
              <w:jc w:val="left"/>
            </w:pPr>
            <w:r/>
            <w:r>
              <w:rPr>
                <w:b w:val="0"/>
                <w:sz w:val="16"/>
              </w:rPr>
              <w:t>“I compare bank activity to the GL and investigate unmatched items.”</w:t>
            </w:r>
          </w:p>
        </w:tc>
        <w:tc>
          <w:tcPr>
            <w:tcW w:type="dxa" w:w="3888"/>
          </w:tcPr>
          <w:p>
            <w:pPr>
              <w:spacing w:after="0" w:line="240" w:lineRule="auto"/>
              <w:jc w:val="left"/>
            </w:pPr>
            <w:r/>
            <w:r>
              <w:rPr>
                <w:b w:val="0"/>
                <w:sz w:val="16"/>
              </w:rPr>
              <w:t>“I adjust the difference.”</w:t>
            </w:r>
          </w:p>
        </w:tc>
      </w:tr>
      <w:tr>
        <w:tc>
          <w:tcPr>
            <w:tcW w:type="dxa" w:w="2016"/>
          </w:tcPr>
          <w:p>
            <w:pPr>
              <w:spacing w:after="0" w:line="240" w:lineRule="auto"/>
              <w:jc w:val="left"/>
            </w:pPr>
            <w:r/>
            <w:r>
              <w:rPr>
                <w:b w:val="0"/>
                <w:sz w:val="16"/>
              </w:rPr>
              <w:t>AP invoices</w:t>
            </w:r>
          </w:p>
        </w:tc>
        <w:tc>
          <w:tcPr>
            <w:tcW w:type="dxa" w:w="5184"/>
          </w:tcPr>
          <w:p>
            <w:pPr>
              <w:spacing w:after="0" w:line="240" w:lineRule="auto"/>
              <w:jc w:val="left"/>
            </w:pPr>
            <w:r/>
            <w:r>
              <w:rPr>
                <w:b w:val="0"/>
                <w:sz w:val="16"/>
              </w:rPr>
              <w:t>“I check invoice details, duplicates, PO, receiving, and approval.”</w:t>
            </w:r>
          </w:p>
        </w:tc>
        <w:tc>
          <w:tcPr>
            <w:tcW w:type="dxa" w:w="3888"/>
          </w:tcPr>
          <w:p>
            <w:pPr>
              <w:spacing w:after="0" w:line="240" w:lineRule="auto"/>
              <w:jc w:val="left"/>
            </w:pPr>
            <w:r/>
            <w:r>
              <w:rPr>
                <w:b w:val="0"/>
                <w:sz w:val="16"/>
              </w:rPr>
              <w:t>“I enter whatever the vendor sends.”</w:t>
            </w:r>
          </w:p>
        </w:tc>
      </w:tr>
      <w:tr>
        <w:tc>
          <w:tcPr>
            <w:tcW w:type="dxa" w:w="2016"/>
          </w:tcPr>
          <w:p>
            <w:pPr>
              <w:spacing w:after="0" w:line="240" w:lineRule="auto"/>
              <w:jc w:val="left"/>
            </w:pPr>
            <w:r/>
            <w:r>
              <w:rPr>
                <w:b w:val="0"/>
                <w:sz w:val="16"/>
              </w:rPr>
              <w:t>AR collections</w:t>
            </w:r>
          </w:p>
        </w:tc>
        <w:tc>
          <w:tcPr>
            <w:tcW w:type="dxa" w:w="5184"/>
          </w:tcPr>
          <w:p>
            <w:pPr>
              <w:spacing w:after="0" w:line="240" w:lineRule="auto"/>
              <w:jc w:val="left"/>
            </w:pPr>
            <w:r/>
            <w:r>
              <w:rPr>
                <w:b w:val="0"/>
                <w:sz w:val="16"/>
              </w:rPr>
              <w:t>“I use AR aging, check disputes, then follow up and document.”</w:t>
            </w:r>
          </w:p>
        </w:tc>
        <w:tc>
          <w:tcPr>
            <w:tcW w:type="dxa" w:w="3888"/>
          </w:tcPr>
          <w:p>
            <w:pPr>
              <w:spacing w:after="0" w:line="240" w:lineRule="auto"/>
              <w:jc w:val="left"/>
            </w:pPr>
            <w:r/>
            <w:r>
              <w:rPr>
                <w:b w:val="0"/>
                <w:sz w:val="16"/>
              </w:rPr>
              <w:t>“I just email the customer.”</w:t>
            </w:r>
          </w:p>
        </w:tc>
      </w:tr>
      <w:tr>
        <w:tc>
          <w:tcPr>
            <w:tcW w:type="dxa" w:w="2016"/>
          </w:tcPr>
          <w:p>
            <w:pPr>
              <w:spacing w:after="0" w:line="240" w:lineRule="auto"/>
              <w:jc w:val="left"/>
            </w:pPr>
            <w:r/>
            <w:r>
              <w:rPr>
                <w:b w:val="0"/>
                <w:sz w:val="16"/>
              </w:rPr>
              <w:t>Excel</w:t>
            </w:r>
          </w:p>
        </w:tc>
        <w:tc>
          <w:tcPr>
            <w:tcW w:type="dxa" w:w="5184"/>
          </w:tcPr>
          <w:p>
            <w:pPr>
              <w:spacing w:after="0" w:line="240" w:lineRule="auto"/>
              <w:jc w:val="left"/>
            </w:pPr>
            <w:r/>
            <w:r>
              <w:rPr>
                <w:b w:val="0"/>
                <w:sz w:val="16"/>
              </w:rPr>
              <w:t>“I use pivot tables, SUMIFS, lookups, and exports to review accounting data.”</w:t>
            </w:r>
          </w:p>
        </w:tc>
        <w:tc>
          <w:tcPr>
            <w:tcW w:type="dxa" w:w="3888"/>
          </w:tcPr>
          <w:p>
            <w:pPr>
              <w:spacing w:after="0" w:line="240" w:lineRule="auto"/>
              <w:jc w:val="left"/>
            </w:pPr>
            <w:r/>
            <w:r>
              <w:rPr>
                <w:b w:val="0"/>
                <w:sz w:val="16"/>
              </w:rPr>
              <w:t>“I know basic Excel.”</w:t>
            </w:r>
          </w:p>
        </w:tc>
      </w:tr>
      <w:tr>
        <w:tc>
          <w:tcPr>
            <w:tcW w:type="dxa" w:w="2016"/>
          </w:tcPr>
          <w:p>
            <w:pPr>
              <w:spacing w:after="0" w:line="240" w:lineRule="auto"/>
              <w:jc w:val="left"/>
            </w:pPr>
            <w:r/>
            <w:r>
              <w:rPr>
                <w:b w:val="0"/>
                <w:sz w:val="16"/>
              </w:rPr>
              <w:t>QuickBooks</w:t>
            </w:r>
          </w:p>
        </w:tc>
        <w:tc>
          <w:tcPr>
            <w:tcW w:type="dxa" w:w="5184"/>
          </w:tcPr>
          <w:p>
            <w:pPr>
              <w:spacing w:after="0" w:line="240" w:lineRule="auto"/>
              <w:jc w:val="left"/>
            </w:pPr>
            <w:r/>
            <w:r>
              <w:rPr>
                <w:b w:val="0"/>
                <w:sz w:val="16"/>
              </w:rPr>
              <w:t>“I entered bills, invoices, payments, bank recs, and reports in QBO.”</w:t>
            </w:r>
          </w:p>
        </w:tc>
        <w:tc>
          <w:tcPr>
            <w:tcW w:type="dxa" w:w="3888"/>
          </w:tcPr>
          <w:p>
            <w:pPr>
              <w:spacing w:after="0" w:line="240" w:lineRule="auto"/>
              <w:jc w:val="left"/>
            </w:pPr>
            <w:r/>
            <w:r>
              <w:rPr>
                <w:b w:val="0"/>
                <w:sz w:val="16"/>
              </w:rPr>
              <w:t>“I watched QuickBooks videos.”</w:t>
            </w:r>
          </w:p>
        </w:tc>
      </w:tr>
      <w:tr>
        <w:tc>
          <w:tcPr>
            <w:tcW w:type="dxa" w:w="2016"/>
          </w:tcPr>
          <w:p>
            <w:pPr>
              <w:spacing w:after="0" w:line="240" w:lineRule="auto"/>
              <w:jc w:val="left"/>
            </w:pPr>
            <w:r/>
            <w:r>
              <w:rPr>
                <w:b w:val="0"/>
                <w:sz w:val="16"/>
              </w:rPr>
              <w:t>Internal controls</w:t>
            </w:r>
          </w:p>
        </w:tc>
        <w:tc>
          <w:tcPr>
            <w:tcW w:type="dxa" w:w="5184"/>
          </w:tcPr>
          <w:p>
            <w:pPr>
              <w:spacing w:after="0" w:line="240" w:lineRule="auto"/>
              <w:jc w:val="left"/>
            </w:pPr>
            <w:r/>
            <w:r>
              <w:rPr>
                <w:b w:val="0"/>
                <w:sz w:val="16"/>
              </w:rPr>
              <w:t>“I use approval, matching, duplicate checks, reconciliations, and documentation.”</w:t>
            </w:r>
          </w:p>
        </w:tc>
        <w:tc>
          <w:tcPr>
            <w:tcW w:type="dxa" w:w="3888"/>
          </w:tcPr>
          <w:p>
            <w:pPr>
              <w:spacing w:after="0" w:line="240" w:lineRule="auto"/>
              <w:jc w:val="left"/>
            </w:pPr>
            <w:r/>
            <w:r>
              <w:rPr>
                <w:b w:val="0"/>
                <w:sz w:val="16"/>
              </w:rPr>
              <w:t>“Controls are someone else’s job.”</w:t>
            </w:r>
          </w:p>
        </w:tc>
      </w:tr>
    </w:tbl>
    <w:p>
      <w:pPr>
        <w:spacing w:before="160"/>
      </w:pPr>
      <w:r>
        <w:rPr>
          <w:b/>
          <w:sz w:val="18"/>
        </w:rPr>
        <w:t>Final reminder:</w:t>
      </w:r>
      <w:r>
        <w:rPr>
          <w:sz w:val="18"/>
        </w:rPr>
        <w:t xml:space="preserve"> Strong interview answers are specific. Use numbers, dates, reports, tools, and the correction you made. Vague answers sound like motivational posters, and nobody should hire a poster.</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Skarion Accounting Track | Interview Cheat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FCDA72B33F704B902DF05EFF11A127" ma:contentTypeVersion="12" ma:contentTypeDescription="Create a new document." ma:contentTypeScope="" ma:versionID="c6f9a1a39b749c0b35fc296ed518e8f3">
  <xsd:schema xmlns:xsd="http://www.w3.org/2001/XMLSchema" xmlns:xs="http://www.w3.org/2001/XMLSchema" xmlns:p="http://schemas.microsoft.com/office/2006/metadata/properties" xmlns:ns2="7019b7ea-2583-48d5-9dd7-5b4a847e7ee9" xmlns:ns3="27445e43-ccdd-4da6-b549-fdecb12a794f" targetNamespace="http://schemas.microsoft.com/office/2006/metadata/properties" ma:root="true" ma:fieldsID="45a2daf967dbe5b730172693d155efad" ns2:_="" ns3:_="">
    <xsd:import namespace="7019b7ea-2583-48d5-9dd7-5b4a847e7ee9"/>
    <xsd:import namespace="27445e43-ccdd-4da6-b549-fdecb12a79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19b7ea-2583-48d5-9dd7-5b4a847e7e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0f1de3d-d31a-4396-82d5-79995a5512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445e43-ccdd-4da6-b549-fdecb12a794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f456272-03e4-4335-84cf-9ee0017832c0}" ma:internalName="TaxCatchAll" ma:showField="CatchAllData" ma:web="27445e43-ccdd-4da6-b549-fdecb12a79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019b7ea-2583-48d5-9dd7-5b4a847e7ee9">
      <Terms xmlns="http://schemas.microsoft.com/office/infopath/2007/PartnerControls"/>
    </lcf76f155ced4ddcb4097134ff3c332f>
    <TaxCatchAll xmlns="27445e43-ccdd-4da6-b549-fdecb12a794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BF45E9-2962-438A-BDB5-EAB506810FD6}"/>
</file>

<file path=customXml/itemProps3.xml><?xml version="1.0" encoding="utf-8"?>
<ds:datastoreItem xmlns:ds="http://schemas.openxmlformats.org/officeDocument/2006/customXml" ds:itemID="{78BCDECA-2118-45D0-99A3-FDA8BC3D60DC}"/>
</file>

<file path=customXml/itemProps4.xml><?xml version="1.0" encoding="utf-8"?>
<ds:datastoreItem xmlns:ds="http://schemas.openxmlformats.org/officeDocument/2006/customXml" ds:itemID="{F80A292D-B2F3-4EC6-9A73-05FBC1E2E04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0x0101007FFCDA72B33F704B902DF05EFF11A127</vt:lpwstr>
  </property>
</Properties>
</file>