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91"/>
          <w:sz w:val="44"/>
        </w:rPr>
        <w:t>beDots LLC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11827"/>
          <w:sz w:val="28"/>
        </w:rPr>
        <w:t>Security Requirements Checklist</w:t>
      </w:r>
    </w:p>
    <w:p>
      <w:pPr>
        <w:spacing w:after="120"/>
        <w:jc w:val="center"/>
      </w:pPr>
      <w:r>
        <w:rPr>
          <w:rFonts w:ascii="Calibri" w:hAnsi="Calibri" w:eastAsia="Calibri"/>
          <w:b w:val="0"/>
          <w:color w:val="4B5563"/>
          <w:sz w:val="20"/>
        </w:rPr>
        <w:t>Port of Duqm (PODC) — Annexure A, Section 3.8</w:t>
        <w:br/>
        <w:t>Products: (1) Website  |  (2) e-Services Portal</w:t>
      </w:r>
    </w:p>
    <w:p>
      <w:pPr>
        <w:jc w:val="center"/>
      </w:pPr>
      <w:r>
        <w:rPr>
          <w:rFonts w:ascii="Arial" w:hAnsi="Arial" w:eastAsia="Arial"/>
          <w:b/>
          <w:color w:val="B91C1C"/>
          <w:sz w:val="32"/>
        </w:rPr>
        <w:t>CONFIDENTIAL</w:t>
      </w:r>
    </w:p>
    <w:p>
      <w:pPr>
        <w:spacing w:after="120"/>
      </w:pPr>
      <w:r>
        <w:t>Source: Annexure A - Scope of Work - Final (RFQ No. 11362), Section 3.8 Security. Verified for CodeIgniter 4 port_of_duqum application on 5 August 2026. Status: checked only where implemented in application; server/legal/provider rows marked N/A or left Pending. Current-release deferrals: email activation evidence, SMS OTP, and payment.</w:t>
      </w:r>
    </w:p>
    <w:p>
      <w:pPr>
        <w:spacing w:before="160" w:after="120"/>
      </w:pPr>
      <w:r>
        <w:rPr>
          <w:rFonts w:ascii="Calibri" w:hAnsi="Calibri" w:eastAsia="Calibri"/>
          <w:b/>
          <w:color w:val="0B3D91"/>
          <w:sz w:val="26"/>
        </w:rPr>
        <w:t>A. Common Security Obligations (Both Products)</w:t>
      </w:r>
    </w:p>
    <w:p>
      <w:pPr>
        <w:spacing w:after="120"/>
      </w:pPr>
      <w:r>
        <w:rPr>
          <w:rFonts w:ascii="Calibri" w:hAnsi="Calibri" w:eastAsia="Calibri"/>
          <w:b w:val="0"/>
          <w:color w:val="374151"/>
          <w:sz w:val="19"/>
        </w:rPr>
        <w:t>These apply to both the public Website and the e-Services Portal before go-live.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80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49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Security Requirement</w:t>
            </w:r>
          </w:p>
        </w:tc>
        <w:tc>
          <w:tcPr>
            <w:tcW w:type="dxa" w:w="1247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Remarks</w:t>
            </w:r>
          </w:p>
        </w:tc>
        <w:tc>
          <w:tcPr>
            <w:tcW w:type="dxa" w:w="113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Provide a detailed security plan explaining how the product and its content will be protected from hacking and unauthorized use.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Application design evidence added: documentation/APPLICATION_SECURITY_DESIGN.md; also see SECURITY_COMPLIANCE_REPORT.md and PRODUCTION_SECURITY_RUNBOOK.md.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Supplier accountability accepted for any breach caused by coding weaknesses.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Commercial/legal accountability clause; not an application-code control. Requires PODC/supplier contract or SLA evidence.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legal / supplier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Provide a suitable security test scenario and execute security testing before go-live.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Current-release test scenario added: documentation/CURRENT_RELEASE_SECURITY_TEST_SCENARIO.md. Automated contracts can be run now; independent DAST/pen-test/go-live report still required.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security / PODC</w:t>
            </w:r>
          </w:p>
        </w:tc>
      </w:tr>
    </w:tbl>
    <w:p>
      <w:pPr>
        <w:spacing w:before="280" w:after="120"/>
      </w:pPr>
      <w:r>
        <w:rPr>
          <w:rFonts w:ascii="Calibri" w:hAnsi="Calibri" w:eastAsia="Calibri"/>
          <w:b/>
          <w:color w:val="0B3D91"/>
          <w:sz w:val="26"/>
        </w:rPr>
        <w:t>B. Product 1 — Website Security Checklist (Section 3.8.1)</w:t>
      </w:r>
    </w:p>
    <w:p>
      <w:pPr>
        <w:spacing w:after="120"/>
      </w:pPr>
      <w:r>
        <w:rPr>
          <w:rFonts w:ascii="Calibri" w:hAnsi="Calibri" w:eastAsia="Calibri"/>
          <w:b w:val="0"/>
          <w:color w:val="374151"/>
          <w:sz w:val="19"/>
        </w:rPr>
        <w:t>Covers the public CMS website (content, forms, newsletter, SEO site, admin panel). Includes WordPress-specific hardening where applicable to the CMS stack.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80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49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Security Requirement</w:t>
            </w:r>
          </w:p>
        </w:tc>
        <w:tc>
          <w:tcPr>
            <w:tcW w:type="dxa" w:w="1247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Remarks</w:t>
            </w:r>
          </w:p>
        </w:tc>
        <w:tc>
          <w:tcPr>
            <w:tcW w:type="dxa" w:w="113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HSTS, HTTPS and SSL Security: Install SSL/TLS certificate; enable HTTPS site-wide; enable HSTS; encrypt all transmitted data including cookies.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Cookie Hijacking Protection: Protect user session cookies from unauthorized access and misuse (Secure, HttpOnly, SameSite).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 Access Control: Assign roles and permissions (authority matrix) to prevent unauthorized CMS/admin access.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Account Lockout: Implement lockout policies to prevent brute-force attacks on login.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Strong Passwords: Enforce complex/unique password policies for all accounts including administrators.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3.8.1-6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Authentication (MFA): Implement SMS OTP-based MFA (Oman numbers only; PODC iBulk SMS Gateway).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3.8.1-7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Login: Add CAPTCHA / reCAPTCHA (or equivalent) on login forms.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Spam Protection: Anti-spam on comments, enquiry forms, newsletter and contact forms (CAPTCHA/reCAPTCHA).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3.8.1-9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Education and Training: Train website administrators/users on security, password management, phishing awareness.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3.8.1-10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Encryption at Rest: Encrypt sensitive data (passwords, personal info, other sensitive data) on PODC servers.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3.8.1-11a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Allow only jpg, jpeg, png, pdf; deny all other types.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3.8.1-11b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Strict validation + malware/scanning; magic-bytes + extension + content-type checks before storing.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3.8.1-11c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Enforce file size limits; store uploads outside web root; prevent script execution; remove excess permissions.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File Permission Settings: Restrict access to sensitive files/directories; write access only where necessary.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Disable File Editing: Disable file editing via WordPress/CMS dashboard to prevent unauthorized code changes.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Database Security: Parameterized queries, input validation, least-privilege DB accounts; prevent SQL injection.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3.8.1-15a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Do not expose .git folder from webserver directory.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3.8.1-15b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Keep WordPress plugins updated to avoid leakage/unauthenticated access.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3.8.1-15c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Restrict WordPress REST API; read-only for authorized accounts only where applicable.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3.8.1-15d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Remove/restrict sensitive files (php.ini, info.php, license.txt, readme.html, wp-links-opml.php, etc.).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3.8.1-16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Vulnerability Avoidance: Prevent SQL Injection, XSS, CSRF, Directory Traversal, RCE, File Inclusion, Brute Force, SSRF, Server misconfigurations.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3.8.1-17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Input Validation &amp; Output Encoding: Validate/sanitize all inputs; encode outputs; test against injection payloads.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3.8.1-18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Session Management: Secure token generation/transmission; invalidate on logout/expiry; prevent fixation, hijacking, replay.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3.8.1-19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Self-host All Assets: Host images, fonts, JS, CSS locally; avoid external CDNs/third-party scripts/iframes unless necessary; update references.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3.8.1-20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Regular Updates: Quarterly WordPress core/theme/plugin updates with no UI/UX collateral impact.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3.8.1-21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Firewall Protection: Coordinate with PODC security team to align WAF before public publish.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3.8.1-22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Backup and Restore: Automated, reliable backups of website files and databases; restore tested.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3.8.1-23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Monitor Website Performance: Monitor uptime, page load; optimize images/plugins (e.g. Analytics).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3.8.1-24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Logging and Monitoring: Comprehensive logs for user activity, incident detection, real-time response.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3.8.1-25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WordPress Hardening: PHP safe practices; web directory not writable; disable file edit; disable plugin install from dashboard.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Directory access restrictions via .htaccess (Apache) for sensitive paths.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HTTP security headers — HSTS, CSP, X-Content-Type-Options, X-Frame-Options, X-XSS-Protection.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Disable unnecessary HTTP methods; limit max request size; set secure cookie flags.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3.8.1-26d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Configure CSP trusted content sources to mitigate XSS.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3.8.1-26e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Custom error pages (404/403) with minimal information disclosure.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3.8.1-26f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Disable directory listing; disable server signature/version in headers.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3.8.1-26g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Website Hardening: Disable unused services and ports to reduce attack surface.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 1 Website/WordPress is outside the port_of_duqum CodeIgniter application scope. Track this row in the website project.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Website team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rFonts w:ascii="Calibri" w:hAnsi="Calibri" w:eastAsia="Calibri"/>
          <w:b/>
          <w:color w:val="0B3D91"/>
          <w:sz w:val="26"/>
        </w:rPr>
        <w:t>C. Product 2 — e-Services Portal Security Checklist</w:t>
      </w:r>
    </w:p>
    <w:p>
      <w:pPr>
        <w:spacing w:after="120"/>
      </w:pPr>
      <w:r>
        <w:rPr>
          <w:rFonts w:ascii="Calibri" w:hAnsi="Calibri" w:eastAsia="Calibri"/>
          <w:b w:val="0"/>
          <w:color w:val="374151"/>
          <w:sz w:val="19"/>
        </w:rPr>
        <w:t>Covers Gate Pass, Vendor Registration, Tendering/RFQ, Supplier Portal, Permit to Work (HSSE), and related staff workflows. Mapped from Section 3.8.1 controls and applied to authenticated e-Services processes. Items eSvc-A to eSvc-J are portal-critical controls implied by the same security obligations for unauthorized access, data protection and secure workflows.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80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4649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Security Requirement</w:t>
            </w:r>
          </w:p>
        </w:tc>
        <w:tc>
          <w:tcPr>
            <w:tcW w:type="dxa" w:w="1247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268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Evidence / Remarks</w:t>
            </w:r>
          </w:p>
        </w:tc>
        <w:tc>
          <w:tcPr>
            <w:tcW w:type="dxa" w:w="113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HSTS, HTTPS and SSL Security: Full HTTPS for portal and APIs; SSL/TLS installed; HSTS enabled; cookies encrypted in transit.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Server/TLS-owned. App supports production HTTPS base URL and .htaccess HSTS fallback; final certificate/HSTS scan is server evidence.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Cookie Hijacking Protection: Secure session cookies for visitor/vendor/staff portals (Secure, HttpOnly, SameSite).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Cookie/session configs force production Secure, HttpOnly and SameSite controls; database sessions and regeneration are configured.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User Access Control: Role-based access for Visitor, Department, Commercial, Security Officer, ROP, Vendor, Procurement, Tender Manager, Committee, HSSE.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RBAC and object guards exist: Security_Controller, Roles UI, Left_menu, Vendor_portal_authorizer, vendor CR context, Gate/PTW/Tender scoping.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Account Lockout: Lockout after failed attempts for all e-Services logins (visitor, vendor, staff).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Auth_security_model and Signin add IP/identity throttling, persistent lockout and generic failures; password-change throttling covered.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Strong Passwords: Enforce strong password policy for registration, change-password, admin and vendor accounts.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Password policy and password_hash are implemented for new/change/reset flows. Legacy MD5 fallback cleanup and forced reset remain before final sign-off.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3.8.1-6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Authentication (MFA): SMS OTP MFA for account creation / forgot password / sensitive actions (Oman numbers; PODC iBulk). Prefer email OTP for vendor where required.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SMS OTP/iBulk is deferred for this release by scope. Keep disabled until separate activation evidence exists.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/ supplier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3.8.1-7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Login: CAPTCHA/reCAPTCHA on login and registration screens.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reCAPTCHA library and login/vendor/gate-pass registration hooks exist with production fail-closed/provider validation behavior.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Spam / Abuse Protection: Protect registration, clarification posts, enquiry and public forms from spam/abuse.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Main public abuse paths use CAPTCHA and/or throttling: login, vendor registration, gate-pass registration, public tickets/leads/estimates.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3.8.1-9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Education and Training: Security awareness for portal admins and operational users (password hygiene, phishing).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Training is organizational evidence, not application code. Keep as handover/go-live evidence.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/ supplier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3.8.1-10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 Encryption at Rest: Encrypt passwords, Civil/Passport IDs, uploaded ID cards, payment data and other PII on PODC servers.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Passwords/tokens/tender opening codes are protected, but full PII/upload/database encryption at rest needs approved DB/storage/key evidence.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 / supplier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3.8.1-11a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Gate Pass ID cards and vendor docs — allow only jpg, jpeg, png, pdf; deny others.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Security-document upload allowlist is jpg/jpeg/png/pdf in Upload_security; context validation is tested.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3.8.1-11b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Magic-bytes + extension + content-type validation; malware scanning before disk write.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Extension, MIME and magic checks are implemented; live malware scanner/quarantine/alert evidence is still required.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 / supplier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3.8.1-11c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Secure File Uploads: Size limits; store outside web root; no script execution; least file permissions.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Size limits, randomized protected WRITEPATH storage and executable-extension denial exist for hardened upload contexts.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File Permission Settings: Restrict access to uploaded documents, reports, tender files and sensitive directories.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OS/file ownership and directory permission audit are server/storage controls. App protected-streaming controls are tracked in document rows.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Disable Runtime Code Editing: No online code/config editing from application UI; disable dangerous admin file operations.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Runtime plugin/update/code editing is disabled in production through Rise config and controller guards.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Database Security: Parameterized queries; least-privilege DB users; separate DB credentials for e-Services; prevent SQL injection.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App uses bound queries/Query Builder in hardened paths and no runtime DDL. DB least privilege, migration reconciliation and full SQL review remain.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DBA / supplier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Server Misconfiguration: No exposed .git/info/debug files; remove phpinfo/readme/license leftovers; harden PHP app exposure.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Server webroot/source-disclosure hardening is infrastructure evidence. Repo .htaccess and .gitignore controls exist but external scan is server-owned.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3.8.1-16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Vulnerability Avoidance: No SQL Injection, XSS, CSRF, Path Traversal, RCE, File Inclusion, Brute Force, SSRF, or misconfigurations in portal workflows.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Major OWASP controls exist (CSRF, safe methods, upload containment, RBAC, nonces), but SAST/SCA/DAST/pen-test is still required.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security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3.8.1-17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Input Validation &amp; Output Encoding: Validate all form fields (gate pass, vendor, tender, PTW); sanitize/encode outputs.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Hardened controllers validate IDs/enums and escape outputs; CSV formula protection exists. Full legacy route/output review remains.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3.8.1-18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Session Management: Secure sessions per role; invalidate on logout/expiry; prevent fixation/hijacking/replay across portals.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Database sessions, regeneration, logout destruction, session-version revocation, one-time nonces and external membership confinement are implemented.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3.8.1-19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Self-host Assets: Host portal JS/CSS/fonts/images locally; minimize third-party scripts/iframes.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Core assets are local and CSP is present, but third-party/integration and inline/eval CSP inventory remains.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3.8.1-20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Regular Updates: Quarterly security patches for PHP framework/libraries/dependencies with regression checks.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CodeIgniter 4.7.4 baseline and runtime tests exist; full SBOM/SCA and quarterly patch evidence remain.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security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3.8.1-21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Firewall Protection: Align e-Services application with PODC WAF before internet exposure.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WAF/firewall is a production infrastructure control, not application code.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3.8.1-22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Backup and Restore: Automated backups of e-Services app files, uploads and databases; restore verified.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Backup/restore is production operations evidence, not application code.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 / DBA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3.8.1-23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Performance / Availability Monitoring: Monitor portal uptime and critical transaction performance (login, OTP, payment, approvals).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Uptime/APM monitoring is production operations evidence. Application logs support later monitoring.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3.8.1-24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Logging and Monitoring: Audit logs for approvals, reject/block/unblock, payments, tender downloads, bid submissions, OTP attempts.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Application audit/log redaction exists for auth/workflow/document/QR/notification paths. SIEM, retention and alert proof remain.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 / supplier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3.8.1-25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Application Hardening: Web directory not writable; disable dangerous PHP functions; no arbitrary plugin/code install from UI.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Application-side runtime install/edit operations are disabled and executable upload types are rejected. Host immutability is server evidence.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3.8.1-26a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Directory restrictions (.htaccess/nginx) for uploads, config, logs and private docs.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Directory restrictions are mainly web-server configuration. App .htaccess fallback exists; external server proof is separate.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3.8.1-26b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Security headers — HSTS, CSP, X-Content-Type-Options, X-Frame-Options, X-XSS-Protection.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Security headers/CSP are configured in app/.htaccess with duplicate-header regression tests.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3.8.1-26c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Disable unused HTTP methods; limit request size; secure cookie flags.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SafeHttpMethods, request-size limits and secure cookie settings exist at application/config level; edge server limits still verified separately.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3.8.1-26d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CSP configured for trusted sources only.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CSP exists, but legacy unsafe-inline/unsafe-eval allowances still need removal or a signed exception.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3.8.1-26e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Custom 404/403 pages with minimal disclosure.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Production error handling and forbidden/not-found routes avoid normal debug disclosure; final HTTP scan still required.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3.8.1-26f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Directory listing disabled; server signature/version hidden.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Directory listing and server banner/version hiding are server controls; app .htaccess fallback exists.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3.8.1-26g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Portal Hardening: Unused services/ports disabled on hosting environment.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Unused services/ports are server/network controls.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infra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eSvc-A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Authorization Separation: Vendors must not view other vendors’ clarifications or bids; enforce object-level authorization on all requests.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Vendor/tender object authorization and selected-CR revalidation are implemented; tests cover multi-CR and cross-company isolation.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eSvc-B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Workflow Integrity: Gate Pass / Vendor / Tender approvals must enforce step order (Dept → COM → Security → ROP etc.) and record Approver ID + Date/Time.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Gate Pass, Vendor, Tender and PTW workflows enforce stage order and record actor/time audit/history.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eSvc-C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Block/Unblock Controls: Only authorized Security/ROP roles can block/unblock; actions logged and visible in subsequent approval steps.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Block/unblock controller is permission-gated and model records actor/time/reason/history; downstream checks consume active blocks.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eSvc-D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Payment Security: Secure payment gateway integration; protect payment receipts/history; restrict access to transaction logs.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Payment is deferred for this release. Keep payment UI/routes/jobs disabled until separate activation evidence exists.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/ supplier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eSvc-E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Tender Document Controls: Paid downloads only after confirmed payment; enforce 72-hour download window; separate technical/commercial proposal submission.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Technical/commercial proposal separation is implemented. Paid download and 72-hour window remain deferred with payment activation.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eSvc-F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Sensitive Document Viewing: ID/attachments shown securely (popup for png/jpg); authorized roles only; no direct public URL guessing.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Authorized streaming/protected WRITEPATH is implemented for key flows. Historical file migration/direct-public-URL reconciliation still pending.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 / PODC infra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eSvc-G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QR Gate Pass Security: Gate pass QR uniquely tied to approved request; prevent forgery/reuse; validate at Security Officer scan.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Gate Pass QR uses CSPRNG tokens, unique index, issued-pass checks, one-time scan proof and transactional entry/exit replay prevention.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eSvc-H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Notifications Security: Action alerts must not leak sensitive data via email/SMS beyond need-to-know.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646464"/>
                <w:sz w:val="16"/>
              </w:rPr>
            </w:r>
            <w:r>
              <w:rPr>
                <w:b/>
                <w:color w:val="646464"/>
                <w:sz w:val="16"/>
              </w:rPr>
              <w:t>☒ N/A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Email/SMS notification delivery review is deferred by scope. Signed processor HMAC/nonce and payload guard are implemented.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PODC / supplier</w:t>
            </w:r>
          </w:p>
        </w:tc>
      </w:tr>
      <w:tr>
        <w:tc>
          <w:tcPr>
            <w:tcW w:type="dxa" w:w="68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eSvc-I</w:t>
            </w:r>
          </w:p>
        </w:tc>
        <w:tc>
          <w:tcPr>
            <w:tcW w:type="dxa" w:w="464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Export / Report Controls: CSV/PDF/Excel exports (reports, vendor lists, payment logs) restricted to authorized staff only.</w:t>
            </w:r>
          </w:p>
        </w:tc>
        <w:tc>
          <w:tcPr>
            <w:tcW w:type="dxa" w:w="1247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008000"/>
                <w:sz w:val="16"/>
              </w:rPr>
            </w:r>
            <w:r>
              <w:rPr>
                <w:b/>
                <w:color w:val="008000"/>
                <w:sz w:val="16"/>
              </w:rPr>
              <w:t>☑ Done</w:t>
            </w:r>
          </w:p>
        </w:tc>
        <w:tc>
          <w:tcPr>
            <w:tcW w:type="dxa" w:w="226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POD/Tender/Gate reports and CSV exports are permission-gated; CSV formula neutralization is implemented. Payment exports deferred.</w:t>
            </w:r>
          </w:p>
        </w:tc>
        <w:tc>
          <w:tcPr>
            <w:tcW w:type="dxa" w:w="113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app lead</w:t>
            </w:r>
          </w:p>
        </w:tc>
      </w:tr>
      <w:tr>
        <w:tc>
          <w:tcPr>
            <w:tcW w:type="dxa" w:w="680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7"/>
              </w:rPr>
              <w:t>eSvc-J</w:t>
            </w:r>
          </w:p>
        </w:tc>
        <w:tc>
          <w:tcPr>
            <w:tcW w:type="dxa" w:w="4649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7"/>
              </w:rPr>
              <w:t>Pre-Go-Live Security Test: Execute supplier security test scenario covering auth, uploads, payments, tender isolation, and OWASP top risks.</w:t>
            </w:r>
          </w:p>
        </w:tc>
        <w:tc>
          <w:tcPr>
            <w:tcW w:type="dxa" w:w="1247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b/>
                <w:color w:val="C07800"/>
                <w:sz w:val="16"/>
              </w:rPr>
            </w:r>
            <w:r>
              <w:rPr>
                <w:b/>
                <w:color w:val="C07800"/>
                <w:sz w:val="16"/>
              </w:rPr>
              <w:t>☐ Pending</w:t>
            </w:r>
          </w:p>
        </w:tc>
        <w:tc>
          <w:tcPr>
            <w:tcW w:type="dxa" w:w="2268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Application test scenario is prepared and source contracts are available. Independent current-release security test/retest and signatures remain.</w:t>
            </w:r>
          </w:p>
        </w:tc>
        <w:tc>
          <w:tcPr>
            <w:tcW w:type="dxa" w:w="1134"/>
            <w:shd w:fill="F3F6FB" w:val="clear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b w:val="0"/>
                <w:sz w:val="15"/>
              </w:rPr>
              <w:t>Supplier security / PODC</w:t>
            </w:r>
          </w:p>
        </w:tc>
      </w:tr>
    </w:tbl>
    <w:p>
      <w:pPr>
        <w:spacing w:before="280" w:after="120"/>
      </w:pPr>
      <w:r>
        <w:rPr>
          <w:rFonts w:ascii="Calibri" w:hAnsi="Calibri" w:eastAsia="Calibri"/>
          <w:b/>
          <w:color w:val="0B3D91"/>
          <w:sz w:val="26"/>
        </w:rPr>
        <w:t>D. Suggested Status Legend &amp; Sign-off</w:t>
      </w:r>
    </w:p>
    <w:p>
      <w:pPr>
        <w:spacing w:after="120"/>
      </w:pPr>
      <w:r>
        <w:rPr>
          <w:rFonts w:ascii="Calibri" w:hAnsi="Calibri" w:eastAsia="Calibri"/>
          <w:b/>
          <w:color w:val="374151"/>
          <w:sz w:val="19"/>
        </w:rPr>
        <w:t>☐ Pending   |   ☑ Completed / Verified   |   ☒ Not Applicable (with justification)   |   △ Partial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50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Name / Signature</w:t>
            </w:r>
          </w:p>
        </w:tc>
        <w:tc>
          <w:tcPr>
            <w:tcW w:type="dxa" w:w="3504"/>
            <w:shd w:fill="0B3D91" w:val="clear"/>
            <w:tcBorders>
              <w:top w:val="single" w:sz="6" w:space="0" w:color="0B3D91"/>
              <w:left w:val="single" w:sz="6" w:space="0" w:color="0B3D91"/>
              <w:bottom w:val="single" w:sz="6" w:space="0" w:color="0B3D91"/>
              <w:right w:val="single" w:sz="6" w:space="0" w:color="0B3D91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8"/>
              </w:rPr>
              <w:t>Supplier Security Lead</w:t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8"/>
              </w:rPr>
              <w:t>PODC Project Manager</w:t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/>
                <w:color w:val="111827"/>
                <w:sz w:val="18"/>
              </w:rPr>
              <w:t>PODC Security Team</w:t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  <w:tc>
          <w:tcPr>
            <w:tcW w:type="dxa" w:w="350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r>
              <w:rPr>
                <w:sz w:val="16"/>
              </w:rPr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</w:r>
          </w:p>
        </w:tc>
      </w:tr>
    </w:tbl>
    <w:p>
      <w:pPr>
        <w:spacing w:before="360"/>
        <w:jc w:val="center"/>
      </w:pPr>
      <w:r>
        <w:rPr>
          <w:rFonts w:ascii="Calibri" w:hAnsi="Calibri" w:eastAsia="Calibri"/>
          <w:b/>
          <w:color w:val="6B7280"/>
          <w:sz w:val="16"/>
        </w:rPr>
        <w:t>beDots LLC | Confidential | Based on PODC Annexure A §3.8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