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ENGINEERING ROADMAP</w:t>
      </w:r>
    </w:p>
    <w:p>
      <w:pPr>
        <w:pStyle w:val="FutureTitle"/>
      </w:pPr>
      <w:r>
        <w:t>FUTURE WORK</w:t>
      </w:r>
    </w:p>
    <w:p>
      <w:pPr>
        <w:pStyle w:val="FutureSubtitle"/>
      </w:pPr>
      <w:r>
        <w:t>ARM-Nator Environment &amp; Dependency Upgrade Plan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Purpose: </w:t>
      </w:r>
      <w:r>
        <w:rPr>
          <w:rFonts w:ascii="Calibri" w:hAnsi="Calibri"/>
          <w:color w:val="1F2933"/>
          <w:sz w:val="21"/>
        </w:rPr>
        <w:t>Create a safe, repeatable path for upgrading the full desktop stack.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Baseline: </w:t>
      </w:r>
      <w:r>
        <w:rPr>
          <w:rFonts w:ascii="Calibri" w:hAnsi="Calibri"/>
          <w:color w:val="1F2933"/>
          <w:sz w:val="21"/>
        </w:rPr>
        <w:t>Node 22.23.1 · pnpm 10.33.0 · Electron 41.7.2 · Angular 21.2.17 · Nx 22.7.1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Scope: </w:t>
      </w:r>
      <w:r>
        <w:rPr>
          <w:rFonts w:ascii="Calibri" w:hAnsi="Calibri"/>
          <w:color w:val="1F2933"/>
          <w:sz w:val="21"/>
        </w:rPr>
        <w:t>Development, CI, release packaging, native playback, SQLite, and application dependencies.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Prepared: </w:t>
      </w:r>
      <w:r>
        <w:rPr>
          <w:rFonts w:ascii="Calibri" w:hAnsi="Calibri"/>
          <w:color w:val="1F2933"/>
          <w:sz w:val="21"/>
        </w:rPr>
        <w:t>September 1, 2026</w:t>
      </w:r>
    </w:p>
    <w:p>
      <w:pPr>
        <w:spacing w:before="200" w:after="240"/>
        <w:pBdr>
          <w:bottom w:val="single" w:sz="12" w:space="2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pStyle w:val="TableText"/>
              <w:spacing w:after="6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Recommendation. </w:t>
            </w:r>
            <w:r>
              <w:t>Use the current SQLite ABI incident as the trigger for environment hardening, then upgrade the stack in isolated waves. Do not perform a blind all-at-once dependency update.</w:t>
            </w:r>
          </w:p>
        </w:tc>
      </w:tr>
    </w:tbl>
    <w:p>
      <w:pPr>
        <w:pStyle w:val="TableSpacer"/>
      </w:pPr>
    </w:p>
    <w:p>
      <w:pPr>
        <w:pStyle w:val="Heading1"/>
        <w:keepNext/>
      </w:pPr>
      <w:r>
        <w:t>1. Executive summary</w:t>
      </w:r>
    </w:p>
    <w:p>
      <w:pPr/>
      <w:r>
        <w:t>ARM-Nator is a desktop application with two tightly coupled worlds: an Angular renderer and an Electron backend that owns SQLite, IPC, and native media playback. The current database failure is an environment-alignment problem, not a missing data problem. A successful long-term upgrade program must therefore keep the JavaScript framework, Electron runtime, native addons, Swift/MPV toolchain, CI, and release packaging in one documented compatibility system.</w:t>
      </w:r>
    </w:p>
    <w:p>
      <w:pPr/>
      <w:r>
        <w:t>The plan below starts with reproducibility and test coverage, then moves from the runtime foundation outward. Each phase has an explicit exit gate so a regression can be isolated and rolled back without losing database data or media functionality.</w:t>
      </w:r>
    </w:p>
    <w:p>
      <w:pPr>
        <w:pStyle w:val="Heading1"/>
        <w:keepNext/>
      </w:pPr>
      <w:r>
        <w:t>2. Current baseline and upgrade surface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2232"/>
        <w:gridCol w:w="3528"/>
        <w:gridCol w:w="3600"/>
      </w:tblGrid>
      <w:tr>
        <w:trPr>
          <w:tblHeader w:val="true"/>
          <w:cantSplit w:val="true"/>
        </w:trP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Current state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Long-term target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JavaScript runtime</w:t>
            </w:r>
          </w:p>
        </w:tc>
        <w:tc>
          <w:tcPr>
            <w:tcW w:type="dxa" w:w="3528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Node 22.23.1 locally; .nvmrc and CI use floating lts/*.</w:t>
            </w:r>
          </w:p>
        </w:tc>
        <w:tc>
          <w:tcPr>
            <w:tcW w:type="dxa" w:w="360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Exact Node version pinned in local tooling, CI, and package engines.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Package management</w:t>
            </w:r>
          </w:p>
        </w:tc>
        <w:tc>
          <w:tcPr>
            <w:tcW w:type="dxa" w:w="3528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pnpm 10.33.0 is pinned through packageManager.</w:t>
            </w:r>
          </w:p>
        </w:tc>
        <w:tc>
          <w:tcPr>
            <w:tcW w:type="dxa" w:w="360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Keep exact pnpm pin; frozen-lockfile installs in every automated lane.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Desktop runtime</w:t>
            </w:r>
          </w:p>
        </w:tc>
        <w:tc>
          <w:tcPr>
            <w:tcW w:type="dxa" w:w="3528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Electron 41.7.2 with nx-electron 22.0.0 and electron-builder 26.0.12.</w:t>
            </w:r>
          </w:p>
        </w:tc>
        <w:tc>
          <w:tcPr>
            <w:tcW w:type="dxa" w:w="360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One-version-at-a-time Electron upgrades with ABI and packaging smoke tests.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Renderer</w:t>
            </w:r>
          </w:p>
        </w:tc>
        <w:tc>
          <w:tcPr>
            <w:tcW w:type="dxa" w:w="3528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Angular 21.2.17, Material 21.2.14, NgRx 21.1.1.</w:t>
            </w:r>
          </w:p>
        </w:tc>
        <w:tc>
          <w:tcPr>
            <w:tcW w:type="dxa" w:w="360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Angular packages upgraded in lockstep with supported Nx and TypeScript versions.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Database</w:t>
            </w:r>
          </w:p>
        </w:tc>
        <w:tc>
          <w:tcPr>
            <w:tcW w:type="dxa" w:w="3528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SQLite via better-sqlite3 12.9.0; DB defaults to ~/.arm-nator/databases/arm-nator.db.</w:t>
            </w:r>
          </w:p>
        </w:tc>
        <w:tc>
          <w:tcPr>
            <w:tcW w:type="dxa" w:w="360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Automatic Electron-native rebuilds plus migration and backup compatibility tests.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Native playback</w:t>
            </w:r>
          </w:p>
        </w:tc>
        <w:tc>
          <w:tcPr>
            <w:tcW w:type="dxa" w:w="3528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Embedded MPV and KSPlayer Metal addons; SwiftPM and node-gyp build steps.</w:t>
            </w:r>
          </w:p>
        </w:tc>
        <w:tc>
          <w:tcPr>
            <w:tcW w:type="dxa" w:w="360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Pinned build inputs, cache keys that include versions, and packaged-resource validation.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CI/release</w:t>
            </w:r>
          </w:p>
        </w:tc>
        <w:tc>
          <w:tcPr>
            <w:tcW w:type="dxa" w:w="3528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macOS arm64 workflows; CI uses macos-15 and floating Node LTS.</w:t>
            </w:r>
          </w:p>
        </w:tc>
        <w:tc>
          <w:tcPr>
            <w:tcW w:type="dxa" w:w="360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Reproducible clean-checkout validation and release artifacts on a documented matrix.</w:t>
            </w:r>
          </w:p>
        </w:tc>
      </w:tr>
    </w:tbl>
    <w:p>
      <w:pPr>
        <w:pStyle w:val="TableSpacer"/>
      </w:pPr>
    </w:p>
    <w:p>
      <w:pPr>
        <w:pStyle w:val="Heading1"/>
        <w:keepNext/>
      </w:pPr>
      <w:r>
        <w:t>3. Guiding principles</w:t>
      </w:r>
    </w:p>
    <w:p>
      <w:pPr>
        <w:numPr>
          <w:ilvl w:val="0"/>
          <w:numId w:val="42"/>
        </w:numPr>
      </w:pPr>
      <w:r>
        <w:rPr>
          <w:rFonts w:ascii="Calibri" w:hAnsi="Calibri"/>
          <w:b/>
          <w:color w:val="0B2545"/>
        </w:rPr>
        <w:t xml:space="preserve">Isolation. </w:t>
      </w:r>
      <w:r>
        <w:t>Upgrade one compatibility boundary at a time; do not mix Electron, Angular, Nx, and native-player majors in one change.</w:t>
      </w:r>
    </w:p>
    <w:p>
      <w:pPr>
        <w:numPr>
          <w:ilvl w:val="0"/>
          <w:numId w:val="42"/>
        </w:numPr>
      </w:pPr>
      <w:r>
        <w:rPr>
          <w:rFonts w:ascii="Calibri" w:hAnsi="Calibri"/>
          <w:b/>
          <w:color w:val="0B2545"/>
        </w:rPr>
        <w:t xml:space="preserve">Reproducibility. </w:t>
      </w:r>
      <w:r>
        <w:t>Treat the lockfile, Node version, Electron version, architecture, Xcode version, and native build outputs as one release input.</w:t>
      </w:r>
    </w:p>
    <w:p>
      <w:pPr>
        <w:numPr>
          <w:ilvl w:val="0"/>
          <w:numId w:val="42"/>
        </w:numPr>
      </w:pPr>
      <w:r>
        <w:rPr>
          <w:rFonts w:ascii="Calibri" w:hAnsi="Calibri"/>
          <w:b/>
          <w:color w:val="0B2545"/>
        </w:rPr>
        <w:t xml:space="preserve">Runtime truth. </w:t>
      </w:r>
      <w:r>
        <w:t>Test the real desktop path through Electron, not only the Angular browser path.</w:t>
      </w:r>
    </w:p>
    <w:p>
      <w:pPr>
        <w:numPr>
          <w:ilvl w:val="0"/>
          <w:numId w:val="42"/>
        </w:numPr>
      </w:pPr>
      <w:r>
        <w:rPr>
          <w:rFonts w:ascii="Calibri" w:hAnsi="Calibri"/>
          <w:b/>
          <w:color w:val="0B2545"/>
        </w:rPr>
        <w:t xml:space="preserve">Data safety. </w:t>
      </w:r>
      <w:r>
        <w:t>Use copied E2E data directories and backups for migration tests; never use a user's live database as a test fixture.</w:t>
      </w:r>
    </w:p>
    <w:p>
      <w:pPr>
        <w:numPr>
          <w:ilvl w:val="0"/>
          <w:numId w:val="42"/>
        </w:numPr>
      </w:pPr>
      <w:r>
        <w:rPr>
          <w:rFonts w:ascii="Calibri" w:hAnsi="Calibri"/>
          <w:b/>
          <w:color w:val="0B2545"/>
        </w:rPr>
        <w:t xml:space="preserve">Operability. </w:t>
      </w:r>
      <w:r>
        <w:t>Prefer automated checks and documented rollback points over manual repair instructions.</w:t>
      </w:r>
    </w:p>
    <w:p>
      <w:pPr>
        <w:pStyle w:val="Heading1"/>
        <w:keepNext/>
      </w:pPr>
      <w:r>
        <w:t>4. Staged roadmap</w:t>
      </w:r>
    </w:p>
    <w:p>
      <w:pPr>
        <w:pStyle w:val="Heading2"/>
        <w:keepNext/>
      </w:pPr>
      <w:r>
        <w:t>Phase 0 — Inventory and baseline</w:t>
      </w:r>
    </w:p>
    <w:p>
      <w:pPr/>
      <w:r>
        <w:t>Establish a known-good reference before changing versions.</w:t>
      </w:r>
    </w:p>
    <w:p>
      <w:pPr>
        <w:numPr>
          <w:ilvl w:val="0"/>
          <w:numId w:val="42"/>
        </w:numPr>
      </w:pPr>
      <w:r>
        <w:t>Record the exact Node, pnpm, Electron, Angular, Nx, TypeScript, Xcode, Swift, macOS, and architecture versions used for a clean build.</w:t>
      </w:r>
    </w:p>
    <w:p>
      <w:pPr>
        <w:numPr>
          <w:ilvl w:val="0"/>
          <w:numId w:val="42"/>
        </w:numPr>
      </w:pPr>
      <w:r>
        <w:t>Run pnpm outdated and group candidates by runtime, framework, native, UI/player, and tooling categories.</w:t>
      </w:r>
    </w:p>
    <w:p>
      <w:pPr>
        <w:numPr>
          <w:ilvl w:val="0"/>
          <w:numId w:val="42"/>
        </w:numPr>
      </w:pPr>
      <w:r>
        <w:t>Capture baseline results for pnpm dev, pnpm test, pnpm build, and pnpm package.</w:t>
      </w:r>
    </w:p>
    <w:p>
      <w:pPr>
        <w:numPr>
          <w:ilvl w:val="0"/>
          <w:numId w:val="42"/>
        </w:numPr>
      </w:pPr>
      <w:r>
        <w:t>Document the DB path, ARM_NATOR_E2E_DATA_DIR behavior, native output paths, and release artifacts.</w:t>
      </w:r>
    </w:p>
    <w:p>
      <w:pPr/>
      <w:r>
        <w:t>Exit gate: a clean checkout can reproduce the current baseline and the results are attached to the migration issue.</w:t>
      </w:r>
    </w:p>
    <w:p>
      <w:pPr>
        <w:pStyle w:val="Heading2"/>
        <w:keepNext/>
      </w:pPr>
      <w:r>
        <w:t>Phase 1 — Deterministic environments</w:t>
      </w:r>
    </w:p>
    <w:p>
      <w:pPr/>
      <w:r>
        <w:t>Remove version drift between a developer laptop, CI, and release packaging.</w:t>
      </w:r>
    </w:p>
    <w:p>
      <w:pPr>
        <w:numPr>
          <w:ilvl w:val="0"/>
          <w:numId w:val="42"/>
        </w:numPr>
      </w:pPr>
      <w:r>
        <w:t>Replace lts/* in .nvmrc and CI with an exact approved Node 22 patch version.</w:t>
      </w:r>
    </w:p>
    <w:p>
      <w:pPr>
        <w:numPr>
          <w:ilvl w:val="0"/>
          <w:numId w:val="42"/>
        </w:numPr>
      </w:pPr>
      <w:r>
        <w:t>Add a package engines constraint and a verify:environment command.</w:t>
      </w:r>
    </w:p>
    <w:p>
      <w:pPr>
        <w:numPr>
          <w:ilvl w:val="0"/>
          <w:numId w:val="42"/>
        </w:numPr>
      </w:pPr>
      <w:r>
        <w:t>Keep pnpm exact and require frozen-lockfile installs.</w:t>
      </w:r>
    </w:p>
    <w:p>
      <w:pPr>
        <w:numPr>
          <w:ilvl w:val="0"/>
          <w:numId w:val="42"/>
        </w:numPr>
      </w:pPr>
      <w:r>
        <w:t>Add cache keys that include Node, Electron, pnpm, lockfile, Xcode, and native runtime inputs.</w:t>
      </w:r>
    </w:p>
    <w:p>
      <w:pPr>
        <w:numPr>
          <w:ilvl w:val="0"/>
          <w:numId w:val="42"/>
        </w:numPr>
      </w:pPr>
      <w:r>
        <w:t>Keep pnpm's explicit native build allowlist and document why each allowed package is needed.</w:t>
      </w:r>
    </w:p>
    <w:p>
      <w:pPr/>
      <w:r>
        <w:t>Exit gate: local development, CI, and release jobs report the same supported toolchain and architecture.</w:t>
      </w:r>
    </w:p>
    <w:p>
      <w:pPr>
        <w:pStyle w:val="Heading2"/>
        <w:keepNext/>
      </w:pPr>
      <w:r>
        <w:t>Phase 2 — Native dependency lifecycle</w:t>
      </w:r>
    </w:p>
    <w:p>
      <w:pPr/>
      <w:r>
        <w:t>Make the current ABI failure impossible to miss or repeat.</w:t>
      </w:r>
    </w:p>
    <w:p>
      <w:pPr>
        <w:numPr>
          <w:ilvl w:val="0"/>
          <w:numId w:val="42"/>
        </w:numPr>
      </w:pPr>
      <w:r>
        <w:t>Run electron-builder install-app-deps after install and before development when native dependencies are stale.</w:t>
      </w:r>
    </w:p>
    <w:p>
      <w:pPr>
        <w:numPr>
          <w:ilvl w:val="0"/>
          <w:numId w:val="42"/>
        </w:numPr>
      </w:pPr>
      <w:r>
        <w:t>Rebuild better-sqlite3 for the installed Electron version, not only for the host Node runtime.</w:t>
      </w:r>
    </w:p>
    <w:p>
      <w:pPr>
        <w:numPr>
          <w:ilvl w:val="0"/>
          <w:numId w:val="42"/>
        </w:numPr>
      </w:pPr>
      <w:r>
        <w:t>Build embedded_mpv.node and ksplayer_metal.node through the same documented Electron-targeted node-gyp lane.</w:t>
      </w:r>
    </w:p>
    <w:p>
      <w:pPr>
        <w:numPr>
          <w:ilvl w:val="0"/>
          <w:numId w:val="42"/>
        </w:numPr>
      </w:pPr>
      <w:r>
        <w:t>Add an Electron startup smoke test that opens SQLite and executes DB_GET_APP_PLAYLIST_METAS.</w:t>
      </w:r>
    </w:p>
    <w:p>
      <w:pPr>
        <w:numPr>
          <w:ilvl w:val="0"/>
          <w:numId w:val="42"/>
        </w:numPr>
      </w:pPr>
      <w:r>
        <w:t>Fail fast with a clear ABI error before the UI falls back to an empty playlist state.</w:t>
      </w:r>
    </w:p>
    <w:p>
      <w:pPr/>
      <w:r>
        <w:t>Exit gate: pnpm install --frozen-lockfile followed by pnpm dev loads existing playlists without manual rebuild steps.</w:t>
      </w:r>
    </w:p>
    <w:p>
      <w:pPr>
        <w:pStyle w:val="Heading2"/>
        <w:keepNext/>
      </w:pPr>
      <w:r>
        <w:t>Phase 3 — Test and observability foundation</w:t>
      </w:r>
    </w:p>
    <w:p>
      <w:pPr/>
      <w:r>
        <w:t>Turn environment correctness into a measurable contract.</w:t>
      </w:r>
    </w:p>
    <w:p>
      <w:pPr>
        <w:numPr>
          <w:ilvl w:val="0"/>
          <w:numId w:val="42"/>
        </w:numPr>
      </w:pPr>
      <w:r>
        <w:t>Add DB open/read/write tests through the Electron bridge and database worker.</w:t>
      </w:r>
    </w:p>
    <w:p>
      <w:pPr>
        <w:numPr>
          <w:ilvl w:val="0"/>
          <w:numId w:val="42"/>
        </w:numPr>
      </w:pPr>
      <w:r>
        <w:t>Add migration tests against copied representative databases, including large content and FTS tables.</w:t>
      </w:r>
    </w:p>
    <w:p>
      <w:pPr>
        <w:numPr>
          <w:ilvl w:val="0"/>
          <w:numId w:val="42"/>
        </w:numPr>
      </w:pPr>
      <w:r>
        <w:t>Add startup traces for app path, database path, native module resolution, Electron ABI, and worker readiness.</w:t>
      </w:r>
    </w:p>
    <w:p>
      <w:pPr>
        <w:numPr>
          <w:ilvl w:val="0"/>
          <w:numId w:val="42"/>
        </w:numPr>
      </w:pPr>
      <w:r>
        <w:t>Add smoke coverage for playlist import, favorites, recently viewed items, global search, and app state.</w:t>
      </w:r>
    </w:p>
    <w:p>
      <w:pPr>
        <w:numPr>
          <w:ilvl w:val="0"/>
          <w:numId w:val="42"/>
        </w:numPr>
      </w:pPr>
      <w:r>
        <w:t>Add native-player smoke coverage for Embedded MPV and KSPlayer Metal on arm64.</w:t>
      </w:r>
    </w:p>
    <w:p>
      <w:pPr/>
      <w:r>
        <w:t>Exit gate: a failed native module or database initialization produces a failing test and actionable log, not an apparently empty app.</w:t>
      </w:r>
    </w:p>
    <w:p>
      <w:pPr>
        <w:pStyle w:val="Heading2"/>
        <w:keepNext/>
      </w:pPr>
      <w:r>
        <w:t>Phase 4 — Electron and native runtime upgrades</w:t>
      </w:r>
    </w:p>
    <w:p>
      <w:pPr/>
      <w:r>
        <w:t>Upgrade the desktop runtime before changing the Angular application framework.</w:t>
      </w:r>
    </w:p>
    <w:p>
      <w:pPr>
        <w:numPr>
          <w:ilvl w:val="0"/>
          <w:numId w:val="42"/>
        </w:numPr>
      </w:pPr>
      <w:r>
        <w:t>Move Electron one supported major at a time and review its bundled Node ABI and Chromium changes.</w:t>
      </w:r>
    </w:p>
    <w:p>
      <w:pPr>
        <w:numPr>
          <w:ilvl w:val="0"/>
          <w:numId w:val="42"/>
        </w:numPr>
      </w:pPr>
      <w:r>
        <w:t>Update nx-electron and electron-builder only as required by the selected Electron version.</w:t>
      </w:r>
    </w:p>
    <w:p>
      <w:pPr>
        <w:numPr>
          <w:ilvl w:val="0"/>
          <w:numId w:val="42"/>
        </w:numPr>
      </w:pPr>
      <w:r>
        <w:t>Rebuild and test better-sqlite3, embedded MPV, and KSPlayer after every Electron change.</w:t>
      </w:r>
    </w:p>
    <w:p>
      <w:pPr>
        <w:numPr>
          <w:ilvl w:val="0"/>
          <w:numId w:val="42"/>
        </w:numPr>
      </w:pPr>
      <w:r>
        <w:t>Revalidate BrowserView, preload, IPC, Web API, GPU, Metal, and external-player behavior.</w:t>
      </w:r>
    </w:p>
    <w:p>
      <w:pPr>
        <w:numPr>
          <w:ilvl w:val="0"/>
          <w:numId w:val="42"/>
        </w:numPr>
      </w:pPr>
      <w:r>
        <w:t>Package a signed arm64 app and validate asar-unpacked native resources and runtime manifests.</w:t>
      </w:r>
    </w:p>
    <w:p>
      <w:pPr/>
      <w:r>
        <w:t>Exit gate: the packaged app opens the existing database, loads playlists, and passes playback smoke tests on a clean macOS arm64 runner.</w:t>
      </w:r>
    </w:p>
    <w:p>
      <w:pPr>
        <w:pStyle w:val="Heading2"/>
        <w:keepNext/>
      </w:pPr>
      <w:r>
        <w:t>Phase 5 — Angular, Nx, and TypeScript upgrades</w:t>
      </w:r>
    </w:p>
    <w:p>
      <w:pPr/>
      <w:r>
        <w:t>Upgrade the renderer and build graph as a compatible framework set.</w:t>
      </w:r>
    </w:p>
    <w:p>
      <w:pPr>
        <w:numPr>
          <w:ilvl w:val="0"/>
          <w:numId w:val="42"/>
        </w:numPr>
      </w:pPr>
      <w:r>
        <w:t>Use Nx migrations for Nx and nx-electron changes; do not hand-edit generated migration effects without review.</w:t>
      </w:r>
    </w:p>
    <w:p>
      <w:pPr>
        <w:numPr>
          <w:ilvl w:val="0"/>
          <w:numId w:val="42"/>
        </w:numPr>
      </w:pPr>
      <w:r>
        <w:t>Upgrade Angular core, CLI, compiler, build, Material, ESLint integration, and schematics in lockstep.</w:t>
      </w:r>
    </w:p>
    <w:p>
      <w:pPr>
        <w:numPr>
          <w:ilvl w:val="0"/>
          <w:numId w:val="42"/>
        </w:numPr>
      </w:pPr>
      <w:r>
        <w:t>Upgrade TypeScript, Jest, SWC, esbuild, and ESLint only within the selected Angular/Nx compatibility window.</w:t>
      </w:r>
    </w:p>
    <w:p>
      <w:pPr>
        <w:numPr>
          <w:ilvl w:val="0"/>
          <w:numId w:val="42"/>
        </w:numPr>
      </w:pPr>
      <w:r>
        <w:t>Verify the dev server, production build, route behavior, environment file replacements, and Electron bridge typing.</w:t>
      </w:r>
    </w:p>
    <w:p>
      <w:pPr>
        <w:numPr>
          <w:ilvl w:val="0"/>
          <w:numId w:val="42"/>
        </w:numPr>
      </w:pPr>
      <w:r>
        <w:t>Review CommonJS allowlists and bundle budgets after each renderer upgrade.</w:t>
      </w:r>
    </w:p>
    <w:p>
      <w:pPr/>
      <w:r>
        <w:t>Exit gate: Angular development and production builds are clean, tests pass, and the Electron window renders all workspace routes.</w:t>
      </w:r>
    </w:p>
    <w:p>
      <w:pPr>
        <w:pStyle w:val="Heading2"/>
        <w:keepNext/>
      </w:pPr>
      <w:r>
        <w:t>Phase 6 — Application libraries and SQLite strategy</w:t>
      </w:r>
    </w:p>
    <w:p>
      <w:pPr/>
      <w:r>
        <w:t>Refresh the remaining dependencies after the platform is stable.</w:t>
      </w:r>
    </w:p>
    <w:p>
      <w:pPr>
        <w:numPr>
          <w:ilvl w:val="0"/>
          <w:numId w:val="42"/>
        </w:numPr>
      </w:pPr>
      <w:r>
        <w:t>Update NgRx, RxJS, player libraries, HTTP clients, translation libraries, and UI utilities in small grouped changes.</w:t>
      </w:r>
    </w:p>
    <w:p>
      <w:pPr>
        <w:numPr>
          <w:ilvl w:val="0"/>
          <w:numId w:val="42"/>
        </w:numPr>
      </w:pPr>
      <w:r>
        <w:t>Review breaking changes against the app's provider, playlist, search, and playback contracts.</w:t>
      </w:r>
    </w:p>
    <w:p>
      <w:pPr>
        <w:numPr>
          <w:ilvl w:val="0"/>
          <w:numId w:val="42"/>
        </w:numPr>
      </w:pPr>
      <w:r>
        <w:t>Keep better-sqlite3 if automated rebuilds are reliable and performance remains appropriate for the catalog workload.</w:t>
      </w:r>
    </w:p>
    <w:p>
      <w:pPr>
        <w:numPr>
          <w:ilvl w:val="0"/>
          <w:numId w:val="42"/>
        </w:numPr>
      </w:pPr>
      <w:r>
        <w:t>Only prototype an N-API or WASM SQLite driver if native rebuild maintenance remains a recurring operational problem.</w:t>
      </w:r>
    </w:p>
    <w:p>
      <w:pPr>
        <w:numPr>
          <w:ilvl w:val="0"/>
          <w:numId w:val="42"/>
        </w:numPr>
      </w:pPr>
      <w:r>
        <w:t>Benchmark startup, import, FTS search, memory, and database migration behavior before considering a driver replacement.</w:t>
      </w:r>
    </w:p>
    <w:p>
      <w:pPr/>
      <w:r>
        <w:t>Exit gate: dependency updates do not change user-visible playlist, search, favorites, or playback semantics without an explicit product decision.</w:t>
      </w:r>
    </w:p>
    <w:p>
      <w:pPr>
        <w:pStyle w:val="Heading2"/>
        <w:keepNext/>
      </w:pPr>
      <w:r>
        <w:t>Phase 7 — Data migrations and release safety</w:t>
      </w:r>
    </w:p>
    <w:p>
      <w:pPr/>
      <w:r>
        <w:t>Make schema evolution safe across future versions.</w:t>
      </w:r>
    </w:p>
    <w:p>
      <w:pPr>
        <w:numPr>
          <w:ilvl w:val="0"/>
          <w:numId w:val="42"/>
        </w:numPr>
      </w:pPr>
      <w:r>
        <w:t>Maintain forward-only, idempotent migrations with a migration ledger and clear logging.</w:t>
      </w:r>
    </w:p>
    <w:p>
      <w:pPr>
        <w:numPr>
          <w:ilvl w:val="0"/>
          <w:numId w:val="42"/>
        </w:numPr>
      </w:pPr>
      <w:r>
        <w:t>Test upgrades from a real legacy database copy, not only an empty database.</w:t>
      </w:r>
    </w:p>
    <w:p>
      <w:pPr>
        <w:numPr>
          <w:ilvl w:val="0"/>
          <w:numId w:val="42"/>
        </w:numPr>
      </w:pPr>
      <w:r>
        <w:t>Add backup/restore verification before destructive schema or content changes.</w:t>
      </w:r>
    </w:p>
    <w:p>
      <w:pPr>
        <w:numPr>
          <w:ilvl w:val="0"/>
          <w:numId w:val="42"/>
        </w:numPr>
      </w:pPr>
      <w:r>
        <w:t>Keep data-directory changes explicit and never silently create a second database because of an environment mismatch.</w:t>
      </w:r>
    </w:p>
    <w:p>
      <w:pPr>
        <w:numPr>
          <w:ilvl w:val="0"/>
          <w:numId w:val="42"/>
        </w:numPr>
      </w:pPr>
      <w:r>
        <w:t>Document rollback limits: application rollback is safe only when the database schema remains readable by the older version.</w:t>
      </w:r>
    </w:p>
    <w:p>
      <w:pPr/>
      <w:r>
        <w:t>Exit gate: a representative existing database survives the upgrade, opens in the new app, and can be restored from backup.</w:t>
      </w:r>
    </w:p>
    <w:p>
      <w:pPr>
        <w:pStyle w:val="Heading2"/>
        <w:keepNext/>
      </w:pPr>
      <w:r>
        <w:t>Phase 8 — CI, release, and maintenance cadence</w:t>
      </w:r>
    </w:p>
    <w:p>
      <w:pPr/>
      <w:r>
        <w:t>Make the upgrade program sustainable after the initial migration.</w:t>
      </w:r>
    </w:p>
    <w:p>
      <w:pPr>
        <w:numPr>
          <w:ilvl w:val="0"/>
          <w:numId w:val="42"/>
        </w:numPr>
      </w:pPr>
      <w:r>
        <w:t>Use exact Node and pnpm versions in CI and include environment diagnostics in failed job artifacts.</w:t>
      </w:r>
    </w:p>
    <w:p>
      <w:pPr>
        <w:numPr>
          <w:ilvl w:val="0"/>
          <w:numId w:val="42"/>
        </w:numPr>
      </w:pPr>
      <w:r>
        <w:t>Separate lint/test/build validation from the heavier native and packaging lanes, while keeping a clean-checkout release job.</w:t>
      </w:r>
    </w:p>
    <w:p>
      <w:pPr>
        <w:numPr>
          <w:ilvl w:val="0"/>
          <w:numId w:val="42"/>
        </w:numPr>
      </w:pPr>
      <w:r>
        <w:t>Run security/patch updates continuously, minor updates monthly, and major runtime/framework updates as planned migrations.</w:t>
      </w:r>
    </w:p>
    <w:p>
      <w:pPr>
        <w:numPr>
          <w:ilvl w:val="0"/>
          <w:numId w:val="42"/>
        </w:numPr>
      </w:pPr>
      <w:r>
        <w:t>Use grouped dependency PRs with mandatory smoke tests; never auto-merge Electron or native dependency majors.</w:t>
      </w:r>
    </w:p>
    <w:p>
      <w:pPr>
        <w:numPr>
          <w:ilvl w:val="0"/>
          <w:numId w:val="42"/>
        </w:numPr>
      </w:pPr>
      <w:r>
        <w:t>Maintain an upgrade compatibility matrix and a short rollback note for each major runtime change.</w:t>
      </w:r>
    </w:p>
    <w:p>
      <w:pPr/>
      <w:r>
        <w:t>Exit gate: a maintainer can perform the next upgrade from the documented procedure without rediscovering the ABI, database-path, or packaging traps.</w:t>
      </w:r>
    </w:p>
    <w:p>
      <w:pPr>
        <w:pStyle w:val="Heading1"/>
        <w:keepNext/>
      </w:pPr>
      <w:r>
        <w:t>5. Recommended dependency update order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720"/>
        <w:gridCol w:w="2808"/>
        <w:gridCol w:w="5832"/>
      </w:tblGrid>
      <w:tr>
        <w:trPr>
          <w:tblHeader w:val="true"/>
          <w:cantSplit w:val="true"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Order</w:t>
            </w:r>
          </w:p>
        </w:tc>
        <w:tc>
          <w:tcPr>
            <w:tcW w:type="dxa" w:w="28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Dependency group</w:t>
            </w:r>
          </w:p>
        </w:tc>
        <w:tc>
          <w:tcPr>
            <w:tcW w:type="dxa" w:w="58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Why this order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1</w:t>
            </w:r>
          </w:p>
        </w:tc>
        <w:tc>
          <w:tcPr>
            <w:tcW w:type="dxa" w:w="2808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Node, pnpm, package-manager tooling</w:t>
            </w:r>
          </w:p>
        </w:tc>
        <w:tc>
          <w:tcPr>
            <w:tcW w:type="dxa" w:w="5832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Removes local/CI drift and establishes a stable host build environment.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2</w:t>
            </w:r>
          </w:p>
        </w:tc>
        <w:tc>
          <w:tcPr>
            <w:tcW w:type="dxa" w:w="2808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Electron, nx-electron, Electron Builder</w:t>
            </w:r>
          </w:p>
        </w:tc>
        <w:tc>
          <w:tcPr>
            <w:tcW w:type="dxa" w:w="5832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Defines the runtime ABI that every native addon must target.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3</w:t>
            </w:r>
          </w:p>
        </w:tc>
        <w:tc>
          <w:tcPr>
            <w:tcW w:type="dxa" w:w="2808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better-sqlite3, node-gyp, MPV, KSPlayer</w:t>
            </w:r>
          </w:p>
        </w:tc>
        <w:tc>
          <w:tcPr>
            <w:tcW w:type="dxa" w:w="5832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Rebuilds and validates the native boundary before framework changes.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4</w:t>
            </w:r>
          </w:p>
        </w:tc>
        <w:tc>
          <w:tcPr>
            <w:tcW w:type="dxa" w:w="2808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Nx, Angular CLI/build, Angular, Material, NgRx</w:t>
            </w:r>
          </w:p>
        </w:tc>
        <w:tc>
          <w:tcPr>
            <w:tcW w:type="dxa" w:w="5832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Keeps the renderer and workspace migrations coherent.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5</w:t>
            </w:r>
          </w:p>
        </w:tc>
        <w:tc>
          <w:tcPr>
            <w:tcW w:type="dxa" w:w="2808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TypeScript, ESLint, Jest, SWC, esbuild</w:t>
            </w:r>
          </w:p>
        </w:tc>
        <w:tc>
          <w:tcPr>
            <w:tcW w:type="dxa" w:w="5832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Aligns tooling after the framework migration has settled.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6</w:t>
            </w:r>
          </w:p>
        </w:tc>
        <w:tc>
          <w:tcPr>
            <w:tcW w:type="dxa" w:w="2808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Player, HTTP, translation, and utility libraries</w:t>
            </w:r>
          </w:p>
        </w:tc>
        <w:tc>
          <w:tcPr>
            <w:tcW w:type="dxa" w:w="5832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Limits application-level regressions to focused, reviewable groups.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7</w:t>
            </w:r>
          </w:p>
        </w:tc>
        <w:tc>
          <w:tcPr>
            <w:tcW w:type="dxa" w:w="2808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Transitive/security updates</w:t>
            </w:r>
          </w:p>
        </w:tc>
        <w:tc>
          <w:tcPr>
            <w:tcW w:type="dxa" w:w="5832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Cleans up remaining drift after compatibility-sensitive work is complete.</w:t>
            </w:r>
          </w:p>
        </w:tc>
      </w:tr>
    </w:tbl>
    <w:p>
      <w:pPr>
        <w:pStyle w:val="TableSpacer"/>
      </w:pPr>
    </w:p>
    <w:p>
      <w:pPr>
        <w:pStyle w:val="Heading1"/>
        <w:keepNext/>
      </w:pPr>
      <w:r>
        <w:t>6. Upgrade gates and rollback</w:t>
      </w:r>
    </w:p>
    <w:p>
      <w:pPr>
        <w:numPr>
          <w:ilvl w:val="0"/>
          <w:numId w:val="43"/>
        </w:numPr>
      </w:pPr>
      <w:r>
        <w:rPr>
          <w:rFonts w:ascii="Calibri" w:hAnsi="Calibri"/>
          <w:b/>
          <w:color w:val="0B2545"/>
        </w:rPr>
        <w:t xml:space="preserve">Gate 1. </w:t>
      </w:r>
      <w:r>
        <w:t>Create a migration branch from the known-good baseline and save the current lockfile and build results.</w:t>
      </w:r>
    </w:p>
    <w:p>
      <w:pPr>
        <w:numPr>
          <w:ilvl w:val="0"/>
          <w:numId w:val="43"/>
        </w:numPr>
      </w:pPr>
      <w:r>
        <w:rPr>
          <w:rFonts w:ascii="Calibri" w:hAnsi="Calibri"/>
          <w:b/>
          <w:color w:val="0B2545"/>
        </w:rPr>
        <w:t xml:space="preserve">Gate 2. </w:t>
      </w:r>
      <w:r>
        <w:t>After each dependency group, run the relevant focused tests before moving to the next group.</w:t>
      </w:r>
    </w:p>
    <w:p>
      <w:pPr>
        <w:numPr>
          <w:ilvl w:val="0"/>
          <w:numId w:val="43"/>
        </w:numPr>
      </w:pPr>
      <w:r>
        <w:rPr>
          <w:rFonts w:ascii="Calibri" w:hAnsi="Calibri"/>
          <w:b/>
          <w:color w:val="0B2545"/>
        </w:rPr>
        <w:t xml:space="preserve">Gate 3. </w:t>
      </w:r>
      <w:r>
        <w:t>Do not accept a green Angular build if the Electron DB smoke test or native-player checks fail.</w:t>
      </w:r>
    </w:p>
    <w:p>
      <w:pPr>
        <w:numPr>
          <w:ilvl w:val="0"/>
          <w:numId w:val="43"/>
        </w:numPr>
      </w:pPr>
      <w:r>
        <w:rPr>
          <w:rFonts w:ascii="Calibri" w:hAnsi="Calibri"/>
          <w:b/>
          <w:color w:val="0B2545"/>
        </w:rPr>
        <w:t xml:space="preserve">Gate 4. </w:t>
      </w:r>
      <w:r>
        <w:t>Keep the previous packaged app and database backup available until the new release passes real-data verification.</w:t>
      </w:r>
    </w:p>
    <w:p>
      <w:pPr>
        <w:numPr>
          <w:ilvl w:val="0"/>
          <w:numId w:val="43"/>
        </w:numPr>
      </w:pPr>
      <w:r>
        <w:rPr>
          <w:rFonts w:ascii="Calibri" w:hAnsi="Calibri"/>
          <w:b/>
          <w:color w:val="0B2545"/>
        </w:rPr>
        <w:t xml:space="preserve">Gate 5. </w:t>
      </w:r>
      <w:r>
        <w:t>If a phase fails, revert that phase only; do not reset unrelated user data or delete the live database.</w:t>
      </w:r>
    </w:p>
    <w:p>
      <w:pPr>
        <w:pStyle w:val="Heading1"/>
        <w:keepNext/>
      </w:pPr>
      <w:r>
        <w:t>7. Future-work backlog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1080"/>
        <w:gridCol w:w="3600"/>
        <w:gridCol w:w="4680"/>
      </w:tblGrid>
      <w:tr>
        <w:trPr>
          <w:tblHeader w:val="true"/>
          <w:cantSplit w:val="true"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Work item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Definition of done</w:t>
            </w:r>
          </w:p>
        </w:tc>
      </w:tr>
      <w:tr>
        <w:trPr>
          <w:cantSplit w:val="true"/>
        </w:trPr>
        <w:tc>
          <w:tcPr>
            <w:tcW w:type="dxa" w:w="108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UPG-001</w:t>
            </w:r>
          </w:p>
        </w:tc>
        <w:tc>
          <w:tcPr>
            <w:tcW w:type="dxa" w:w="360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Pin Node and CI environment</w:t>
            </w:r>
          </w:p>
        </w:tc>
        <w:tc>
          <w:tcPr>
            <w:tcW w:type="dxa" w:w="468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Exact Node version is shared by .nvmrc, package engines, CI, and documentation.</w:t>
            </w:r>
          </w:p>
        </w:tc>
      </w:tr>
      <w:tr>
        <w:trPr>
          <w:cantSplit w:val="true"/>
        </w:trPr>
        <w:tc>
          <w:tcPr>
            <w:tcW w:type="dxa" w:w="108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UPG-002</w:t>
            </w:r>
          </w:p>
        </w:tc>
        <w:tc>
          <w:tcPr>
            <w:tcW w:type="dxa" w:w="360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Automate Electron native rebuilds</w:t>
            </w:r>
          </w:p>
        </w:tc>
        <w:tc>
          <w:tcPr>
            <w:tcW w:type="dxa" w:w="468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Fresh install and dev launch rebuild/validate better-sqlite3 automatically.</w:t>
            </w:r>
          </w:p>
        </w:tc>
      </w:tr>
      <w:tr>
        <w:trPr>
          <w:cantSplit w:val="true"/>
        </w:trPr>
        <w:tc>
          <w:tcPr>
            <w:tcW w:type="dxa" w:w="108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UPG-003</w:t>
            </w:r>
          </w:p>
        </w:tc>
        <w:tc>
          <w:tcPr>
            <w:tcW w:type="dxa" w:w="360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Add environment doctor</w:t>
            </w:r>
          </w:p>
        </w:tc>
        <w:tc>
          <w:tcPr>
            <w:tcW w:type="dxa" w:w="468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One command reports versions, architecture, ABI, toolchain, and native outputs.</w:t>
            </w:r>
          </w:p>
        </w:tc>
      </w:tr>
      <w:tr>
        <w:trPr>
          <w:cantSplit w:val="true"/>
        </w:trPr>
        <w:tc>
          <w:tcPr>
            <w:tcW w:type="dxa" w:w="108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UPG-004</w:t>
            </w:r>
          </w:p>
        </w:tc>
        <w:tc>
          <w:tcPr>
            <w:tcW w:type="dxa" w:w="360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Add Electron DB smoke test</w:t>
            </w:r>
          </w:p>
        </w:tc>
        <w:tc>
          <w:tcPr>
            <w:tcW w:type="dxa" w:w="468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The test opens SQLite through the worker and reads playlist metadata.</w:t>
            </w:r>
          </w:p>
        </w:tc>
      </w:tr>
      <w:tr>
        <w:trPr>
          <w:cantSplit w:val="true"/>
        </w:trPr>
        <w:tc>
          <w:tcPr>
            <w:tcW w:type="dxa" w:w="108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UPG-005</w:t>
            </w:r>
          </w:p>
        </w:tc>
        <w:tc>
          <w:tcPr>
            <w:tcW w:type="dxa" w:w="360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Add native playback smoke lane</w:t>
            </w:r>
          </w:p>
        </w:tc>
        <w:tc>
          <w:tcPr>
            <w:tcW w:type="dxa" w:w="468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Embedded MPV and KSPlayer pass on clean macOS arm64 CI.</w:t>
            </w:r>
          </w:p>
        </w:tc>
      </w:tr>
      <w:tr>
        <w:trPr>
          <w:cantSplit w:val="true"/>
        </w:trPr>
        <w:tc>
          <w:tcPr>
            <w:tcW w:type="dxa" w:w="108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UPG-006</w:t>
            </w:r>
          </w:p>
        </w:tc>
        <w:tc>
          <w:tcPr>
            <w:tcW w:type="dxa" w:w="360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Upgrade Electron in isolation</w:t>
            </w:r>
          </w:p>
        </w:tc>
        <w:tc>
          <w:tcPr>
            <w:tcW w:type="dxa" w:w="468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One Electron major upgrade passes startup, DB, playback, and packaging gates.</w:t>
            </w:r>
          </w:p>
        </w:tc>
      </w:tr>
      <w:tr>
        <w:trPr>
          <w:cantSplit w:val="true"/>
        </w:trPr>
        <w:tc>
          <w:tcPr>
            <w:tcW w:type="dxa" w:w="108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UPG-007</w:t>
            </w:r>
          </w:p>
        </w:tc>
        <w:tc>
          <w:tcPr>
            <w:tcW w:type="dxa" w:w="360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Upgrade Angular/Nx in isolation</w:t>
            </w:r>
          </w:p>
        </w:tc>
        <w:tc>
          <w:tcPr>
            <w:tcW w:type="dxa" w:w="468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Renderer and workspace migrations pass build, lint, test, and route checks.</w:t>
            </w:r>
          </w:p>
        </w:tc>
      </w:tr>
      <w:tr>
        <w:trPr>
          <w:cantSplit w:val="true"/>
        </w:trPr>
        <w:tc>
          <w:tcPr>
            <w:tcW w:type="dxa" w:w="108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UPG-008</w:t>
            </w:r>
          </w:p>
        </w:tc>
        <w:tc>
          <w:tcPr>
            <w:tcW w:type="dxa" w:w="360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Evaluate SQLite driver options</w:t>
            </w:r>
          </w:p>
        </w:tc>
        <w:tc>
          <w:tcPr>
            <w:tcW w:type="dxa" w:w="468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A benchmark report compares better-sqlite3 with N-API/WASM alternatives.</w:t>
            </w:r>
          </w:p>
        </w:tc>
      </w:tr>
      <w:tr>
        <w:trPr>
          <w:cantSplit w:val="true"/>
        </w:trPr>
        <w:tc>
          <w:tcPr>
            <w:tcW w:type="dxa" w:w="108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UPG-009</w:t>
            </w:r>
          </w:p>
        </w:tc>
        <w:tc>
          <w:tcPr>
            <w:tcW w:type="dxa" w:w="360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Document data migration policy</w:t>
            </w:r>
          </w:p>
        </w:tc>
        <w:tc>
          <w:tcPr>
            <w:tcW w:type="dxa" w:w="468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Backup, migration, rollback, and compatibility rules are explicit.</w:t>
            </w:r>
          </w:p>
        </w:tc>
      </w:tr>
      <w:tr>
        <w:trPr>
          <w:cantSplit w:val="true"/>
        </w:trPr>
        <w:tc>
          <w:tcPr>
            <w:tcW w:type="dxa" w:w="108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UPG-010</w:t>
            </w:r>
          </w:p>
        </w:tc>
        <w:tc>
          <w:tcPr>
            <w:tcW w:type="dxa" w:w="360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Establish maintenance cadence</w:t>
            </w:r>
          </w:p>
        </w:tc>
        <w:tc>
          <w:tcPr>
            <w:tcW w:type="dxa" w:w="468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Patch/minor/major update policy and ownership are documented.</w:t>
            </w:r>
          </w:p>
        </w:tc>
      </w:tr>
    </w:tbl>
    <w:p>
      <w:pPr>
        <w:pStyle w:val="TableSpacer"/>
      </w:pPr>
    </w:p>
    <w:p>
      <w:pPr>
        <w:pStyle w:val="Heading1"/>
        <w:keepNext/>
      </w:pPr>
      <w:r>
        <w:t>8. Definition of success</w:t>
      </w:r>
    </w:p>
    <w:p>
      <w:pPr>
        <w:numPr>
          <w:ilvl w:val="0"/>
          <w:numId w:val="42"/>
        </w:numPr>
      </w:pPr>
      <w:r>
        <w:t>A new developer can clone the repository, install with the documented command, and launch Electron without manual native repair.</w:t>
      </w:r>
    </w:p>
    <w:p>
      <w:pPr>
        <w:numPr>
          <w:ilvl w:val="0"/>
          <w:numId w:val="42"/>
        </w:numPr>
      </w:pPr>
      <w:r>
        <w:t>The app opens the existing SQLite database and displays playlists instead of silently showing an empty state.</w:t>
      </w:r>
    </w:p>
    <w:p>
      <w:pPr>
        <w:numPr>
          <w:ilvl w:val="0"/>
          <w:numId w:val="42"/>
        </w:numPr>
      </w:pPr>
      <w:r>
        <w:t>CI, local development, and release packaging use a documented, reproducible toolchain.</w:t>
      </w:r>
    </w:p>
    <w:p>
      <w:pPr>
        <w:numPr>
          <w:ilvl w:val="0"/>
          <w:numId w:val="42"/>
        </w:numPr>
      </w:pPr>
      <w:r>
        <w:t>Electron, Angular, Nx, native media, and database changes can be upgraded independently with clear gates.</w:t>
      </w:r>
    </w:p>
    <w:p>
      <w:pPr>
        <w:numPr>
          <w:ilvl w:val="0"/>
          <w:numId w:val="42"/>
        </w:numPr>
      </w:pPr>
      <w:r>
        <w:t>Real user data remains protected by backup, copied migration fixtures, and explicit rollback notes.</w:t>
      </w:r>
    </w:p>
    <w:p>
      <w:r>
        <w:br w:type="page"/>
      </w:r>
    </w:p>
    <w:p>
      <w:pPr>
        <w:pStyle w:val="Heading1"/>
        <w:keepNext/>
      </w:pPr>
      <w:r>
        <w:t>Appendix — Key project locations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2160"/>
        <w:gridCol w:w="7200"/>
      </w:tblGrid>
      <w:tr>
        <w:trPr>
          <w:tblHeader w:val="true"/>
          <w:cantSplit w:val="true"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Concern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Project location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Angular renderer</w:t>
            </w:r>
          </w:p>
        </w:tc>
        <w:tc>
          <w:tcPr>
            <w:tcW w:type="dxa" w:w="720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apps/desktop-ui/src and apps/desktop-ui/project.json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Electron backend</w:t>
            </w:r>
          </w:p>
        </w:tc>
        <w:tc>
          <w:tcPr>
            <w:tcW w:type="dxa" w:w="720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apps/electron-backend/src and apps/electron-backend/project.json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SQLite path and connection</w:t>
            </w:r>
          </w:p>
        </w:tc>
        <w:tc>
          <w:tcPr>
            <w:tcW w:type="dxa" w:w="720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libs/database/src/lib/path-utils.ts and connection.ts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Database worker</w:t>
            </w:r>
          </w:p>
        </w:tc>
        <w:tc>
          <w:tcPr>
            <w:tcW w:type="dxa" w:w="720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apps/electron-backend/src/app/workers/database.worker-connection.ts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Dependency versions</w:t>
            </w:r>
          </w:p>
        </w:tc>
        <w:tc>
          <w:tcPr>
            <w:tcW w:type="dxa" w:w="720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package.json and pnpm-lock.yaml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Native packaging</w:t>
            </w:r>
          </w:p>
        </w:tc>
        <w:tc>
          <w:tcPr>
            <w:tcW w:type="dxa" w:w="720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electron-builder.json and tools/packaging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CI/release</w:t>
            </w:r>
          </w:p>
        </w:tc>
        <w:tc>
          <w:tcPr>
            <w:tcW w:type="dxa" w:w="720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.github/workflows/ci.yml and release.yml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Angular environments</w:t>
            </w:r>
          </w:p>
        </w:tc>
        <w:tc>
          <w:tcPr>
            <w:tcW w:type="dxa" w:w="7200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apps/desktop-ui/src/environments/environment.ts and environment.prod.ts</w:t>
            </w:r>
          </w:p>
        </w:tc>
      </w:tr>
    </w:tbl>
    <w:p>
      <w:pPr>
        <w:pStyle w:val="TableSpacer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tblLayout w:type="fixed"/>
      <w:tblLook w:firstColumn="1" w:firstRow="1" w:lastColumn="0" w:lastRow="0" w:noHBand="0" w:noVBand="1" w:val="04A0"/>
      <w:jc w:val="left"/>
      <w:tblBorders>
        <w:top w:val="nil"/>
        <w:left w:val="nil"/>
        <w:bottom w:val="nil"/>
        <w:right w:val="nil"/>
        <w:insideH w:val="nil"/>
        <w:insideV w:val="nil"/>
      </w:tblBorders>
      <w:tblInd w:w="0" w:type="dxa"/>
    </w:tblPr>
    <w:tblGrid>
      <w:gridCol w:w="4680"/>
      <w:gridCol w:w="4680"/>
    </w:tblGrid>
    <w:tr>
      <w:tc>
        <w:tcPr>
          <w:tcW w:type="dxa" w:w="4680"/>
          <w:tcMar>
            <w:top w:w="80" w:type="dxa"/>
            <w:bottom w:w="80" w:type="dxa"/>
            <w:start w:w="120" w:type="dxa"/>
            <w:end w:w="120" w:type="dxa"/>
          </w:tcMar>
          <w:vAlign w:val="center"/>
        </w:tcPr>
        <w:p>
          <w:pPr>
            <w:spacing w:after="0"/>
          </w:pPr>
          <w:r>
            <w:rPr>
              <w:rFonts w:ascii="Calibri" w:hAnsi="Calibri"/>
              <w:color w:val="5B6573"/>
              <w:sz w:val="18"/>
            </w:rPr>
            <w:t>Internal planning document</w:t>
          </w:r>
        </w:p>
      </w:tc>
      <w:tc>
        <w:tcPr>
          <w:tcW w:type="dxa" w:w="4680"/>
          <w:tcMar>
            <w:top w:w="80" w:type="dxa"/>
            <w:bottom w:w="80" w:type="dxa"/>
            <w:start w:w="120" w:type="dxa"/>
            <w:end w:w="12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Calibri" w:hAnsi="Calibri"/>
              <w:color w:val="5B6573"/>
              <w:sz w:val="18"/>
            </w:rPr>
            <w:t xml:space="preserve">Page </w:t>
          </w:r>
          <w:r>
            <w:rPr>
              <w:rFonts w:ascii="Calibri" w:hAnsi="Calibri"/>
              <w:color w:val="5B6573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tblLayout w:type="fixed"/>
      <w:tblLook w:firstColumn="1" w:firstRow="1" w:lastColumn="0" w:lastRow="0" w:noHBand="0" w:noVBand="1" w:val="04A0"/>
      <w:jc w:val="left"/>
      <w:tblBorders>
        <w:top w:val="nil"/>
        <w:left w:val="nil"/>
        <w:bottom w:val="nil"/>
        <w:right w:val="nil"/>
        <w:insideH w:val="nil"/>
        <w:insideV w:val="nil"/>
      </w:tblBorders>
      <w:tblInd w:w="0" w:type="dxa"/>
    </w:tblPr>
    <w:tblGrid>
      <w:gridCol w:w="4680"/>
      <w:gridCol w:w="4680"/>
    </w:tblGrid>
    <w:tr>
      <w:tc>
        <w:tcPr>
          <w:tcW w:type="dxa" w:w="4680"/>
          <w:tcMar>
            <w:top w:w="80" w:type="dxa"/>
            <w:bottom w:w="80" w:type="dxa"/>
            <w:start w:w="120" w:type="dxa"/>
            <w:end w:w="120" w:type="dxa"/>
          </w:tcMar>
          <w:vAlign w:val="center"/>
        </w:tcPr>
        <w:p>
          <w:pPr>
            <w:spacing w:after="0"/>
          </w:pPr>
          <w:r>
            <w:rPr>
              <w:rFonts w:ascii="Calibri" w:hAnsi="Calibri"/>
              <w:b/>
              <w:color w:val="2E74B5"/>
              <w:sz w:val="18"/>
            </w:rPr>
            <w:t>ARM-Nator</w:t>
          </w:r>
        </w:p>
      </w:tc>
      <w:tc>
        <w:tcPr>
          <w:tcW w:type="dxa" w:w="4680"/>
          <w:tcMar>
            <w:top w:w="80" w:type="dxa"/>
            <w:bottom w:w="80" w:type="dxa"/>
            <w:start w:w="120" w:type="dxa"/>
            <w:end w:w="12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Calibri" w:hAnsi="Calibri"/>
              <w:color w:val="5B6573"/>
              <w:sz w:val="18"/>
            </w:rPr>
            <w:t>Future Work  |  Upgrade Plan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42">
    <w:abstractNumId w:val="42"/>
  </w:num>
  <w:abstractNum w:abstractNumId="4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utureTitle">
    <w:name w:val="Future Title"/>
    <w:basedOn w:val="Normal"/>
    <w:pPr>
      <w:spacing w:before="0" w:after="80" w:line="240" w:lineRule="auto"/>
    </w:pPr>
    <w:rPr>
      <w:rFonts w:ascii="Calibri" w:hAnsi="Calibri"/>
      <w:b/>
      <w:color w:val="0B2545"/>
      <w:sz w:val="56"/>
    </w:rPr>
  </w:style>
  <w:style w:type="paragraph" w:customStyle="1" w:styleId="FutureSubtitle">
    <w:name w:val="Future Subtitle"/>
    <w:basedOn w:val="Normal"/>
    <w:pPr>
      <w:spacing w:before="0" w:after="320" w:line="240" w:lineRule="auto"/>
    </w:pPr>
    <w:rPr>
      <w:rFonts w:ascii="Calibri" w:hAnsi="Calibri"/>
      <w:color w:val="5B6573"/>
      <w:sz w:val="30"/>
    </w:rPr>
  </w:style>
  <w:style w:type="paragraph" w:customStyle="1" w:styleId="Kicker">
    <w:name w:val="Kicker"/>
    <w:basedOn w:val="Normal"/>
    <w:pPr>
      <w:spacing w:before="0" w:after="120" w:line="240" w:lineRule="auto"/>
    </w:pPr>
    <w:rPr>
      <w:rFonts w:ascii="Calibri" w:hAnsi="Calibri"/>
      <w:b/>
      <w:color w:val="2E74B5"/>
      <w:sz w:val="19"/>
    </w:rPr>
  </w:style>
  <w:style w:type="paragraph" w:customStyle="1" w:styleId="TableText">
    <w:name w:val="Table Text"/>
    <w:basedOn w:val="Normal"/>
    <w:pPr>
      <w:spacing w:before="0" w:after="0" w:line="276" w:lineRule="auto"/>
    </w:pPr>
    <w:rPr>
      <w:rFonts w:ascii="Calibri" w:hAnsi="Calibri"/>
      <w:sz w:val="19"/>
    </w:rPr>
  </w:style>
  <w:style w:type="paragraph" w:customStyle="1" w:styleId="TableSpacer">
    <w:name w:val="Table Spacer"/>
    <w:basedOn w:val="Normal"/>
    <w:pPr>
      <w:spacing w:before="0" w:after="40"/>
    </w:pPr>
    <w:rPr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Future Work - ARM-Nator Environment &amp; Dependency Upgrade Plan</dc:title>
  <dc:subject>Long-term upgrade roadmap for ARM-Nator</dc:subject>
  <dc:creator>ARM-Nator Engineering</dc:creator>
  <cp:keywords>ARM-Nator, Electron, Angular, Nx, SQLite, upgrade, roadmap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