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rPr>
          <w:i/>
          <w:color w:val="595959"/>
          <w:sz w:val="26"/>
        </w:rP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r>
              <w:t>1.0</w:t>
            </w:r>
          </w:p>
        </w:tc>
      </w:tr>
      <w:t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implementation</w:t>
            </w:r>
          </w:p>
        </w:tc>
      </w:tr>
      <w:t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r>
              <w:t>LedgerOps Product Definition Document v1.1</w:t>
            </w:r>
          </w:p>
        </w:tc>
      </w:tr>
      <w:t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13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Document authority: </w:t>
            </w:r>
            <w:r>
              <w:t>This specification records the approved technical architecture. Implementation may refine low-level details, but changes to locked decisions require an Architecture Decision Record and an explicit review.</w:t>
            </w:r>
          </w:p>
        </w:tc>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r>
              <w:rPr>
                <w:sz w:val="17"/>
              </w:rPr>
              <w:t>1.0</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rPr>
                <w:sz w:val="17"/>
              </w:rPr>
              <w:t>Approved for implementation</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rPr>
                <w:sz w:val="17"/>
              </w:rPr>
              <w:t>No previous technical specification</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r>
              <w:rPr>
                <w:sz w:val="17"/>
              </w:rPr>
              <w:t>LedgerOps Product Definition Document v1.1</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built to demonstrate advanced Java, Spring Boot, distributed-systems, platform-engineering, security, and reliability capabilities. It simulates payment processing, double-entry ledger posting, external-provider failure, reversals, settlement ingestion, reconciliation, operational casework, and audited corrections. It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its corresponding ledger transaction has been posted successfully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tenancy | merchant | payment | ledger | risk | provider | cases   |</w:t>
        <w:br/>
        <w:t>| audit | reporting | reconciliation (initially)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
    </w:tbl>
    <w:p>
      <w:pPr>
        <w:widowControl/>
      </w:pPr>
    </w:p>
    <w:p>
      <w:pPr>
        <w:pStyle w:val="Heading2"/>
        <w:keepNext/>
        <w:widowControl/>
      </w:pPr>
      <w:r>
        <w:t>4.3 Module Ownership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Module</w:t>
            </w:r>
          </w:p>
        </w:tc>
        <w:tc>
          <w:tcPr>
            <w:tcW w:type="dxa" w:w="7848"/>
            <w:shd w:fill="1F4E78"/>
            <w:vAlign w:val="center"/>
            <w:tcMar>
              <w:top w:w="90" w:type="dxa"/>
              <w:start w:w="90" w:type="dxa"/>
              <w:bottom w:w="90" w:type="dxa"/>
              <w:end w:w="90" w:type="dxa"/>
            </w:tcMar>
          </w:tcPr>
          <w:p>
            <w:pPr>
              <w:jc w:val="left"/>
            </w:pPr>
            <w:r>
              <w:rPr>
                <w:b/>
                <w:color w:val="FFFFFF"/>
                <w:sz w:val="17"/>
              </w:rPr>
              <w:t>Owns</w:t>
            </w:r>
          </w:p>
        </w:tc>
      </w:tr>
      <w:tr>
        <w:trPr>
          <w:cantSplit/>
        </w:trPr>
        <w:tc>
          <w:tcPr>
            <w:tcW w:type="dxa" w:w="1944"/>
            <w:tcMar>
              <w:top w:w="90" w:type="dxa"/>
              <w:start w:w="90" w:type="dxa"/>
              <w:bottom w:w="90" w:type="dxa"/>
              <w:end w:w="90" w:type="dxa"/>
            </w:tcMar>
            <w:vAlign w:val="top"/>
          </w:tcPr>
          <w:p>
            <w:r>
              <w:rPr>
                <w:sz w:val="17"/>
              </w:rPr>
              <w:t>Identity</w:t>
            </w:r>
          </w:p>
        </w:tc>
        <w:tc>
          <w:tcPr>
            <w:tcW w:type="dxa" w:w="7848"/>
            <w:tcMar>
              <w:top w:w="90" w:type="dxa"/>
              <w:start w:w="90" w:type="dxa"/>
              <w:bottom w:w="90" w:type="dxa"/>
              <w:end w:w="90" w:type="dxa"/>
            </w:tcMar>
            <w:vAlign w:val="top"/>
          </w:tcPr>
          <w:p>
            <w:r>
              <w:rPr>
                <w:sz w:val="17"/>
              </w:rPr>
              <w:t>Application users, Keycloak mappings, membership status references, role assignments.</w:t>
            </w:r>
          </w:p>
        </w:tc>
      </w:tr>
      <w:tr>
        <w:trPr>
          <w:cantSplit/>
        </w:trPr>
        <w:tc>
          <w:tcPr>
            <w:tcW w:type="dxa" w:w="1944"/>
            <w:tcMar>
              <w:top w:w="90" w:type="dxa"/>
              <w:start w:w="90" w:type="dxa"/>
              <w:bottom w:w="90" w:type="dxa"/>
              <w:end w:w="90" w:type="dxa"/>
            </w:tcMar>
            <w:vAlign w:val="top"/>
          </w:tcPr>
          <w:p>
            <w:r>
              <w:rPr>
                <w:sz w:val="17"/>
              </w:rPr>
              <w:t>Tenancy</w:t>
            </w:r>
          </w:p>
        </w:tc>
        <w:tc>
          <w:tcPr>
            <w:tcW w:type="dxa" w:w="7848"/>
            <w:tcMar>
              <w:top w:w="90" w:type="dxa"/>
              <w:start w:w="90" w:type="dxa"/>
              <w:bottom w:w="90" w:type="dxa"/>
              <w:end w:w="90" w:type="dxa"/>
            </w:tcMar>
            <w:vAlign w:val="top"/>
          </w:tcPr>
          <w:p>
            <w:r>
              <w:rPr>
                <w:sz w:val="17"/>
              </w:rPr>
              <w:t>Tenants, supported currencies, feature flags, tenant limits, activation state.</w:t>
            </w:r>
          </w:p>
        </w:tc>
      </w:tr>
      <w:tr>
        <w:trPr>
          <w:cantSplit/>
        </w:trPr>
        <w:tc>
          <w:tcPr>
            <w:tcW w:type="dxa" w:w="1944"/>
            <w:tcMar>
              <w:top w:w="90" w:type="dxa"/>
              <w:start w:w="90" w:type="dxa"/>
              <w:bottom w:w="90" w:type="dxa"/>
              <w:end w:w="90" w:type="dxa"/>
            </w:tcMar>
            <w:vAlign w:val="top"/>
          </w:tcPr>
          <w:p>
            <w:r>
              <w:rPr>
                <w:sz w:val="17"/>
              </w:rPr>
              <w:t>Merchant</w:t>
            </w:r>
          </w:p>
        </w:tc>
        <w:tc>
          <w:tcPr>
            <w:tcW w:type="dxa" w:w="7848"/>
            <w:tcMar>
              <w:top w:w="90" w:type="dxa"/>
              <w:start w:w="90" w:type="dxa"/>
              <w:bottom w:w="90" w:type="dxa"/>
              <w:end w:w="90" w:type="dxa"/>
            </w:tcMar>
            <w:vAlign w:val="top"/>
          </w:tcPr>
          <w:p>
            <w:r>
              <w:rPr>
                <w:sz w:val="17"/>
              </w:rPr>
              <w:t>Merchant profiles, processing configuration, provider routing settings, merchant limits.</w:t>
            </w:r>
          </w:p>
        </w:tc>
      </w:tr>
      <w:tr>
        <w:trPr>
          <w:cantSplit/>
        </w:trPr>
        <w:tc>
          <w:tcPr>
            <w:tcW w:type="dxa" w:w="1944"/>
            <w:tcMar>
              <w:top w:w="90" w:type="dxa"/>
              <w:start w:w="90" w:type="dxa"/>
              <w:bottom w:w="90" w:type="dxa"/>
              <w:end w:w="90" w:type="dxa"/>
            </w:tcMar>
            <w:vAlign w:val="top"/>
          </w:tcPr>
          <w:p>
            <w:r>
              <w:rPr>
                <w:sz w:val="17"/>
              </w:rPr>
              <w:t>Customer</w:t>
            </w:r>
          </w:p>
        </w:tc>
        <w:tc>
          <w:tcPr>
            <w:tcW w:type="dxa" w:w="7848"/>
            <w:tcMar>
              <w:top w:w="90" w:type="dxa"/>
              <w:start w:w="90" w:type="dxa"/>
              <w:bottom w:w="90" w:type="dxa"/>
              <w:end w:w="90" w:type="dxa"/>
            </w:tcMar>
            <w:vAlign w:val="top"/>
          </w:tcPr>
          <w:p>
            <w:r>
              <w:rPr>
                <w:sz w:val="17"/>
              </w:rPr>
              <w:t>Simulated customer references, status, risk attributes, tokenized payment references.</w:t>
            </w:r>
          </w:p>
        </w:tc>
      </w:tr>
      <w:tr>
        <w:trPr>
          <w:cantSplit/>
        </w:trPr>
        <w:tc>
          <w:tcPr>
            <w:tcW w:type="dxa" w:w="1944"/>
            <w:tcMar>
              <w:top w:w="90" w:type="dxa"/>
              <w:start w:w="90" w:type="dxa"/>
              <w:bottom w:w="90" w:type="dxa"/>
              <w:end w:w="90" w:type="dxa"/>
            </w:tcMar>
            <w:vAlign w:val="top"/>
          </w:tcPr>
          <w:p>
            <w:r>
              <w:rPr>
                <w:sz w:val="17"/>
              </w:rPr>
              <w:t>Payment</w:t>
            </w:r>
          </w:p>
        </w:tc>
        <w:tc>
          <w:tcPr>
            <w:tcW w:type="dxa" w:w="7848"/>
            <w:tcMar>
              <w:top w:w="90" w:type="dxa"/>
              <w:start w:w="90" w:type="dxa"/>
              <w:bottom w:w="90" w:type="dxa"/>
              <w:end w:w="90" w:type="dxa"/>
            </w:tcMar>
            <w:vAlign w:val="top"/>
          </w:tcPr>
          <w:p>
            <w:r>
              <w:rPr>
                <w:sz w:val="17"/>
              </w:rPr>
              <w:t>Payment lifecycle, payment attempts, idempotency, provider submission state, payment events.</w:t>
            </w:r>
          </w:p>
        </w:tc>
      </w:tr>
      <w:tr>
        <w:trPr>
          <w:cantSplit/>
        </w:trPr>
        <w:tc>
          <w:tcPr>
            <w:tcW w:type="dxa" w:w="1944"/>
            <w:tcMar>
              <w:top w:w="90" w:type="dxa"/>
              <w:start w:w="90" w:type="dxa"/>
              <w:bottom w:w="90" w:type="dxa"/>
              <w:end w:w="90" w:type="dxa"/>
            </w:tcMar>
            <w:vAlign w:val="top"/>
          </w:tcPr>
          <w:p>
            <w:r>
              <w:rPr>
                <w:sz w:val="17"/>
              </w:rPr>
              <w:t>Ledger</w:t>
            </w:r>
          </w:p>
        </w:tc>
        <w:tc>
          <w:tcPr>
            <w:tcW w:type="dxa" w:w="7848"/>
            <w:tcMar>
              <w:top w:w="90" w:type="dxa"/>
              <w:start w:w="90" w:type="dxa"/>
              <w:bottom w:w="90" w:type="dxa"/>
              <w:end w:w="90" w:type="dxa"/>
            </w:tcMar>
            <w:vAlign w:val="top"/>
          </w:tcPr>
          <w:p>
            <w:r>
              <w:rPr>
                <w:sz w:val="17"/>
              </w:rPr>
              <w:t>Accounts, journals, immutable postings, balances, compensating corrections.</w:t>
            </w:r>
          </w:p>
        </w:tc>
      </w:tr>
      <w:tr>
        <w:trPr>
          <w:cantSplit/>
        </w:trPr>
        <w:tc>
          <w:tcPr>
            <w:tcW w:type="dxa" w:w="1944"/>
            <w:tcMar>
              <w:top w:w="90" w:type="dxa"/>
              <w:start w:w="90" w:type="dxa"/>
              <w:bottom w:w="90" w:type="dxa"/>
              <w:end w:w="90" w:type="dxa"/>
            </w:tcMar>
            <w:vAlign w:val="top"/>
          </w:tcPr>
          <w:p>
            <w:r>
              <w:rPr>
                <w:sz w:val="17"/>
              </w:rPr>
              <w:t>Risk</w:t>
            </w:r>
          </w:p>
        </w:tc>
        <w:tc>
          <w:tcPr>
            <w:tcW w:type="dxa" w:w="7848"/>
            <w:tcMar>
              <w:top w:w="90" w:type="dxa"/>
              <w:start w:w="90" w:type="dxa"/>
              <w:bottom w:w="90" w:type="dxa"/>
              <w:end w:w="90" w:type="dxa"/>
            </w:tcMar>
            <w:vAlign w:val="top"/>
          </w:tcPr>
          <w:p>
            <w:r>
              <w:rPr>
                <w:sz w:val="17"/>
              </w:rPr>
              <w:t>Rules, evaluations, scores, review decisions, manual overrides.</w:t>
            </w:r>
          </w:p>
        </w:tc>
      </w:tr>
      <w:tr>
        <w:trPr>
          <w:cantSplit/>
        </w:trPr>
        <w:tc>
          <w:tcPr>
            <w:tcW w:type="dxa" w:w="1944"/>
            <w:tcMar>
              <w:top w:w="90" w:type="dxa"/>
              <w:start w:w="90" w:type="dxa"/>
              <w:bottom w:w="90" w:type="dxa"/>
              <w:end w:w="90" w:type="dxa"/>
            </w:tcMar>
            <w:vAlign w:val="top"/>
          </w:tcPr>
          <w:p>
            <w:r>
              <w:rPr>
                <w:sz w:val="17"/>
              </w:rPr>
              <w:t>Provider</w:t>
            </w:r>
          </w:p>
        </w:tc>
        <w:tc>
          <w:tcPr>
            <w:tcW w:type="dxa" w:w="7848"/>
            <w:tcMar>
              <w:top w:w="90" w:type="dxa"/>
              <w:start w:w="90" w:type="dxa"/>
              <w:bottom w:w="90" w:type="dxa"/>
              <w:end w:w="90" w:type="dxa"/>
            </w:tcMar>
            <w:vAlign w:val="top"/>
          </w:tcPr>
          <w:p>
            <w:r>
              <w:rPr>
                <w:sz w:val="17"/>
              </w:rPr>
              <w:t>Provider adapters, request mapping, HTTP communication, webhook validation, provider state.</w:t>
            </w:r>
          </w:p>
        </w:tc>
      </w:tr>
      <w:tr>
        <w:trPr>
          <w:cantSplit/>
        </w:trPr>
        <w:tc>
          <w:tcPr>
            <w:tcW w:type="dxa" w:w="1944"/>
            <w:tcMar>
              <w:top w:w="90" w:type="dxa"/>
              <w:start w:w="90" w:type="dxa"/>
              <w:bottom w:w="90" w:type="dxa"/>
              <w:end w:w="90" w:type="dxa"/>
            </w:tcMar>
            <w:vAlign w:val="top"/>
          </w:tcPr>
          <w:p>
            <w:r>
              <w:rPr>
                <w:sz w:val="17"/>
              </w:rPr>
              <w:t>Casework</w:t>
            </w:r>
          </w:p>
        </w:tc>
        <w:tc>
          <w:tcPr>
            <w:tcW w:type="dxa" w:w="7848"/>
            <w:tcMar>
              <w:top w:w="90" w:type="dxa"/>
              <w:start w:w="90" w:type="dxa"/>
              <w:bottom w:w="90" w:type="dxa"/>
              <w:end w:w="90" w:type="dxa"/>
            </w:tcMar>
            <w:vAlign w:val="top"/>
          </w:tcPr>
          <w:p>
            <w:r>
              <w:rPr>
                <w:sz w:val="17"/>
              </w:rPr>
              <w:t>Risk and reconciliation cases, assignments, notes, evidence, resolutions.</w:t>
            </w:r>
          </w:p>
        </w:tc>
      </w:tr>
      <w:tr>
        <w:trPr>
          <w:cantSplit/>
        </w:trPr>
        <w:tc>
          <w:tcPr>
            <w:tcW w:type="dxa" w:w="1944"/>
            <w:tcMar>
              <w:top w:w="90" w:type="dxa"/>
              <w:start w:w="90" w:type="dxa"/>
              <w:bottom w:w="90" w:type="dxa"/>
              <w:end w:w="90" w:type="dxa"/>
            </w:tcMar>
            <w:vAlign w:val="top"/>
          </w:tcPr>
          <w:p>
            <w:r>
              <w:rPr>
                <w:sz w:val="17"/>
              </w:rPr>
              <w:t>Reconciliation</w:t>
            </w:r>
          </w:p>
        </w:tc>
        <w:tc>
          <w:tcPr>
            <w:tcW w:type="dxa" w:w="7848"/>
            <w:tcMar>
              <w:top w:w="90" w:type="dxa"/>
              <w:start w:w="90" w:type="dxa"/>
              <w:bottom w:w="90" w:type="dxa"/>
              <w:end w:w="90" w:type="dxa"/>
            </w:tcMar>
            <w:vAlign w:val="top"/>
          </w:tcPr>
          <w:p>
            <w:r>
              <w:rPr>
                <w:sz w:val="17"/>
              </w:rPr>
              <w:t>Settlement batches, normalized records, matching runs, discrepancies.</w:t>
            </w:r>
          </w:p>
        </w:tc>
      </w:tr>
      <w:tr>
        <w:trPr>
          <w:cantSplit/>
        </w:trPr>
        <w:tc>
          <w:tcPr>
            <w:tcW w:type="dxa" w:w="1944"/>
            <w:tcMar>
              <w:top w:w="90" w:type="dxa"/>
              <w:start w:w="90" w:type="dxa"/>
              <w:bottom w:w="90" w:type="dxa"/>
              <w:end w:w="90" w:type="dxa"/>
            </w:tcMar>
            <w:vAlign w:val="top"/>
          </w:tcPr>
          <w:p>
            <w:r>
              <w:rPr>
                <w:sz w:val="17"/>
              </w:rPr>
              <w:t>Notification</w:t>
            </w:r>
          </w:p>
        </w:tc>
        <w:tc>
          <w:tcPr>
            <w:tcW w:type="dxa" w:w="7848"/>
            <w:tcMar>
              <w:top w:w="90" w:type="dxa"/>
              <w:start w:w="90" w:type="dxa"/>
              <w:bottom w:w="90" w:type="dxa"/>
              <w:end w:w="90" w:type="dxa"/>
            </w:tcMar>
            <w:vAlign w:val="top"/>
          </w:tcPr>
          <w:p>
            <w:r>
              <w:rPr>
                <w:sz w:val="17"/>
              </w:rPr>
              <w:t>Asynchronous notification requests and delivery status.</w:t>
            </w:r>
          </w:p>
        </w:tc>
      </w:tr>
      <w:tr>
        <w:trPr>
          <w:cantSplit/>
        </w:trPr>
        <w:tc>
          <w:tcPr>
            <w:tcW w:type="dxa" w:w="1944"/>
            <w:tcMar>
              <w:top w:w="90" w:type="dxa"/>
              <w:start w:w="90" w:type="dxa"/>
              <w:bottom w:w="90" w:type="dxa"/>
              <w:end w:w="90" w:type="dxa"/>
            </w:tcMar>
            <w:vAlign w:val="top"/>
          </w:tcPr>
          <w:p>
            <w:r>
              <w:rPr>
                <w:sz w:val="17"/>
              </w:rPr>
              <w:t>Audit</w:t>
            </w:r>
          </w:p>
        </w:tc>
        <w:tc>
          <w:tcPr>
            <w:tcW w:type="dxa" w:w="7848"/>
            <w:tcMar>
              <w:top w:w="90" w:type="dxa"/>
              <w:start w:w="90" w:type="dxa"/>
              <w:bottom w:w="90" w:type="dxa"/>
              <w:end w:w="90" w:type="dxa"/>
            </w:tcMar>
            <w:vAlign w:val="top"/>
          </w:tcPr>
          <w:p>
            <w:r>
              <w:rPr>
                <w:sz w:val="17"/>
              </w:rPr>
              <w:t>Append-only audit events and security-sensitive activity.</w:t>
            </w:r>
          </w:p>
        </w:tc>
      </w:tr>
      <w:tr>
        <w:trPr>
          <w:cantSplit/>
        </w:trPr>
        <w:tc>
          <w:tcPr>
            <w:tcW w:type="dxa" w:w="1944"/>
            <w:tcMar>
              <w:top w:w="90" w:type="dxa"/>
              <w:start w:w="90" w:type="dxa"/>
              <w:bottom w:w="90" w:type="dxa"/>
              <w:end w:w="90" w:type="dxa"/>
            </w:tcMar>
            <w:vAlign w:val="top"/>
          </w:tcPr>
          <w:p>
            <w:r>
              <w:rPr>
                <w:sz w:val="17"/>
              </w:rPr>
              <w:t>Reporting</w:t>
            </w:r>
          </w:p>
        </w:tc>
        <w:tc>
          <w:tcPr>
            <w:tcW w:type="dxa" w:w="7848"/>
            <w:tcMar>
              <w:top w:w="90" w:type="dxa"/>
              <w:start w:w="90" w:type="dxa"/>
              <w:bottom w:w="90" w:type="dxa"/>
              <w:end w:w="90" w:type="dxa"/>
            </w:tcMar>
            <w:vAlign w:val="top"/>
          </w:tcPr>
          <w:p>
            <w:r>
              <w:rPr>
                <w:sz w:val="17"/>
              </w:rPr>
              <w:t>Read-optimized projections, dashboard queries, exports; never transactional truth.</w:t>
            </w:r>
          </w:p>
        </w:tc>
      </w:tr>
    </w:tbl>
    <w:p>
      <w:pPr>
        <w:widowControl/>
      </w:pP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Aggregate</w:t>
            </w:r>
          </w:p>
        </w:tc>
        <w:tc>
          <w:tcPr>
            <w:tcW w:type="dxa" w:w="4824"/>
            <w:shd w:fill="1F4E78"/>
            <w:vAlign w:val="center"/>
            <w:tcMar>
              <w:top w:w="90" w:type="dxa"/>
              <w:start w:w="90" w:type="dxa"/>
              <w:bottom w:w="90" w:type="dxa"/>
              <w:end w:w="90" w:type="dxa"/>
            </w:tcMar>
          </w:tcPr>
          <w:p>
            <w:pPr>
              <w:jc w:val="left"/>
            </w:pPr>
            <w:r>
              <w:rPr>
                <w:b/>
                <w:color w:val="FFFFFF"/>
                <w:sz w:val="17"/>
              </w:rPr>
              <w:t>Core responsibility</w:t>
            </w:r>
          </w:p>
        </w:tc>
        <w:tc>
          <w:tcPr>
            <w:tcW w:type="dxa" w:w="3024"/>
            <w:shd w:fill="1F4E78"/>
            <w:vAlign w:val="center"/>
            <w:tcMar>
              <w:top w:w="90" w:type="dxa"/>
              <w:start w:w="90" w:type="dxa"/>
              <w:bottom w:w="90" w:type="dxa"/>
              <w:end w:w="90" w:type="dxa"/>
            </w:tcMar>
          </w:tcPr>
          <w:p>
            <w:pPr>
              <w:jc w:val="left"/>
            </w:pPr>
            <w:r>
              <w:rPr>
                <w:b/>
                <w:color w:val="FFFFFF"/>
                <w:sz w:val="17"/>
              </w:rPr>
              <w:t>Important boundary</w:t>
            </w:r>
          </w:p>
        </w:tc>
      </w:tr>
      <w:tr>
        <w:trPr>
          <w:cantSplit/>
        </w:trPr>
        <w:tc>
          <w:tcPr>
            <w:tcW w:type="dxa" w:w="1944"/>
            <w:tcMar>
              <w:top w:w="90" w:type="dxa"/>
              <w:start w:w="90" w:type="dxa"/>
              <w:bottom w:w="90" w:type="dxa"/>
              <w:end w:w="90" w:type="dxa"/>
            </w:tcMar>
            <w:vAlign w:val="top"/>
          </w:tcPr>
          <w:p>
            <w:r>
              <w:rPr>
                <w:sz w:val="17"/>
              </w:rPr>
              <w:t>Tenant</w:t>
            </w:r>
          </w:p>
        </w:tc>
        <w:tc>
          <w:tcPr>
            <w:tcW w:type="dxa" w:w="4824"/>
            <w:tcMar>
              <w:top w:w="90" w:type="dxa"/>
              <w:start w:w="90" w:type="dxa"/>
              <w:bottom w:w="90" w:type="dxa"/>
              <w:end w:w="90" w:type="dxa"/>
            </w:tcMar>
            <w:vAlign w:val="top"/>
          </w:tcPr>
          <w:p>
            <w:r>
              <w:rPr>
                <w:sz w:val="17"/>
              </w:rPr>
              <w:t>Tenant identity, status, configuration, supported currencies, limits.</w:t>
            </w:r>
          </w:p>
        </w:tc>
        <w:tc>
          <w:tcPr>
            <w:tcW w:type="dxa" w:w="3024"/>
            <w:tcMar>
              <w:top w:w="90" w:type="dxa"/>
              <w:start w:w="90" w:type="dxa"/>
              <w:bottom w:w="90" w:type="dxa"/>
              <w:end w:w="90" w:type="dxa"/>
            </w:tcMar>
            <w:vAlign w:val="top"/>
          </w:tcPr>
          <w:p>
            <w:r>
              <w:rPr>
                <w:sz w:val="17"/>
              </w:rPr>
              <w:t>Does not embed all users, merchants, or payments.</w:t>
            </w:r>
          </w:p>
        </w:tc>
      </w:tr>
      <w:tr>
        <w:trPr>
          <w:cantSplit/>
        </w:trPr>
        <w:tc>
          <w:tcPr>
            <w:tcW w:type="dxa" w:w="1944"/>
            <w:tcMar>
              <w:top w:w="90" w:type="dxa"/>
              <w:start w:w="90" w:type="dxa"/>
              <w:bottom w:w="90" w:type="dxa"/>
              <w:end w:w="90" w:type="dxa"/>
            </w:tcMar>
            <w:vAlign w:val="top"/>
          </w:tcPr>
          <w:p>
            <w:r>
              <w:rPr>
                <w:sz w:val="17"/>
              </w:rPr>
              <w:t>Merchant</w:t>
            </w:r>
          </w:p>
        </w:tc>
        <w:tc>
          <w:tcPr>
            <w:tcW w:type="dxa" w:w="4824"/>
            <w:tcMar>
              <w:top w:w="90" w:type="dxa"/>
              <w:start w:w="90" w:type="dxa"/>
              <w:bottom w:w="90" w:type="dxa"/>
              <w:end w:w="90" w:type="dxa"/>
            </w:tcMar>
            <w:vAlign w:val="top"/>
          </w:tcPr>
          <w:p>
            <w:r>
              <w:rPr>
                <w:sz w:val="17"/>
              </w:rPr>
              <w:t>Merchant identity, state, provider configuration, processing limits.</w:t>
            </w:r>
          </w:p>
        </w:tc>
        <w:tc>
          <w:tcPr>
            <w:tcW w:type="dxa" w:w="3024"/>
            <w:tcMar>
              <w:top w:w="90" w:type="dxa"/>
              <w:start w:w="90" w:type="dxa"/>
              <w:bottom w:w="90" w:type="dxa"/>
              <w:end w:w="90" w:type="dxa"/>
            </w:tcMar>
            <w:vAlign w:val="top"/>
          </w:tcPr>
          <w:p>
            <w:r>
              <w:rPr>
                <w:sz w:val="17"/>
              </w:rPr>
              <w:t>Belongs to exactly one tenant.</w:t>
            </w:r>
          </w:p>
        </w:tc>
      </w:tr>
      <w:tr>
        <w:trPr>
          <w:cantSplit/>
        </w:trPr>
        <w:tc>
          <w:tcPr>
            <w:tcW w:type="dxa" w:w="1944"/>
            <w:tcMar>
              <w:top w:w="90" w:type="dxa"/>
              <w:start w:w="90" w:type="dxa"/>
              <w:bottom w:w="90" w:type="dxa"/>
              <w:end w:w="90" w:type="dxa"/>
            </w:tcMar>
            <w:vAlign w:val="top"/>
          </w:tcPr>
          <w:p>
            <w:r>
              <w:rPr>
                <w:sz w:val="17"/>
              </w:rPr>
              <w:t>Customer</w:t>
            </w:r>
          </w:p>
        </w:tc>
        <w:tc>
          <w:tcPr>
            <w:tcW w:type="dxa" w:w="4824"/>
            <w:tcMar>
              <w:top w:w="90" w:type="dxa"/>
              <w:start w:w="90" w:type="dxa"/>
              <w:bottom w:w="90" w:type="dxa"/>
              <w:end w:w="90" w:type="dxa"/>
            </w:tcMar>
            <w:vAlign w:val="top"/>
          </w:tcPr>
          <w:p>
            <w:r>
              <w:rPr>
                <w:sz w:val="17"/>
              </w:rPr>
              <w:t>Customer reference, status, merchant relationship, risk attributes.</w:t>
            </w:r>
          </w:p>
        </w:tc>
        <w:tc>
          <w:tcPr>
            <w:tcW w:type="dxa" w:w="3024"/>
            <w:tcMar>
              <w:top w:w="90" w:type="dxa"/>
              <w:start w:w="90" w:type="dxa"/>
              <w:bottom w:w="90" w:type="dxa"/>
              <w:end w:w="90" w:type="dxa"/>
            </w:tcMar>
            <w:vAlign w:val="top"/>
          </w:tcPr>
          <w:p>
            <w:r>
              <w:rPr>
                <w:sz w:val="17"/>
              </w:rPr>
              <w:t>Stores no real card credentials.</w:t>
            </w:r>
          </w:p>
        </w:tc>
      </w:tr>
      <w:tr>
        <w:trPr>
          <w:cantSplit/>
        </w:trPr>
        <w:tc>
          <w:tcPr>
            <w:tcW w:type="dxa" w:w="1944"/>
            <w:tcMar>
              <w:top w:w="90" w:type="dxa"/>
              <w:start w:w="90" w:type="dxa"/>
              <w:bottom w:w="90" w:type="dxa"/>
              <w:end w:w="90" w:type="dxa"/>
            </w:tcMar>
            <w:vAlign w:val="top"/>
          </w:tcPr>
          <w:p>
            <w:r>
              <w:rPr>
                <w:sz w:val="17"/>
              </w:rPr>
              <w:t>Payment</w:t>
            </w:r>
          </w:p>
        </w:tc>
        <w:tc>
          <w:tcPr>
            <w:tcW w:type="dxa" w:w="4824"/>
            <w:tcMar>
              <w:top w:w="90" w:type="dxa"/>
              <w:start w:w="90" w:type="dxa"/>
              <w:bottom w:w="90" w:type="dxa"/>
              <w:end w:w="90" w:type="dxa"/>
            </w:tcMar>
            <w:vAlign w:val="top"/>
          </w:tcPr>
          <w:p>
            <w:r>
              <w:rPr>
                <w:sz w:val="17"/>
              </w:rPr>
              <w:t>Amount, merchant/customer references, state, risk decision, provider state, attempts.</w:t>
            </w:r>
          </w:p>
        </w:tc>
        <w:tc>
          <w:tcPr>
            <w:tcW w:type="dxa" w:w="3024"/>
            <w:tcMar>
              <w:top w:w="90" w:type="dxa"/>
              <w:start w:w="90" w:type="dxa"/>
              <w:bottom w:w="90" w:type="dxa"/>
              <w:end w:w="90" w:type="dxa"/>
            </w:tcMar>
            <w:vAlign w:val="top"/>
          </w:tcPr>
          <w:p>
            <w:r>
              <w:rPr>
                <w:sz w:val="17"/>
              </w:rPr>
              <w:t>Does not own ledger or reconciliation records.</w:t>
            </w:r>
          </w:p>
        </w:tc>
      </w:tr>
      <w:tr>
        <w:trPr>
          <w:cantSplit/>
        </w:trPr>
        <w:tc>
          <w:tcPr>
            <w:tcW w:type="dxa" w:w="1944"/>
            <w:tcMar>
              <w:top w:w="90" w:type="dxa"/>
              <w:start w:w="90" w:type="dxa"/>
              <w:bottom w:w="90" w:type="dxa"/>
              <w:end w:w="90" w:type="dxa"/>
            </w:tcMar>
            <w:vAlign w:val="top"/>
          </w:tcPr>
          <w:p>
            <w:r>
              <w:rPr>
                <w:sz w:val="17"/>
              </w:rPr>
              <w:t>Ledger Transaction</w:t>
            </w:r>
          </w:p>
        </w:tc>
        <w:tc>
          <w:tcPr>
            <w:tcW w:type="dxa" w:w="4824"/>
            <w:tcMar>
              <w:top w:w="90" w:type="dxa"/>
              <w:start w:w="90" w:type="dxa"/>
              <w:bottom w:w="90" w:type="dxa"/>
              <w:end w:w="90" w:type="dxa"/>
            </w:tcMar>
            <w:vAlign w:val="top"/>
          </w:tcPr>
          <w:p>
            <w:r>
              <w:rPr>
                <w:sz w:val="17"/>
              </w:rPr>
              <w:t>Immutable debit and credit entries, posting and reversal references.</w:t>
            </w:r>
          </w:p>
        </w:tc>
        <w:tc>
          <w:tcPr>
            <w:tcW w:type="dxa" w:w="3024"/>
            <w:tcMar>
              <w:top w:w="90" w:type="dxa"/>
              <w:start w:w="90" w:type="dxa"/>
              <w:bottom w:w="90" w:type="dxa"/>
              <w:end w:w="90" w:type="dxa"/>
            </w:tcMar>
            <w:vAlign w:val="top"/>
          </w:tcPr>
          <w:p>
            <w:r>
              <w:rPr>
                <w:sz w:val="17"/>
              </w:rPr>
              <w:t>Cannot be edited or deleted after posting.</w:t>
            </w:r>
          </w:p>
        </w:tc>
      </w:tr>
      <w:tr>
        <w:trPr>
          <w:cantSplit/>
        </w:trPr>
        <w:tc>
          <w:tcPr>
            <w:tcW w:type="dxa" w:w="1944"/>
            <w:tcMar>
              <w:top w:w="90" w:type="dxa"/>
              <w:start w:w="90" w:type="dxa"/>
              <w:bottom w:w="90" w:type="dxa"/>
              <w:end w:w="90" w:type="dxa"/>
            </w:tcMar>
            <w:vAlign w:val="top"/>
          </w:tcPr>
          <w:p>
            <w:r>
              <w:rPr>
                <w:sz w:val="17"/>
              </w:rPr>
              <w:t>Risk Evaluation</w:t>
            </w:r>
          </w:p>
        </w:tc>
        <w:tc>
          <w:tcPr>
            <w:tcW w:type="dxa" w:w="4824"/>
            <w:tcMar>
              <w:top w:w="90" w:type="dxa"/>
              <w:start w:w="90" w:type="dxa"/>
              <w:bottom w:w="90" w:type="dxa"/>
              <w:end w:w="90" w:type="dxa"/>
            </w:tcMar>
            <w:vAlign w:val="top"/>
          </w:tcPr>
          <w:p>
            <w:r>
              <w:rPr>
                <w:sz w:val="17"/>
              </w:rPr>
              <w:t>Rule outcomes, score, decision, override metadata.</w:t>
            </w:r>
          </w:p>
        </w:tc>
        <w:tc>
          <w:tcPr>
            <w:tcW w:type="dxa" w:w="3024"/>
            <w:tcMar>
              <w:top w:w="90" w:type="dxa"/>
              <w:start w:w="90" w:type="dxa"/>
              <w:bottom w:w="90" w:type="dxa"/>
              <w:end w:w="90" w:type="dxa"/>
            </w:tcMar>
            <w:vAlign w:val="top"/>
          </w:tcPr>
          <w:p>
            <w:r>
              <w:rPr>
                <w:sz w:val="17"/>
              </w:rPr>
              <w:t>Append-only; later evaluations do not overwrite earlier ones.</w:t>
            </w:r>
          </w:p>
        </w:tc>
      </w:tr>
      <w:tr>
        <w:trPr>
          <w:cantSplit/>
        </w:trPr>
        <w:tc>
          <w:tcPr>
            <w:tcW w:type="dxa" w:w="1944"/>
            <w:tcMar>
              <w:top w:w="90" w:type="dxa"/>
              <w:start w:w="90" w:type="dxa"/>
              <w:bottom w:w="90" w:type="dxa"/>
              <w:end w:w="90" w:type="dxa"/>
            </w:tcMar>
            <w:vAlign w:val="top"/>
          </w:tcPr>
          <w:p>
            <w:r>
              <w:rPr>
                <w:sz w:val="17"/>
              </w:rPr>
              <w:t>Reversal</w:t>
            </w:r>
          </w:p>
        </w:tc>
        <w:tc>
          <w:tcPr>
            <w:tcW w:type="dxa" w:w="4824"/>
            <w:tcMar>
              <w:top w:w="90" w:type="dxa"/>
              <w:start w:w="90" w:type="dxa"/>
              <w:bottom w:w="90" w:type="dxa"/>
              <w:end w:w="90" w:type="dxa"/>
            </w:tcMar>
            <w:vAlign w:val="top"/>
          </w:tcPr>
          <w:p>
            <w:r>
              <w:rPr>
                <w:sz w:val="17"/>
              </w:rPr>
              <w:t>Independent asynchronous reversal lifecycle and amount.</w:t>
            </w:r>
          </w:p>
        </w:tc>
        <w:tc>
          <w:tcPr>
            <w:tcW w:type="dxa" w:w="3024"/>
            <w:tcMar>
              <w:top w:w="90" w:type="dxa"/>
              <w:start w:w="90" w:type="dxa"/>
              <w:bottom w:w="90" w:type="dxa"/>
              <w:end w:w="90" w:type="dxa"/>
            </w:tcMar>
            <w:vAlign w:val="top"/>
          </w:tcPr>
          <w:p>
            <w:r>
              <w:rPr>
                <w:sz w:val="17"/>
              </w:rPr>
              <w:t>Separate aggregate from Payment.</w:t>
            </w:r>
          </w:p>
        </w:tc>
      </w:tr>
      <w:tr>
        <w:trPr>
          <w:cantSplit/>
        </w:trPr>
        <w:tc>
          <w:tcPr>
            <w:tcW w:type="dxa" w:w="1944"/>
            <w:tcMar>
              <w:top w:w="90" w:type="dxa"/>
              <w:start w:w="90" w:type="dxa"/>
              <w:bottom w:w="90" w:type="dxa"/>
              <w:end w:w="90" w:type="dxa"/>
            </w:tcMar>
            <w:vAlign w:val="top"/>
          </w:tcPr>
          <w:p>
            <w:r>
              <w:rPr>
                <w:sz w:val="17"/>
              </w:rPr>
              <w:t>Settlement Batch</w:t>
            </w:r>
          </w:p>
        </w:tc>
        <w:tc>
          <w:tcPr>
            <w:tcW w:type="dxa" w:w="4824"/>
            <w:tcMar>
              <w:top w:w="90" w:type="dxa"/>
              <w:start w:w="90" w:type="dxa"/>
              <w:bottom w:w="90" w:type="dxa"/>
              <w:end w:w="90" w:type="dxa"/>
            </w:tcMar>
            <w:vAlign w:val="top"/>
          </w:tcPr>
          <w:p>
            <w:r>
              <w:rPr>
                <w:sz w:val="17"/>
              </w:rPr>
              <w:t>Immutable imported file metadata and validation summary.</w:t>
            </w:r>
          </w:p>
        </w:tc>
        <w:tc>
          <w:tcPr>
            <w:tcW w:type="dxa" w:w="3024"/>
            <w:tcMar>
              <w:top w:w="90" w:type="dxa"/>
              <w:start w:w="90" w:type="dxa"/>
              <w:bottom w:w="90" w:type="dxa"/>
              <w:end w:w="90" w:type="dxa"/>
            </w:tcMar>
            <w:vAlign w:val="top"/>
          </w:tcPr>
          <w:p>
            <w:r>
              <w:rPr>
                <w:sz w:val="17"/>
              </w:rPr>
              <w:t>Supports multiple versioned files for one date.</w:t>
            </w:r>
          </w:p>
        </w:tc>
      </w:tr>
      <w:tr>
        <w:trPr>
          <w:cantSplit/>
        </w:trPr>
        <w:tc>
          <w:tcPr>
            <w:tcW w:type="dxa" w:w="1944"/>
            <w:tcMar>
              <w:top w:w="90" w:type="dxa"/>
              <w:start w:w="90" w:type="dxa"/>
              <w:bottom w:w="90" w:type="dxa"/>
              <w:end w:w="90" w:type="dxa"/>
            </w:tcMar>
            <w:vAlign w:val="top"/>
          </w:tcPr>
          <w:p>
            <w:r>
              <w:rPr>
                <w:sz w:val="17"/>
              </w:rPr>
              <w:t>Reconciliation Run</w:t>
            </w:r>
          </w:p>
        </w:tc>
        <w:tc>
          <w:tcPr>
            <w:tcW w:type="dxa" w:w="4824"/>
            <w:tcMar>
              <w:top w:w="90" w:type="dxa"/>
              <w:start w:w="90" w:type="dxa"/>
              <w:bottom w:w="90" w:type="dxa"/>
              <w:end w:w="90" w:type="dxa"/>
            </w:tcMar>
            <w:vAlign w:val="top"/>
          </w:tcPr>
          <w:p>
            <w:r>
              <w:rPr>
                <w:sz w:val="17"/>
              </w:rPr>
              <w:t>Versioned matching execution and immutable result summary.</w:t>
            </w:r>
          </w:p>
        </w:tc>
        <w:tc>
          <w:tcPr>
            <w:tcW w:type="dxa" w:w="3024"/>
            <w:tcMar>
              <w:top w:w="90" w:type="dxa"/>
              <w:start w:w="90" w:type="dxa"/>
              <w:bottom w:w="90" w:type="dxa"/>
              <w:end w:w="90" w:type="dxa"/>
            </w:tcMar>
            <w:vAlign w:val="top"/>
          </w:tcPr>
          <w:p>
            <w:r>
              <w:rPr>
                <w:sz w:val="17"/>
              </w:rPr>
              <w:t>Reruns never overwrite previous runs.</w:t>
            </w:r>
          </w:p>
        </w:tc>
      </w:tr>
      <w:tr>
        <w:trPr>
          <w:cantSplit/>
        </w:trPr>
        <w:tc>
          <w:tcPr>
            <w:tcW w:type="dxa" w:w="1944"/>
            <w:tcMar>
              <w:top w:w="90" w:type="dxa"/>
              <w:start w:w="90" w:type="dxa"/>
              <w:bottom w:w="90" w:type="dxa"/>
              <w:end w:w="90" w:type="dxa"/>
            </w:tcMar>
            <w:vAlign w:val="top"/>
          </w:tcPr>
          <w:p>
            <w:r>
              <w:rPr>
                <w:sz w:val="17"/>
              </w:rPr>
              <w:t>Investigation Case</w:t>
            </w:r>
          </w:p>
        </w:tc>
        <w:tc>
          <w:tcPr>
            <w:tcW w:type="dxa" w:w="4824"/>
            <w:tcMar>
              <w:top w:w="90" w:type="dxa"/>
              <w:start w:w="90" w:type="dxa"/>
              <w:bottom w:w="90" w:type="dxa"/>
              <w:end w:w="90" w:type="dxa"/>
            </w:tcMar>
            <w:vAlign w:val="top"/>
          </w:tcPr>
          <w:p>
            <w:r>
              <w:rPr>
                <w:sz w:val="17"/>
              </w:rPr>
              <w:t>Assignment, evidence, notes, priority, resolution.</w:t>
            </w:r>
          </w:p>
        </w:tc>
        <w:tc>
          <w:tcPr>
            <w:tcW w:type="dxa" w:w="3024"/>
            <w:tcMar>
              <w:top w:w="90" w:type="dxa"/>
              <w:start w:w="90" w:type="dxa"/>
              <w:bottom w:w="90" w:type="dxa"/>
              <w:end w:w="90" w:type="dxa"/>
            </w:tcMar>
            <w:vAlign w:val="top"/>
          </w:tcPr>
          <w:p>
            <w:r>
              <w:rPr>
                <w:sz w:val="17"/>
              </w:rPr>
              <w:t>Notes and history are append-only.</w:t>
            </w:r>
          </w:p>
        </w:tc>
      </w:tr>
    </w:tbl>
    <w:p>
      <w:pPr>
        <w:widowControl/>
      </w:pP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CREATED</w:t>
        <w:br/>
        <w:t xml:space="preserve">  -&gt; RISK_EVALUATION_PENDING</w:t>
        <w:br/>
        <w:t xml:space="preserve">      -&gt; APPROVED</w:t>
        <w:br/>
        <w:t xml:space="preserve">      -&gt; RISK_REVIEW_REQUIRED -&gt; APPROVED | REJECTED</w:t>
        <w:br/>
        <w:t xml:space="preserve">      -&gt; REJECTED</w:t>
        <w:br/>
        <w:t>APPROVED -&gt; PROVIDER_SUBMISSION_PENDING -&gt; PROCESSING -&gt; COMPLETED | FAILED</w:t>
        <w:br/>
        <w:t>COMPLETED -&gt; REVERSAL_PENDING -&gt; PARTIALLY_REVERSED | REVERSED | COMPLETED</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Meaning of COMPLETED: </w:t>
            </w:r>
            <w:r>
              <w:t>The provider has confirmed success and the required ledger posting has committed. It does not mean that settlement reconciliation has completed.</w:t>
            </w:r>
          </w:p>
        </w:tc>
      </w:tr>
    </w:tbl>
    <w:p>
      <w:pPr>
        <w:widowControl/>
      </w:pPr>
    </w:p>
    <w:p>
      <w:pPr>
        <w:pStyle w:val="Heading2"/>
        <w:keepNext/>
        <w:widowControl/>
      </w:pPr>
      <w:r>
        <w:t>5.4 Reversal State Machine</w:t>
      </w:r>
    </w:p>
    <w:p>
      <w:pPr>
        <w:pStyle w:val="CodeBlock"/>
        <w:keepLines/>
        <w:widowControl/>
      </w:pPr>
      <w:r>
        <w:t>REQUESTED -&gt; APPROVED -&gt; PROVIDER_SUBMISSION_PENDING -&gt; PROCESSING -&gt; COMPLETED | FAILED</w:t>
        <w:br/>
        <w:t>REQUESTED or APPROVED -&gt; CANCELLED</w:t>
      </w:r>
    </w:p>
    <w:p>
      <w:pPr>
        <w:pStyle w:val="ListBullet"/>
        <w:widowControl/>
        <w:spacing w:after="40"/>
      </w:pPr>
      <w:r>
        <w:t>Only completed or partially reversed payments may be reversed.</w:t>
      </w:r>
    </w:p>
    <w:p>
      <w:pPr>
        <w:pStyle w:val="ListBullet"/>
        <w:widowControl/>
        <w:spacing w:after="40"/>
      </w:pPr>
      <w:r>
        <w:t>Total completed reversals may not exceed the original payment amount.</w:t>
      </w:r>
    </w:p>
    <w:p>
      <w:pPr>
        <w:pStyle w:val="ListBullet"/>
        <w:widowControl/>
        <w:spacing w:after="40"/>
      </w:pPr>
      <w:r>
        <w:t>Failed reversals preserve their history; a new retry attempt does not rewrite the original record.</w:t>
      </w:r>
    </w:p>
    <w:p>
      <w:pPr>
        <w:pStyle w:val="ListBullet"/>
        <w:widowControl/>
        <w:spacing w:after="40"/>
      </w:pPr>
      <w:r>
        <w:t>Provider confirmation is required before compensating ledger postings are created.</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rPr>
                <w:sz w:val="17"/>
              </w:rPr>
              <w:t>Represents amount receivable for the customer-side payment obligation.</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rPr>
                <w:sz w:val="17"/>
              </w:rPr>
              <w:t>Represents amount payable to the merchant.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rPr>
                <w:sz w:val="17"/>
              </w:rPr>
              <w:t>Tracks value expected through the provider.</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rPr>
                <w:sz w:val="17"/>
              </w:rPr>
              <w:t>Records simulated platform fee revenue.</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r>
              <w:rPr>
                <w:sz w:val="17"/>
              </w:rPr>
              <w:t>Tracks approved reversal obligations.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r>
              <w:rPr>
                <w:sz w:val="17"/>
              </w:rPr>
              <w:t>Tracks settlement value expected from provider files.</w:t>
            </w:r>
          </w:p>
        </w:tc>
      </w:tr>
    </w:tbl>
    <w:p>
      <w:pPr>
        <w:widowControl/>
      </w:pPr>
    </w:p>
    <w:p>
      <w:pPr>
        <w:pStyle w:val="Heading2"/>
        <w:keepNext/>
        <w:widowControl/>
      </w:pPr>
      <w:r>
        <w:t>5.6 Atomic Payment Completion</w:t>
      </w:r>
    </w:p>
    <w:p>
      <w:pPr>
        <w:pStyle w:val="ListNumber"/>
        <w:widowControl/>
        <w:spacing w:after="40"/>
      </w:pPr>
      <w:r>
        <w:t>Begin a PostgreSQL transaction and lock the Payment row.</w:t>
      </w:r>
    </w:p>
    <w:p>
      <w:pPr>
        <w:pStyle w:val="ListNumber"/>
        <w:widowControl/>
        <w:spacing w:after="40"/>
      </w:pPr>
      <w:r>
        <w:t>Validate that the current state permits completion and that the provider event is not already processed.</w:t>
      </w:r>
    </w:p>
    <w:p>
      <w:pPr>
        <w:pStyle w:val="ListNumber"/>
        <w:widowControl/>
        <w:spacing w:after="40"/>
      </w:pPr>
      <w:r>
        <w:t>Create and validate the balanced Ledger Transaction.</w:t>
      </w:r>
    </w:p>
    <w:p>
      <w:pPr>
        <w:pStyle w:val="ListNumber"/>
        <w:widowControl/>
        <w:spacing w:after="40"/>
      </w:pPr>
      <w:r>
        <w:t>Persist immutable ledger entries.</w:t>
      </w:r>
    </w:p>
    <w:p>
      <w:pPr>
        <w:pStyle w:val="ListNumber"/>
        <w:widowControl/>
        <w:spacing w:after="40"/>
      </w:pPr>
      <w:r>
        <w:t>Mark the Payment as COMPLETED.</w:t>
      </w:r>
    </w:p>
    <w:p>
      <w:pPr>
        <w:pStyle w:val="ListNumber"/>
        <w:widowControl/>
        <w:spacing w:after="40"/>
      </w:pPr>
      <w:r>
        <w:t>Persist provider-processing evidence and the inbox record.</w:t>
      </w:r>
    </w:p>
    <w:p>
      <w:pPr>
        <w:pStyle w:val="ListNumber"/>
        <w:widowControl/>
        <w:spacing w:after="40"/>
      </w:pPr>
      <w:r>
        <w:t>Insert resulting outbox events.</w:t>
      </w:r>
    </w:p>
    <w:p>
      <w:pPr>
        <w:pStyle w:val="ListNumber"/>
        <w:widowControl/>
        <w:spacing w:after="40"/>
      </w:pPr>
      <w:r>
        <w:t>Commit. Any failure rolls back every step.</w:t>
      </w:r>
    </w:p>
    <w:p>
      <w:pPr>
        <w:pStyle w:val="Heading2"/>
        <w:keepNext/>
        <w:widowControl/>
      </w:pPr>
      <w:r>
        <w:t>5.7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Concern</w:t>
            </w:r>
          </w:p>
        </w:tc>
        <w:tc>
          <w:tcPr>
            <w:tcW w:type="dxa" w:w="6912"/>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880"/>
            <w:tcMar>
              <w:top w:w="90" w:type="dxa"/>
              <w:start w:w="90" w:type="dxa"/>
              <w:bottom w:w="90" w:type="dxa"/>
              <w:end w:w="90" w:type="dxa"/>
            </w:tcMar>
            <w:vAlign w:val="top"/>
          </w:tcPr>
          <w:p>
            <w:r>
              <w:rPr>
                <w:sz w:val="17"/>
              </w:rPr>
              <w:t>Payment API idempotency</w:t>
            </w:r>
          </w:p>
        </w:tc>
        <w:tc>
          <w:tcPr>
            <w:tcW w:type="dxa" w:w="6912"/>
            <w:tcMar>
              <w:top w:w="90" w:type="dxa"/>
              <w:start w:w="90" w:type="dxa"/>
              <w:bottom w:w="90" w:type="dxa"/>
              <w:end w:w="90" w:type="dxa"/>
            </w:tcMar>
            <w:vAlign w:val="top"/>
          </w:tcPr>
          <w:p>
            <w:r>
              <w:rPr>
                <w:sz w:val="17"/>
              </w:rPr>
              <w:t>Unique boundary: tenantId + merchantId + idempotencyKey. Same key and same request return the original result; changed payload returns 409.</w:t>
            </w:r>
          </w:p>
        </w:tc>
      </w:tr>
      <w:tr>
        <w:trPr>
          <w:cantSplit/>
        </w:trPr>
        <w:tc>
          <w:tcPr>
            <w:tcW w:type="dxa" w:w="2880"/>
            <w:tcMar>
              <w:top w:w="90" w:type="dxa"/>
              <w:start w:w="90" w:type="dxa"/>
              <w:bottom w:w="90" w:type="dxa"/>
              <w:end w:w="90" w:type="dxa"/>
            </w:tcMar>
            <w:vAlign w:val="top"/>
          </w:tcPr>
          <w:p>
            <w:r>
              <w:rPr>
                <w:sz w:val="17"/>
              </w:rPr>
              <w:t>Concurrent duplicate requests</w:t>
            </w:r>
          </w:p>
        </w:tc>
        <w:tc>
          <w:tcPr>
            <w:tcW w:type="dxa" w:w="6912"/>
            <w:tcMar>
              <w:top w:w="90" w:type="dxa"/>
              <w:start w:w="90" w:type="dxa"/>
              <w:bottom w:w="90" w:type="dxa"/>
              <w:end w:w="90" w:type="dxa"/>
            </w:tcMar>
            <w:vAlign w:val="top"/>
          </w:tcPr>
          <w:p>
            <w:r>
              <w:rPr>
                <w:sz w:val="17"/>
              </w:rPr>
              <w:t>Database uniqueness and narrow locking ensure one Payment is created.</w:t>
            </w:r>
          </w:p>
        </w:tc>
      </w:tr>
      <w:tr>
        <w:trPr>
          <w:cantSplit/>
        </w:trPr>
        <w:tc>
          <w:tcPr>
            <w:tcW w:type="dxa" w:w="2880"/>
            <w:tcMar>
              <w:top w:w="90" w:type="dxa"/>
              <w:start w:w="90" w:type="dxa"/>
              <w:bottom w:w="90" w:type="dxa"/>
              <w:end w:w="90" w:type="dxa"/>
            </w:tcMar>
            <w:vAlign w:val="top"/>
          </w:tcPr>
          <w:p>
            <w:r>
              <w:rPr>
                <w:sz w:val="17"/>
              </w:rPr>
              <w:t>Aggregate concurrency</w:t>
            </w:r>
          </w:p>
        </w:tc>
        <w:tc>
          <w:tcPr>
            <w:tcW w:type="dxa" w:w="6912"/>
            <w:tcMar>
              <w:top w:w="90" w:type="dxa"/>
              <w:start w:w="90" w:type="dxa"/>
              <w:bottom w:w="90" w:type="dxa"/>
              <w:end w:w="90" w:type="dxa"/>
            </w:tcMar>
            <w:vAlign w:val="top"/>
          </w:tcPr>
          <w:p>
            <w:r>
              <w:rPr>
                <w:sz w:val="17"/>
              </w:rPr>
              <w:t>Optimistic locking by default.</w:t>
            </w:r>
          </w:p>
        </w:tc>
      </w:tr>
      <w:tr>
        <w:trPr>
          <w:cantSplit/>
        </w:trPr>
        <w:tc>
          <w:tcPr>
            <w:tcW w:type="dxa" w:w="2880"/>
            <w:tcMar>
              <w:top w:w="90" w:type="dxa"/>
              <w:start w:w="90" w:type="dxa"/>
              <w:bottom w:w="90" w:type="dxa"/>
              <w:end w:w="90" w:type="dxa"/>
            </w:tcMar>
            <w:vAlign w:val="top"/>
          </w:tcPr>
          <w:p>
            <w:r>
              <w:rPr>
                <w:sz w:val="17"/>
              </w:rPr>
              <w:t>High-contention operations</w:t>
            </w:r>
          </w:p>
        </w:tc>
        <w:tc>
          <w:tcPr>
            <w:tcW w:type="dxa" w:w="6912"/>
            <w:tcMar>
              <w:top w:w="90" w:type="dxa"/>
              <w:start w:w="90" w:type="dxa"/>
              <w:bottom w:w="90" w:type="dxa"/>
              <w:end w:w="90" w:type="dxa"/>
            </w:tcMar>
            <w:vAlign w:val="top"/>
          </w:tcPr>
          <w:p>
            <w:r>
              <w:rPr>
                <w:sz w:val="17"/>
              </w:rPr>
              <w:t>Narrow pessimistic locking for payment completion, reversal limits, and idempotency acquisition.</w:t>
            </w:r>
          </w:p>
        </w:tc>
      </w:tr>
      <w:tr>
        <w:trPr>
          <w:cantSplit/>
        </w:trPr>
        <w:tc>
          <w:tcPr>
            <w:tcW w:type="dxa" w:w="2880"/>
            <w:tcMar>
              <w:top w:w="90" w:type="dxa"/>
              <w:start w:w="90" w:type="dxa"/>
              <w:bottom w:w="90" w:type="dxa"/>
              <w:end w:w="90" w:type="dxa"/>
            </w:tcMar>
            <w:vAlign w:val="top"/>
          </w:tcPr>
          <w:p>
            <w:r>
              <w:rPr>
                <w:sz w:val="17"/>
              </w:rPr>
              <w:t>Distributed locks</w:t>
            </w:r>
          </w:p>
        </w:tc>
        <w:tc>
          <w:tcPr>
            <w:tcW w:type="dxa" w:w="6912"/>
            <w:tcMar>
              <w:top w:w="90" w:type="dxa"/>
              <w:start w:w="90" w:type="dxa"/>
              <w:bottom w:w="90" w:type="dxa"/>
              <w:end w:w="90" w:type="dxa"/>
            </w:tcMar>
            <w:vAlign w:val="top"/>
          </w:tcPr>
          <w:p>
            <w:r>
              <w:rPr>
                <w:sz w:val="17"/>
              </w:rPr>
              <w:t>Rejected for financial correctness when database constraints or row locks are sufficient.</w:t>
            </w:r>
          </w:p>
        </w:tc>
      </w:tr>
      <w:tr>
        <w:trPr>
          <w:cantSplit/>
        </w:trPr>
        <w:tc>
          <w:tcPr>
            <w:tcW w:type="dxa" w:w="2880"/>
            <w:tcMar>
              <w:top w:w="90" w:type="dxa"/>
              <w:start w:w="90" w:type="dxa"/>
              <w:bottom w:w="90" w:type="dxa"/>
              <w:end w:w="90" w:type="dxa"/>
            </w:tcMar>
            <w:vAlign w:val="top"/>
          </w:tcPr>
          <w:p>
            <w:r>
              <w:rPr>
                <w:sz w:val="17"/>
              </w:rPr>
              <w:t>Time</w:t>
            </w:r>
          </w:p>
        </w:tc>
        <w:tc>
          <w:tcPr>
            <w:tcW w:type="dxa" w:w="6912"/>
            <w:tcMar>
              <w:top w:w="90" w:type="dxa"/>
              <w:start w:w="90" w:type="dxa"/>
              <w:bottom w:w="90" w:type="dxa"/>
              <w:end w:w="90" w:type="dxa"/>
            </w:tcMar>
            <w:vAlign w:val="top"/>
          </w:tcPr>
          <w:p>
            <w:r>
              <w:rPr>
                <w:sz w:val="17"/>
              </w:rPr>
              <w:t>Domain logic receives an injected Clock; direct widespread calls to Instant.now() are prohibited.</w:t>
            </w:r>
          </w:p>
        </w:tc>
      </w:tr>
    </w:tbl>
    <w:p>
      <w:pPr>
        <w:widowControl/>
      </w:pPr>
    </w:p>
    <w:p>
      <w:pPr>
        <w:pStyle w:val="Heading1"/>
        <w:keepNext/>
        <w:widowControl/>
      </w:pPr>
      <w:r>
        <w:t>6. Data Architecture</w:t>
      </w:r>
    </w:p>
    <w:p>
      <w:pPr>
        <w:pStyle w:val="Heading2"/>
        <w:keepNext/>
        <w:widowControl/>
      </w:pPr>
      <w:r>
        <w:t>6.1 Database Topology</w:t>
      </w:r>
    </w:p>
    <w:p>
      <w:pPr>
        <w:widowControl/>
        <w:spacing w:after="120"/>
      </w:pPr>
      <w:r>
        <w:t>The modular monolith uses one PostgreSQL cluster and one logical database. Each module owns its schema and tables. A single database is intentional because it preserves critical transactional guarantees without distributed transactions.</w:t>
      </w:r>
    </w:p>
    <w:p>
      <w:pPr>
        <w:pStyle w:val="CodeBlock"/>
        <w:keepLines/>
        <w:widowControl/>
      </w:pPr>
      <w:r>
        <w:t>identity.*</w:t>
        <w:br/>
        <w:t>tenancy.*</w:t>
        <w:br/>
        <w:t>merchant.*</w:t>
        <w:br/>
        <w:t>customer.*</w:t>
        <w:br/>
        <w:t>payment.*</w:t>
        <w:br/>
        <w:t>ledger.*</w:t>
        <w:br/>
        <w:t>risk.*</w:t>
        <w:br/>
        <w:t>provider.*</w:t>
        <w:br/>
        <w:t>casework.*</w:t>
        <w:br/>
        <w:t>reconciliation.*</w:t>
        <w:br/>
        <w:t>audit.*</w:t>
        <w:br/>
        <w:t>reporting.*</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Type</w:t>
            </w:r>
          </w:p>
        </w:tc>
        <w:tc>
          <w:tcPr>
            <w:tcW w:type="dxa" w:w="3744"/>
            <w:shd w:fill="1F4E78"/>
            <w:vAlign w:val="center"/>
            <w:tcMar>
              <w:top w:w="90" w:type="dxa"/>
              <w:start w:w="90" w:type="dxa"/>
              <w:bottom w:w="90" w:type="dxa"/>
              <w:end w:w="90" w:type="dxa"/>
            </w:tcMar>
          </w:tcPr>
          <w:p>
            <w:pPr>
              <w:jc w:val="left"/>
            </w:pPr>
            <w:r>
              <w:rPr>
                <w:b/>
                <w:color w:val="FFFFFF"/>
                <w:sz w:val="17"/>
              </w:rPr>
              <w:t>Meaning</w:t>
            </w:r>
          </w:p>
        </w:tc>
        <w:tc>
          <w:tcPr>
            <w:tcW w:type="dxa" w:w="4104"/>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Domain event</w:t>
            </w:r>
          </w:p>
        </w:tc>
        <w:tc>
          <w:tcPr>
            <w:tcW w:type="dxa" w:w="3744"/>
            <w:tcMar>
              <w:top w:w="90" w:type="dxa"/>
              <w:start w:w="90" w:type="dxa"/>
              <w:bottom w:w="90" w:type="dxa"/>
              <w:end w:w="90" w:type="dxa"/>
            </w:tcMar>
            <w:vAlign w:val="top"/>
          </w:tcPr>
          <w:p>
            <w:r>
              <w:rPr>
                <w:sz w:val="17"/>
              </w:rPr>
              <w:t>Business fact inside the model.</w:t>
            </w:r>
          </w:p>
        </w:tc>
        <w:tc>
          <w:tcPr>
            <w:tcW w:type="dxa" w:w="4104"/>
            <w:tcMar>
              <w:top w:w="90" w:type="dxa"/>
              <w:start w:w="90" w:type="dxa"/>
              <w:bottom w:w="90" w:type="dxa"/>
              <w:end w:w="90" w:type="dxa"/>
            </w:tcMar>
            <w:vAlign w:val="top"/>
          </w:tcPr>
          <w:p>
            <w:r>
              <w:rPr>
                <w:sz w:val="17"/>
              </w:rPr>
              <w:t>PaymentCompleted, LedgerTransactionPosted</w:t>
            </w:r>
          </w:p>
        </w:tc>
      </w:tr>
      <w:tr>
        <w:trPr>
          <w:cantSplit/>
        </w:trPr>
        <w:tc>
          <w:tcPr>
            <w:tcW w:type="dxa" w:w="1944"/>
            <w:tcMar>
              <w:top w:w="90" w:type="dxa"/>
              <w:start w:w="90" w:type="dxa"/>
              <w:bottom w:w="90" w:type="dxa"/>
              <w:end w:w="90" w:type="dxa"/>
            </w:tcMar>
            <w:vAlign w:val="top"/>
          </w:tcPr>
          <w:p>
            <w:r>
              <w:rPr>
                <w:sz w:val="17"/>
              </w:rPr>
              <w:t>Integration event</w:t>
            </w:r>
          </w:p>
        </w:tc>
        <w:tc>
          <w:tcPr>
            <w:tcW w:type="dxa" w:w="3744"/>
            <w:tcMar>
              <w:top w:w="90" w:type="dxa"/>
              <w:start w:w="90" w:type="dxa"/>
              <w:bottom w:w="90" w:type="dxa"/>
              <w:end w:w="90" w:type="dxa"/>
            </w:tcMar>
            <w:vAlign w:val="top"/>
          </w:tcPr>
          <w:p>
            <w:r>
              <w:rPr>
                <w:sz w:val="17"/>
              </w:rPr>
              <w:t>Stable fact published for another deployable component.</w:t>
            </w:r>
          </w:p>
        </w:tc>
        <w:tc>
          <w:tcPr>
            <w:tcW w:type="dxa" w:w="4104"/>
            <w:tcMar>
              <w:top w:w="90" w:type="dxa"/>
              <w:start w:w="90" w:type="dxa"/>
              <w:bottom w:w="90" w:type="dxa"/>
              <w:end w:w="90" w:type="dxa"/>
            </w:tcMar>
            <w:vAlign w:val="top"/>
          </w:tcPr>
          <w:p>
            <w:r>
              <w:rPr>
                <w:sz w:val="17"/>
              </w:rPr>
              <w:t>PaymentCompletedV1, ReconciliationCompletedV1</w:t>
            </w:r>
          </w:p>
        </w:tc>
      </w:tr>
      <w:tr>
        <w:trPr>
          <w:cantSplit/>
        </w:trPr>
        <w:tc>
          <w:tcPr>
            <w:tcW w:type="dxa" w:w="1944"/>
            <w:tcMar>
              <w:top w:w="90" w:type="dxa"/>
              <w:start w:w="90" w:type="dxa"/>
              <w:bottom w:w="90" w:type="dxa"/>
              <w:end w:w="90" w:type="dxa"/>
            </w:tcMar>
            <w:vAlign w:val="top"/>
          </w:tcPr>
          <w:p>
            <w:r>
              <w:rPr>
                <w:sz w:val="17"/>
              </w:rPr>
              <w:t>Command</w:t>
            </w:r>
          </w:p>
        </w:tc>
        <w:tc>
          <w:tcPr>
            <w:tcW w:type="dxa" w:w="3744"/>
            <w:tcMar>
              <w:top w:w="90" w:type="dxa"/>
              <w:start w:w="90" w:type="dxa"/>
              <w:bottom w:w="90" w:type="dxa"/>
              <w:end w:w="90" w:type="dxa"/>
            </w:tcMar>
            <w:vAlign w:val="top"/>
          </w:tcPr>
          <w:p>
            <w:r>
              <w:rPr>
                <w:sz w:val="17"/>
              </w:rPr>
              <w:t>Request for another component to perform work.</w:t>
            </w:r>
          </w:p>
        </w:tc>
        <w:tc>
          <w:tcPr>
            <w:tcW w:type="dxa" w:w="4104"/>
            <w:tcMar>
              <w:top w:w="90" w:type="dxa"/>
              <w:start w:w="90" w:type="dxa"/>
              <w:bottom w:w="90" w:type="dxa"/>
              <w:end w:w="90" w:type="dxa"/>
            </w:tcMar>
            <w:vAlign w:val="top"/>
          </w:tcPr>
          <w:p>
            <w:r>
              <w:rPr>
                <w:sz w:val="17"/>
              </w:rPr>
              <w:t>SubmitPaymentToProvider, RunReconciliation</w:t>
            </w:r>
          </w:p>
        </w:tc>
      </w:tr>
    </w:tbl>
    <w:p>
      <w:pPr>
        <w:widowControl/>
      </w:pPr>
    </w:p>
    <w:p>
      <w:pPr>
        <w:pStyle w:val="Heading2"/>
        <w:keepNext/>
        <w:widowControl/>
      </w:pPr>
      <w:r>
        <w:t>7.2 Topic Topology</w:t>
      </w:r>
    </w:p>
    <w:p>
      <w:pPr>
        <w:pStyle w:val="CodeBlock"/>
        <w:keepLines/>
        <w:widowControl/>
      </w:pPr>
      <w:r>
        <w:t>ledgerops.payment.lifecycle.v1</w:t>
        <w:br/>
        <w:t>ledgerops.provider.commands.v1</w:t>
        <w:br/>
        <w:t>ledgerops.provider.results.v1</w:t>
        <w:br/>
        <w:t>ledgerops.ledger.lifecycle.v1</w:t>
        <w:br/>
        <w:t>ledgerops.reversal.lifecycle.v1</w:t>
        <w:br/>
        <w:t>ledgerops.reconciliation.commands.v1</w:t>
        <w:br/>
        <w:t>ledgerops.reconciliation.results.v1</w:t>
        <w:br/>
        <w:t>ledgerops.casework.lifecycle.v1</w:t>
        <w:br/>
        <w:t>ledgerops.notifications.commands.v1</w:t>
        <w:br/>
        <w:t>ledgerops.audit.lifecycle.v1</w:t>
      </w:r>
    </w:p>
    <w:p>
      <w:pPr>
        <w:widowControl/>
        <w:spacing w:after="120"/>
      </w:pPr>
      <w:r>
        <w:t>Topics are organized by business capability rather than by Java class. Aggregate IDs are the default partition keys, preserving ordering only within one aggregate. Tenant ID is not used as the default partition key because a large tenant could create a hot partition.</w:t>
      </w:r>
    </w:p>
    <w:p>
      <w:pPr>
        <w:pStyle w:val="Heading2"/>
        <w:keepNext/>
        <w:widowControl/>
      </w:pPr>
      <w:r>
        <w:t>7.3 Message Envelope</w:t>
      </w:r>
    </w:p>
    <w:p>
      <w:pPr>
        <w:pStyle w:val="CodeBlock"/>
        <w:keepLines/>
        <w:widowControl/>
      </w:pPr>
      <w:r>
        <w:t>{</w:t>
        <w:br/>
        <w:t xml:space="preserve">  "messageId": "evt_01J...",</w:t>
        <w:br/>
        <w:t xml:space="preserve">  "messageType": "PaymentCompleted",</w:t>
        <w:br/>
        <w:t xml:space="preserve">  "schemaVersion": 1,</w:t>
        <w:br/>
        <w:t xml:space="preserve">  "aggregateId": "pay_01J...",</w:t>
        <w:br/>
        <w:t xml:space="preserve">  "tenantId": "tenant_01J...",</w:t>
        <w:br/>
        <w:t xml:space="preserve">  "correlationId": "corr_01J...",</w:t>
        <w:br/>
        <w:t xml:space="preserve">  "causationId": "evt_01J...",</w:t>
        <w:br/>
        <w:t xml:space="preserve">  "occurredAt": "2026-07-13T12:00:00Z",</w:t>
        <w:br/>
        <w:t xml:space="preserve">  "payload": { ... }</w:t>
        <w:br/>
        <w:t>}</w:t>
      </w:r>
    </w:p>
    <w:p>
      <w:pPr>
        <w:pStyle w:val="Heading2"/>
        <w:keepNext/>
        <w:widowControl/>
      </w:pPr>
      <w:r>
        <w:t>7.4 Delivery Model</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Guarantee: </w:t>
            </w:r>
            <w:r>
              <w:t>At-least-once delivery with idempotent consumers. LedgerOps makes no unsupported end-to-end exactly-once claim.</w:t>
            </w:r>
          </w:p>
        </w:tc>
      </w:tr>
    </w:tbl>
    <w:p>
      <w:pPr>
        <w:widowControl/>
      </w:pPr>
    </w:p>
    <w:p>
      <w:pPr>
        <w:pStyle w:val="Heading2"/>
        <w:keepNext/>
        <w:widowControl/>
      </w:pPr>
      <w:r>
        <w:t>7.5 Transactional Outbox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F4E78"/>
            <w:vAlign w:val="center"/>
            <w:tcMar>
              <w:top w:w="90" w:type="dxa"/>
              <w:start w:w="90" w:type="dxa"/>
              <w:bottom w:w="90" w:type="dxa"/>
              <w:end w:w="90" w:type="dxa"/>
            </w:tcMar>
          </w:tcPr>
          <w:p>
            <w:pPr>
              <w:jc w:val="left"/>
            </w:pPr>
            <w:r>
              <w:rPr>
                <w:b/>
                <w:color w:val="FFFFFF"/>
                <w:sz w:val="17"/>
              </w:rPr>
              <w:t>Column group</w:t>
            </w:r>
          </w:p>
        </w:tc>
        <w:tc>
          <w:tcPr>
            <w:tcW w:type="dxa" w:w="7632"/>
            <w:shd w:fill="1F4E78"/>
            <w:vAlign w:val="center"/>
            <w:tcMar>
              <w:top w:w="90" w:type="dxa"/>
              <w:start w:w="90" w:type="dxa"/>
              <w:bottom w:w="90" w:type="dxa"/>
              <w:end w:w="90" w:type="dxa"/>
            </w:tcMar>
          </w:tcPr>
          <w:p>
            <w:pPr>
              <w:jc w:val="left"/>
            </w:pPr>
            <w:r>
              <w:rPr>
                <w:b/>
                <w:color w:val="FFFFFF"/>
                <w:sz w:val="17"/>
              </w:rPr>
              <w:t>Fields</w:t>
            </w:r>
          </w:p>
        </w:tc>
      </w:tr>
      <w:tr>
        <w:trPr>
          <w:cantSplit/>
        </w:trPr>
        <w:tc>
          <w:tcPr>
            <w:tcW w:type="dxa" w:w="2160"/>
            <w:tcMar>
              <w:top w:w="90" w:type="dxa"/>
              <w:start w:w="90" w:type="dxa"/>
              <w:bottom w:w="90" w:type="dxa"/>
              <w:end w:w="90" w:type="dxa"/>
            </w:tcMar>
            <w:vAlign w:val="top"/>
          </w:tcPr>
          <w:p>
            <w:r>
              <w:rPr>
                <w:sz w:val="17"/>
              </w:rPr>
              <w:t>Identity</w:t>
            </w:r>
          </w:p>
        </w:tc>
        <w:tc>
          <w:tcPr>
            <w:tcW w:type="dxa" w:w="7632"/>
            <w:tcMar>
              <w:top w:w="90" w:type="dxa"/>
              <w:start w:w="90" w:type="dxa"/>
              <w:bottom w:w="90" w:type="dxa"/>
              <w:end w:w="90" w:type="dxa"/>
            </w:tcMar>
            <w:vAlign w:val="top"/>
          </w:tcPr>
          <w:p>
            <w:r>
              <w:rPr>
                <w:sz w:val="17"/>
              </w:rPr>
              <w:t>id, aggregate_type, aggregate_id, message_type, schema_version</w:t>
            </w:r>
          </w:p>
        </w:tc>
      </w:tr>
      <w:tr>
        <w:trPr>
          <w:cantSplit/>
        </w:trPr>
        <w:tc>
          <w:tcPr>
            <w:tcW w:type="dxa" w:w="2160"/>
            <w:tcMar>
              <w:top w:w="90" w:type="dxa"/>
              <w:start w:w="90" w:type="dxa"/>
              <w:bottom w:w="90" w:type="dxa"/>
              <w:end w:w="90" w:type="dxa"/>
            </w:tcMar>
            <w:vAlign w:val="top"/>
          </w:tcPr>
          <w:p>
            <w:r>
              <w:rPr>
                <w:sz w:val="17"/>
              </w:rPr>
              <w:t>Routing</w:t>
            </w:r>
          </w:p>
        </w:tc>
        <w:tc>
          <w:tcPr>
            <w:tcW w:type="dxa" w:w="7632"/>
            <w:tcMar>
              <w:top w:w="90" w:type="dxa"/>
              <w:start w:w="90" w:type="dxa"/>
              <w:bottom w:w="90" w:type="dxa"/>
              <w:end w:w="90" w:type="dxa"/>
            </w:tcMar>
            <w:vAlign w:val="top"/>
          </w:tcPr>
          <w:p>
            <w:r>
              <w:rPr>
                <w:sz w:val="17"/>
              </w:rPr>
              <w:t>topic, partition_key, headers</w:t>
            </w:r>
          </w:p>
        </w:tc>
      </w:tr>
      <w:tr>
        <w:trPr>
          <w:cantSplit/>
        </w:trPr>
        <w:tc>
          <w:tcPr>
            <w:tcW w:type="dxa" w:w="2160"/>
            <w:tcMar>
              <w:top w:w="90" w:type="dxa"/>
              <w:start w:w="90" w:type="dxa"/>
              <w:bottom w:w="90" w:type="dxa"/>
              <w:end w:w="90" w:type="dxa"/>
            </w:tcMar>
            <w:vAlign w:val="top"/>
          </w:tcPr>
          <w:p>
            <w:r>
              <w:rPr>
                <w:sz w:val="17"/>
              </w:rPr>
              <w:t>Payload</w:t>
            </w:r>
          </w:p>
        </w:tc>
        <w:tc>
          <w:tcPr>
            <w:tcW w:type="dxa" w:w="7632"/>
            <w:tcMar>
              <w:top w:w="90" w:type="dxa"/>
              <w:start w:w="90" w:type="dxa"/>
              <w:bottom w:w="90" w:type="dxa"/>
              <w:end w:w="90" w:type="dxa"/>
            </w:tcMar>
            <w:vAlign w:val="top"/>
          </w:tcPr>
          <w:p>
            <w:r>
              <w:rPr>
                <w:sz w:val="17"/>
              </w:rPr>
              <w:t>serialized payload</w:t>
            </w:r>
          </w:p>
        </w:tc>
      </w:tr>
      <w:tr>
        <w:trPr>
          <w:cantSplit/>
        </w:trPr>
        <w:tc>
          <w:tcPr>
            <w:tcW w:type="dxa" w:w="2160"/>
            <w:tcMar>
              <w:top w:w="90" w:type="dxa"/>
              <w:start w:w="90" w:type="dxa"/>
              <w:bottom w:w="90" w:type="dxa"/>
              <w:end w:w="90" w:type="dxa"/>
            </w:tcMar>
            <w:vAlign w:val="top"/>
          </w:tcPr>
          <w:p>
            <w:r>
              <w:rPr>
                <w:sz w:val="17"/>
              </w:rPr>
              <w:t>Lifecycle</w:t>
            </w:r>
          </w:p>
        </w:tc>
        <w:tc>
          <w:tcPr>
            <w:tcW w:type="dxa" w:w="7632"/>
            <w:tcMar>
              <w:top w:w="90" w:type="dxa"/>
              <w:start w:w="90" w:type="dxa"/>
              <w:bottom w:w="90" w:type="dxa"/>
              <w:end w:w="90" w:type="dxa"/>
            </w:tcMar>
            <w:vAlign w:val="top"/>
          </w:tcPr>
          <w:p>
            <w:r>
              <w:rPr>
                <w:sz w:val="17"/>
              </w:rPr>
              <w:t>status, attempt_count, created_at, published_at, next_attempt_at, last_error</w:t>
            </w:r>
          </w:p>
        </w:tc>
      </w:tr>
    </w:tbl>
    <w:p>
      <w:pPr>
        <w:widowControl/>
      </w:pPr>
    </w:p>
    <w:p>
      <w:pPr>
        <w:widowControl/>
        <w:spacing w:after="120"/>
      </w:pPr>
      <w:r>
        <w:t>Business state and its outbox record commit in the same PostgreSQL transaction. A polling publisher claims rows using FOR UPDATE SKIP LOCKED. Multiple publisher instances may run safely. If Kafka accepts a message and the publisher crashes before marking the row published, the message may be sent again; consumer idempotency prevents duplicate effects.</w:t>
      </w:r>
    </w:p>
    <w:p>
      <w:pPr>
        <w:pStyle w:val="Heading2"/>
        <w:keepNext/>
        <w:widowControl/>
      </w:pPr>
      <w:r>
        <w:t>7.6 Consumer Inbox</w:t>
      </w:r>
    </w:p>
    <w:p>
      <w:pPr>
        <w:pStyle w:val="ListNumber"/>
        <w:widowControl/>
        <w:spacing w:after="40"/>
      </w:pPr>
      <w:r>
        <w:t>Begin a database transaction.</w:t>
      </w:r>
    </w:p>
    <w:p>
      <w:pPr>
        <w:pStyle w:val="ListNumber"/>
        <w:widowControl/>
        <w:spacing w:after="40"/>
      </w:pPr>
      <w:r>
        <w:t>Insert consumer_name + message_id into a uniquely constrained inbox table.</w:t>
      </w:r>
    </w:p>
    <w:p>
      <w:pPr>
        <w:pStyle w:val="ListNumber"/>
        <w:widowControl/>
        <w:spacing w:after="40"/>
      </w:pPr>
      <w:r>
        <w:t>If the record already exists, acknowledge without repeating business work.</w:t>
      </w:r>
    </w:p>
    <w:p>
      <w:pPr>
        <w:pStyle w:val="ListNumber"/>
        <w:widowControl/>
        <w:spacing w:after="40"/>
      </w:pPr>
      <w:r>
        <w:t>Execute the business operation.</w:t>
      </w:r>
    </w:p>
    <w:p>
      <w:pPr>
        <w:pStyle w:val="ListNumber"/>
        <w:widowControl/>
        <w:spacing w:after="40"/>
      </w:pPr>
      <w:r>
        <w:t>Commit the inbox record and business changes together.</w:t>
      </w:r>
    </w:p>
    <w:p>
      <w:pPr>
        <w:pStyle w:val="ListNumber"/>
        <w:widowControl/>
        <w:spacing w:after="40"/>
      </w:pPr>
      <w:r>
        <w:t>Acknowledge the Kafka message.</w:t>
      </w:r>
    </w:p>
    <w:p>
      <w:pPr>
        <w:pStyle w:val="Heading2"/>
        <w:keepNext/>
        <w:widowControl/>
      </w:pPr>
      <w:r>
        <w:t>7.7 Retry and Dead-Letter Handling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vAlign w:val="center"/>
            <w:tcMar>
              <w:top w:w="90" w:type="dxa"/>
              <w:start w:w="90" w:type="dxa"/>
              <w:bottom w:w="90" w:type="dxa"/>
              <w:end w:w="90" w:type="dxa"/>
            </w:tcMar>
          </w:tcPr>
          <w:p>
            <w:pPr>
              <w:jc w:val="left"/>
            </w:pPr>
            <w:r>
              <w:rPr>
                <w:b/>
                <w:color w:val="FFFFFF"/>
                <w:sz w:val="17"/>
              </w:rPr>
              <w:t>Failure class</w:t>
            </w:r>
          </w:p>
        </w:tc>
        <w:tc>
          <w:tcPr>
            <w:tcW w:type="dxa" w:w="7560"/>
            <w:shd w:fill="1F4E78"/>
            <w:vAlign w:val="center"/>
            <w:tcMar>
              <w:top w:w="90" w:type="dxa"/>
              <w:start w:w="90" w:type="dxa"/>
              <w:bottom w:w="90" w:type="dxa"/>
              <w:end w:w="90" w:type="dxa"/>
            </w:tcMar>
          </w:tcPr>
          <w:p>
            <w:pPr>
              <w:jc w:val="left"/>
            </w:pPr>
            <w:r>
              <w:rPr>
                <w:b/>
                <w:color w:val="FFFFFF"/>
                <w:sz w:val="17"/>
              </w:rPr>
              <w:t>Behaviour</w:t>
            </w:r>
          </w:p>
        </w:tc>
      </w:tr>
      <w:tr>
        <w:trPr>
          <w:cantSplit/>
        </w:trPr>
        <w:tc>
          <w:tcPr>
            <w:tcW w:type="dxa" w:w="2232"/>
            <w:tcMar>
              <w:top w:w="90" w:type="dxa"/>
              <w:start w:w="90" w:type="dxa"/>
              <w:bottom w:w="90" w:type="dxa"/>
              <w:end w:w="90" w:type="dxa"/>
            </w:tcMar>
            <w:vAlign w:val="top"/>
          </w:tcPr>
          <w:p>
            <w:r>
              <w:rPr>
                <w:sz w:val="17"/>
              </w:rPr>
              <w:t>Transient</w:t>
            </w:r>
          </w:p>
        </w:tc>
        <w:tc>
          <w:tcPr>
            <w:tcW w:type="dxa" w:w="7560"/>
            <w:tcMar>
              <w:top w:w="90" w:type="dxa"/>
              <w:start w:w="90" w:type="dxa"/>
              <w:bottom w:w="90" w:type="dxa"/>
              <w:end w:w="90" w:type="dxa"/>
            </w:tcMar>
            <w:vAlign w:val="top"/>
          </w:tcPr>
          <w:p>
            <w:r>
              <w:rPr>
                <w:sz w:val="17"/>
              </w:rPr>
              <w:t>Retry with exponential backoff and jitter.</w:t>
            </w:r>
          </w:p>
        </w:tc>
      </w:tr>
      <w:tr>
        <w:trPr>
          <w:cantSplit/>
        </w:trPr>
        <w:tc>
          <w:tcPr>
            <w:tcW w:type="dxa" w:w="2232"/>
            <w:tcMar>
              <w:top w:w="90" w:type="dxa"/>
              <w:start w:w="90" w:type="dxa"/>
              <w:bottom w:w="90" w:type="dxa"/>
              <w:end w:w="90" w:type="dxa"/>
            </w:tcMar>
            <w:vAlign w:val="top"/>
          </w:tcPr>
          <w:p>
            <w:r>
              <w:rPr>
                <w:sz w:val="17"/>
              </w:rPr>
              <w:t>Permanent</w:t>
            </w:r>
          </w:p>
        </w:tc>
        <w:tc>
          <w:tcPr>
            <w:tcW w:type="dxa" w:w="7560"/>
            <w:tcMar>
              <w:top w:w="90" w:type="dxa"/>
              <w:start w:w="90" w:type="dxa"/>
              <w:bottom w:w="90" w:type="dxa"/>
              <w:end w:w="90" w:type="dxa"/>
            </w:tcMar>
            <w:vAlign w:val="top"/>
          </w:tcPr>
          <w:p>
            <w:r>
              <w:rPr>
                <w:sz w:val="17"/>
              </w:rPr>
              <w:t>Do not retry indefinitely; route to dead-letter handling and create an operational signal.</w:t>
            </w:r>
          </w:p>
        </w:tc>
      </w:tr>
      <w:tr>
        <w:trPr>
          <w:cantSplit/>
        </w:trPr>
        <w:tc>
          <w:tcPr>
            <w:tcW w:type="dxa" w:w="2232"/>
            <w:tcMar>
              <w:top w:w="90" w:type="dxa"/>
              <w:start w:w="90" w:type="dxa"/>
              <w:bottom w:w="90" w:type="dxa"/>
              <w:end w:w="90" w:type="dxa"/>
            </w:tcMar>
            <w:vAlign w:val="top"/>
          </w:tcPr>
          <w:p>
            <w:r>
              <w:rPr>
                <w:sz w:val="17"/>
              </w:rPr>
              <w:t>Poison message</w:t>
            </w:r>
          </w:p>
        </w:tc>
        <w:tc>
          <w:tcPr>
            <w:tcW w:type="dxa" w:w="7560"/>
            <w:tcMar>
              <w:top w:w="90" w:type="dxa"/>
              <w:start w:w="90" w:type="dxa"/>
              <w:bottom w:w="90" w:type="dxa"/>
              <w:end w:w="90" w:type="dxa"/>
            </w:tcMar>
            <w:vAlign w:val="top"/>
          </w:tcPr>
          <w:p>
            <w:r>
              <w:rPr>
                <w:sz w:val="17"/>
              </w:rPr>
              <w:t>Move after threshold, preserve metadata, continue partition processing.</w:t>
            </w:r>
          </w:p>
        </w:tc>
      </w:tr>
      <w:tr>
        <w:trPr>
          <w:cantSplit/>
        </w:trPr>
        <w:tc>
          <w:tcPr>
            <w:tcW w:type="dxa" w:w="2232"/>
            <w:tcMar>
              <w:top w:w="90" w:type="dxa"/>
              <w:start w:w="90" w:type="dxa"/>
              <w:bottom w:w="90" w:type="dxa"/>
              <w:end w:w="90" w:type="dxa"/>
            </w:tcMar>
            <w:vAlign w:val="top"/>
          </w:tcPr>
          <w:p>
            <w:r>
              <w:rPr>
                <w:sz w:val="17"/>
              </w:rPr>
              <w:t>Unsupported version</w:t>
            </w:r>
          </w:p>
        </w:tc>
        <w:tc>
          <w:tcPr>
            <w:tcW w:type="dxa" w:w="7560"/>
            <w:tcMar>
              <w:top w:w="90" w:type="dxa"/>
              <w:start w:w="90" w:type="dxa"/>
              <w:bottom w:w="90" w:type="dxa"/>
              <w:end w:w="90" w:type="dxa"/>
            </w:tcMar>
            <w:vAlign w:val="top"/>
          </w:tcPr>
          <w:p>
            <w:r>
              <w:rPr>
                <w:sz w:val="17"/>
              </w:rPr>
              <w:t>Dead-letter immediately with explicit schema-version failure.</w:t>
            </w:r>
          </w:p>
        </w:tc>
      </w:tr>
      <w:tr>
        <w:trPr>
          <w:cantSplit/>
        </w:trPr>
        <w:tc>
          <w:tcPr>
            <w:tcW w:type="dxa" w:w="2232"/>
            <w:tcMar>
              <w:top w:w="90" w:type="dxa"/>
              <w:start w:w="90" w:type="dxa"/>
              <w:bottom w:w="90" w:type="dxa"/>
              <w:end w:w="90" w:type="dxa"/>
            </w:tcMar>
            <w:vAlign w:val="top"/>
          </w:tcPr>
          <w:p>
            <w:r>
              <w:rPr>
                <w:sz w:val="17"/>
              </w:rPr>
              <w:t>Financial side effect</w:t>
            </w:r>
          </w:p>
        </w:tc>
        <w:tc>
          <w:tcPr>
            <w:tcW w:type="dxa" w:w="7560"/>
            <w:tcMar>
              <w:top w:w="90" w:type="dxa"/>
              <w:start w:w="90" w:type="dxa"/>
              <w:bottom w:w="90" w:type="dxa"/>
              <w:end w:w="90" w:type="dxa"/>
            </w:tcMar>
            <w:vAlign w:val="top"/>
          </w:tcPr>
          <w:p>
            <w:r>
              <w:rPr>
                <w:sz w:val="17"/>
              </w:rPr>
              <w:t>Manual replay requires current-state validation, permission, reason, and audit.</w:t>
            </w:r>
          </w:p>
        </w:tc>
      </w:tr>
    </w:tbl>
    <w:p>
      <w:pPr>
        <w:widowControl/>
      </w:pPr>
    </w:p>
    <w:p>
      <w:pPr>
        <w:pStyle w:val="Heading2"/>
        <w:keepNext/>
        <w:widowControl/>
      </w:pPr>
      <w:r>
        <w:t>7.8 Event Versioning</w:t>
      </w:r>
    </w:p>
    <w:p>
      <w:pPr>
        <w:pStyle w:val="ListBullet"/>
        <w:widowControl/>
        <w:spacing w:after="40"/>
      </w:pPr>
      <w:r>
        <w:t>JSON and JSON Schema are used initially for inspectability and lower operational overhead.</w:t>
      </w:r>
    </w:p>
    <w:p>
      <w:pPr>
        <w:pStyle w:val="ListBullet"/>
        <w:widowControl/>
        <w:spacing w:after="40"/>
      </w:pPr>
      <w:r>
        <w:t>Adding optional fields is backward compatible; removing or changing required meanings requires a new version.</w:t>
      </w:r>
    </w:p>
    <w:p>
      <w:pPr>
        <w:pStyle w:val="ListBullet"/>
        <w:widowControl/>
        <w:spacing w:after="40"/>
      </w:pPr>
      <w:r>
        <w:t>Consumers explicitly declare supported versions.</w:t>
      </w:r>
    </w:p>
    <w:p>
      <w:pPr>
        <w:pStyle w:val="ListBullet"/>
        <w:widowControl/>
        <w:spacing w:after="40"/>
      </w:pPr>
      <w:r>
        <w:t>Avro and Schema Registry are a documented future option, not a first-release requirement.</w:t>
      </w:r>
    </w:p>
    <w:p>
      <w:pPr>
        <w:pStyle w:val="ListBullet"/>
        <w:widowControl/>
        <w:spacing w:after="40"/>
      </w:pPr>
      <w:r>
        <w:t>JPA entities and domain aggregates never become shared event contracts.</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r>
              <w:rPr>
                <w:sz w:val="17"/>
              </w:rPr>
              <w:t>OIDC Authorization Code Flow with PKCE; secure HTTP-only cookies through a backend-for-frontend pattern where practical.</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r>
              <w:rPr>
                <w:sz w:val="17"/>
              </w:rPr>
              <w:t>OAuth 2.0 Client Credentials with a distinct client identity for each service.</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r>
              <w:rPr>
                <w:sz w:val="17"/>
              </w:rPr>
              <w:t>Tenant lifecycle, platform health, controlled support sessions.</w:t>
            </w:r>
          </w:p>
        </w:tc>
        <w:tc>
          <w:tcPr>
            <w:tcW w:type="dxa" w:w="3024"/>
            <w:tcMar>
              <w:top w:w="90" w:type="dxa"/>
              <w:start w:w="90" w:type="dxa"/>
              <w:bottom w:w="90" w:type="dxa"/>
              <w:end w:w="90" w:type="dxa"/>
            </w:tcMar>
            <w:vAlign w:val="top"/>
          </w:tcPr>
          <w:p>
            <w:r>
              <w:rPr>
                <w:sz w:val="17"/>
              </w:rPr>
              <w:t>No silent universal business access.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r>
              <w:rPr>
                <w:sz w:val="17"/>
              </w:rPr>
              <w:t>Tenant users, roles, limits, tenant-wide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r>
              <w:rPr>
                <w:sz w:val="17"/>
              </w:rPr>
              <w:t>Assigned merchant configuration, payment views, reports, permitted reversal requests.</w:t>
            </w:r>
          </w:p>
        </w:tc>
        <w:tc>
          <w:tcPr>
            <w:tcW w:type="dxa" w:w="3024"/>
            <w:tcMar>
              <w:top w:w="90" w:type="dxa"/>
              <w:start w:w="90" w:type="dxa"/>
              <w:bottom w:w="90" w:type="dxa"/>
              <w:end w:w="90" w:type="dxa"/>
            </w:tcMar>
            <w:vAlign w:val="top"/>
          </w:tcPr>
          <w:p>
            <w:r>
              <w:rPr>
                <w:sz w:val="17"/>
              </w:rPr>
              <w:t>Cannot access unassigned merchants.</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rPr>
                <w:sz w:val="17"/>
              </w:rPr>
              <w:t>Review risk cases and authorized rules.</w:t>
            </w:r>
          </w:p>
        </w:tc>
        <w:tc>
          <w:tcPr>
            <w:tcW w:type="dxa" w:w="3024"/>
            <w:tcMar>
              <w:top w:w="90" w:type="dxa"/>
              <w:start w:w="90" w:type="dxa"/>
              <w:bottom w:w="90" w:type="dxa"/>
              <w:end w:w="90" w:type="dxa"/>
            </w:tcMar>
            <w:vAlign w:val="top"/>
          </w:tcPr>
          <w:p>
            <w:r>
              <w:rPr>
                <w:sz w:val="17"/>
              </w:rPr>
              <w:t>Cannot administer users or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r>
              <w:rPr>
                <w:sz w:val="17"/>
              </w:rPr>
              <w:t>Only explicitly assigned machine operations.</w:t>
            </w:r>
          </w:p>
        </w:tc>
        <w:tc>
          <w:tcPr>
            <w:tcW w:type="dxa" w:w="3024"/>
            <w:tcMar>
              <w:top w:w="90" w:type="dxa"/>
              <w:start w:w="90" w:type="dxa"/>
              <w:bottom w:w="90" w:type="dxa"/>
              <w:end w:w="90" w:type="dxa"/>
            </w:tcMar>
            <w:vAlign w:val="top"/>
          </w:tcPr>
          <w:p>
            <w:r>
              <w:rPr>
                <w:sz w:val="17"/>
              </w:rPr>
              <w:t>No shared universal service identity.</w:t>
            </w:r>
          </w:p>
        </w:tc>
      </w:tr>
    </w:tbl>
    <w:p>
      <w:pPr>
        <w:widowControl/>
      </w:pPr>
    </w:p>
    <w:p>
      <w:pPr>
        <w:widowControl/>
        <w:spacing w:after="120"/>
      </w:pPr>
      <w:r>
        <w:t>Application code authorizes explicit permissions such as payment:read, reversal:approve, reconciliation:resolve, and support:tenant-access. Role names are not hard-coded throughout use cases.</w:t>
      </w:r>
    </w:p>
    <w:p>
      <w:pPr>
        <w:pStyle w:val="Heading2"/>
        <w:keepNext/>
        <w:widowControl/>
      </w:pPr>
      <w:r>
        <w:t>8.4 Authorization Layers</w:t>
      </w:r>
    </w:p>
    <w:p>
      <w:pPr>
        <w:pStyle w:val="ListNumber"/>
        <w:widowControl/>
        <w:spacing w:after="40"/>
      </w:pPr>
      <w:r>
        <w:t>API layer rejects obviously unauthorized endpoints.</w:t>
      </w:r>
    </w:p>
    <w:p>
      <w:pPr>
        <w:pStyle w:val="ListNumber"/>
        <w:widowControl/>
        <w:spacing w:after="40"/>
      </w:pPr>
      <w:r>
        <w:t>Application layer checks the required permission, resource tenant, merchant scope, and business-state rules.</w:t>
      </w:r>
    </w:p>
    <w:p>
      <w:pPr>
        <w:pStyle w:val="ListNumber"/>
        <w:widowControl/>
        <w:spacing w:after="40"/>
      </w:pPr>
      <w:r>
        <w:t>Repositories require tenant-scoped query methods.</w:t>
      </w:r>
    </w:p>
    <w:p>
      <w:pPr>
        <w:pStyle w:val="ListNumber"/>
        <w:widowControl/>
        <w:spacing w:after="40"/>
      </w:pPr>
      <w:r>
        <w:t>Optional PostgreSQL RLS adds database-level defence in depth.</w:t>
      </w:r>
    </w:p>
    <w:p>
      <w:pPr>
        <w:pStyle w:val="ListNumber"/>
        <w:widowControl/>
        <w:spacing w:after="40"/>
      </w:pPr>
      <w:r>
        <w:t>Frontend visibility is usability only and never the security boundary.</w:t>
      </w:r>
    </w:p>
    <w:p>
      <w:pPr>
        <w:pStyle w:val="Heading2"/>
        <w:keepNext/>
        <w:widowControl/>
      </w:pPr>
      <w:r>
        <w:t>8.5 Sensitive Operations and Maker-Checker</w:t>
      </w:r>
    </w:p>
    <w:p>
      <w:pPr>
        <w:pStyle w:val="ListBullet"/>
        <w:widowControl/>
        <w:spacing w:after="40"/>
      </w:pPr>
      <w:r>
        <w:t>Reversals above a threshold, manual ledger corrections, production risk-rule changes, bulk discrepancy resolution, tenant suspension, and financial dead-letter replay may require approval.</w:t>
      </w:r>
    </w:p>
    <w:p>
      <w:pPr>
        <w:pStyle w:val="ListBullet"/>
        <w:widowControl/>
        <w:spacing w:after="40"/>
      </w:pPr>
      <w:r>
        <w:t>The requester cannot approve their own request.</w:t>
      </w:r>
    </w:p>
    <w:p>
      <w:pPr>
        <w:pStyle w:val="ListBullet"/>
        <w:widowControl/>
        <w:spacing w:after="40"/>
      </w:pPr>
      <w:r>
        <w:t>Approval states: DRAFT, PENDING_APPROVAL, APPROVED, REJECTED, EXECUTED, CANCELLED.</w:t>
      </w:r>
    </w:p>
    <w:p>
      <w:pPr>
        <w:pStyle w:val="ListBullet"/>
        <w:widowControl/>
        <w:spacing w:after="40"/>
      </w:pPr>
      <w:r>
        <w:t>Recent re-authentication or MFA may be required for elevated actions.</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pStyle w:val="CodeBlock"/>
        <w:keepLines/>
        <w:widowControl/>
      </w:pPr>
      <w:r>
        <w:t>public interface PaymentProviderGateway {</w:t>
        <w:br/>
        <w:t xml:space="preserve">    ProviderSubmissionResult submitPayment(ProviderPaymentRequest request);</w:t>
        <w:br/>
        <w:t xml:space="preserve">    ProviderReversalResult submitReversal(ProviderReversalRequest request);</w:t>
        <w:br/>
        <w:t xml:space="preserve">    ProviderStatusResult queryPaymentStatus(ProviderStatusRequest request);</w:t>
        <w:br/>
        <w:t>}</w:t>
      </w:r>
    </w:p>
    <w:p>
      <w:pPr>
        <w:widowControl/>
        <w:spacing w:after="120"/>
      </w:pPr>
      <w:r>
        <w:t>Provider-specific adapters map internal requests to provider contracts and translate provider results into internal categories. They never mutate the Payment aggregate directly.</w:t>
      </w:r>
    </w:p>
    <w:p>
      <w:pPr>
        <w:pStyle w:val="Heading2"/>
        <w:keepNext/>
        <w:widowControl/>
      </w:pPr>
      <w:r>
        <w:t>9.2 Submission Workflow</w:t>
      </w:r>
    </w:p>
    <w:p>
      <w:pPr>
        <w:pStyle w:val="ListNumber"/>
        <w:widowControl/>
        <w:spacing w:after="40"/>
      </w:pPr>
      <w:r>
        <w:t>Payment passes risk evaluation and becomes APPROVED.</w:t>
      </w:r>
    </w:p>
    <w:p>
      <w:pPr>
        <w:pStyle w:val="ListNumber"/>
        <w:widowControl/>
        <w:spacing w:after="40"/>
      </w:pPr>
      <w:r>
        <w:t>Application marks it PROVIDER_SUBMISSION_PENDING and writes SubmitPaymentToProvider to the outbox.</w:t>
      </w:r>
    </w:p>
    <w:p>
      <w:pPr>
        <w:pStyle w:val="ListNumber"/>
        <w:widowControl/>
        <w:spacing w:after="40"/>
      </w:pPr>
      <w:r>
        <w:t>Kafka delivers the command to the provider-integration consumer.</w:t>
      </w:r>
    </w:p>
    <w:p>
      <w:pPr>
        <w:pStyle w:val="ListNumber"/>
        <w:widowControl/>
        <w:spacing w:after="40"/>
      </w:pPr>
      <w:r>
        <w:t>The consumer validates current state and calls the Provider Simulator outside a database transaction.</w:t>
      </w:r>
    </w:p>
    <w:p>
      <w:pPr>
        <w:pStyle w:val="ListNumber"/>
        <w:widowControl/>
        <w:spacing w:after="40"/>
      </w:pPr>
      <w:r>
        <w:t>Immediate provider response is translated and persisted as PROCESSING, FAILED, or retryable/ambiguous state.</w:t>
      </w:r>
    </w:p>
    <w:p>
      <w:pPr>
        <w:pStyle w:val="ListNumber"/>
        <w:widowControl/>
        <w:spacing w:after="40"/>
      </w:pPr>
      <w:r>
        <w:t>A later signed webhook or status query supplies the final outcome.</w:t>
      </w:r>
    </w:p>
    <w:p>
      <w:pPr>
        <w:pStyle w:val="ListNumber"/>
        <w:widowControl/>
        <w:spacing w:after="40"/>
      </w:pPr>
      <w:r>
        <w:t>On success, payment completion and ledger posting commit atomically.</w:t>
      </w:r>
    </w:p>
    <w:p>
      <w:pPr>
        <w:pStyle w:val="ListNumber"/>
        <w:widowControl/>
        <w:spacing w:after="40"/>
      </w:pPr>
      <w:r>
        <w:t>PaymentCompleted or PaymentFailed is published through the outbox.</w:t>
      </w:r>
    </w:p>
    <w:p>
      <w:pPr>
        <w:pStyle w:val="Heading2"/>
        <w:keepNext/>
        <w:widowControl/>
      </w:pPr>
      <w:r>
        <w:t>9.3 Provider Result Categories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3672"/>
            <w:shd w:fill="1F4E78"/>
            <w:vAlign w:val="center"/>
            <w:tcMar>
              <w:top w:w="90" w:type="dxa"/>
              <w:start w:w="90" w:type="dxa"/>
              <w:bottom w:w="90" w:type="dxa"/>
              <w:end w:w="90" w:type="dxa"/>
            </w:tcMar>
          </w:tcPr>
          <w:p>
            <w:pPr>
              <w:jc w:val="left"/>
            </w:pPr>
            <w:r>
              <w:rPr>
                <w:b/>
                <w:color w:val="FFFFFF"/>
                <w:sz w:val="17"/>
              </w:rPr>
              <w:t>Meaning</w:t>
            </w:r>
          </w:p>
        </w:tc>
        <w:tc>
          <w:tcPr>
            <w:tcW w:type="dxa" w:w="4032"/>
            <w:shd w:fill="1F4E78"/>
            <w:vAlign w:val="center"/>
            <w:tcMar>
              <w:top w:w="90" w:type="dxa"/>
              <w:start w:w="90" w:type="dxa"/>
              <w:bottom w:w="90" w:type="dxa"/>
              <w:end w:w="90" w:type="dxa"/>
            </w:tcMar>
          </w:tcPr>
          <w:p>
            <w:pPr>
              <w:jc w:val="left"/>
            </w:pPr>
            <w:r>
              <w:rPr>
                <w:b/>
                <w:color w:val="FFFFFF"/>
                <w:sz w:val="17"/>
              </w:rPr>
              <w:t>System response</w:t>
            </w:r>
          </w:p>
        </w:tc>
      </w:tr>
      <w:tr>
        <w:trPr>
          <w:cantSplit/>
        </w:trPr>
        <w:tc>
          <w:tcPr>
            <w:tcW w:type="dxa" w:w="2088"/>
            <w:tcMar>
              <w:top w:w="90" w:type="dxa"/>
              <w:start w:w="90" w:type="dxa"/>
              <w:bottom w:w="90" w:type="dxa"/>
              <w:end w:w="90" w:type="dxa"/>
            </w:tcMar>
            <w:vAlign w:val="top"/>
          </w:tcPr>
          <w:p>
            <w:r>
              <w:rPr>
                <w:sz w:val="17"/>
              </w:rPr>
              <w:t>ACCEPTED</w:t>
            </w:r>
          </w:p>
        </w:tc>
        <w:tc>
          <w:tcPr>
            <w:tcW w:type="dxa" w:w="3672"/>
            <w:tcMar>
              <w:top w:w="90" w:type="dxa"/>
              <w:start w:w="90" w:type="dxa"/>
              <w:bottom w:w="90" w:type="dxa"/>
              <w:end w:w="90" w:type="dxa"/>
            </w:tcMar>
            <w:vAlign w:val="top"/>
          </w:tcPr>
          <w:p>
            <w:r>
              <w:rPr>
                <w:sz w:val="17"/>
              </w:rPr>
              <w:t>Provider accepted the request and may complete asynchronously.</w:t>
            </w:r>
          </w:p>
        </w:tc>
        <w:tc>
          <w:tcPr>
            <w:tcW w:type="dxa" w:w="4032"/>
            <w:tcMar>
              <w:top w:w="90" w:type="dxa"/>
              <w:start w:w="90" w:type="dxa"/>
              <w:bottom w:w="90" w:type="dxa"/>
              <w:end w:w="90" w:type="dxa"/>
            </w:tcMar>
            <w:vAlign w:val="top"/>
          </w:tcPr>
          <w:p>
            <w:r>
              <w:rPr>
                <w:sz w:val="17"/>
              </w:rPr>
              <w:t>Payment becomes PROCESSING.</w:t>
            </w:r>
          </w:p>
        </w:tc>
      </w:tr>
      <w:tr>
        <w:trPr>
          <w:cantSplit/>
        </w:trPr>
        <w:tc>
          <w:tcPr>
            <w:tcW w:type="dxa" w:w="2088"/>
            <w:tcMar>
              <w:top w:w="90" w:type="dxa"/>
              <w:start w:w="90" w:type="dxa"/>
              <w:bottom w:w="90" w:type="dxa"/>
              <w:end w:w="90" w:type="dxa"/>
            </w:tcMar>
            <w:vAlign w:val="top"/>
          </w:tcPr>
          <w:p>
            <w:r>
              <w:rPr>
                <w:sz w:val="17"/>
              </w:rPr>
              <w:t>DECLINED</w:t>
            </w:r>
          </w:p>
        </w:tc>
        <w:tc>
          <w:tcPr>
            <w:tcW w:type="dxa" w:w="3672"/>
            <w:tcMar>
              <w:top w:w="90" w:type="dxa"/>
              <w:start w:w="90" w:type="dxa"/>
              <w:bottom w:w="90" w:type="dxa"/>
              <w:end w:w="90" w:type="dxa"/>
            </w:tcMar>
            <w:vAlign w:val="top"/>
          </w:tcPr>
          <w:p>
            <w:r>
              <w:rPr>
                <w:sz w:val="17"/>
              </w:rPr>
              <w:t>Definitive business rejection.</w:t>
            </w:r>
          </w:p>
        </w:tc>
        <w:tc>
          <w:tcPr>
            <w:tcW w:type="dxa" w:w="4032"/>
            <w:tcMar>
              <w:top w:w="90" w:type="dxa"/>
              <w:start w:w="90" w:type="dxa"/>
              <w:bottom w:w="90" w:type="dxa"/>
              <w:end w:w="90" w:type="dxa"/>
            </w:tcMar>
            <w:vAlign w:val="top"/>
          </w:tcPr>
          <w:p>
            <w:r>
              <w:rPr>
                <w:sz w:val="17"/>
              </w:rPr>
              <w:t>Payment becomes FAILED; no automatic retry.</w:t>
            </w:r>
          </w:p>
        </w:tc>
      </w:tr>
      <w:tr>
        <w:trPr>
          <w:cantSplit/>
        </w:trPr>
        <w:tc>
          <w:tcPr>
            <w:tcW w:type="dxa" w:w="2088"/>
            <w:tcMar>
              <w:top w:w="90" w:type="dxa"/>
              <w:start w:w="90" w:type="dxa"/>
              <w:bottom w:w="90" w:type="dxa"/>
              <w:end w:w="90" w:type="dxa"/>
            </w:tcMar>
            <w:vAlign w:val="top"/>
          </w:tcPr>
          <w:p>
            <w:r>
              <w:rPr>
                <w:sz w:val="17"/>
              </w:rPr>
              <w:t>PENDING</w:t>
            </w:r>
          </w:p>
        </w:tc>
        <w:tc>
          <w:tcPr>
            <w:tcW w:type="dxa" w:w="3672"/>
            <w:tcMar>
              <w:top w:w="90" w:type="dxa"/>
              <w:start w:w="90" w:type="dxa"/>
              <w:bottom w:w="90" w:type="dxa"/>
              <w:end w:w="90" w:type="dxa"/>
            </w:tcMar>
            <w:vAlign w:val="top"/>
          </w:tcPr>
          <w:p>
            <w:r>
              <w:rPr>
                <w:sz w:val="17"/>
              </w:rPr>
              <w:t>No final decision yet.</w:t>
            </w:r>
          </w:p>
        </w:tc>
        <w:tc>
          <w:tcPr>
            <w:tcW w:type="dxa" w:w="4032"/>
            <w:tcMar>
              <w:top w:w="90" w:type="dxa"/>
              <w:start w:w="90" w:type="dxa"/>
              <w:bottom w:w="90" w:type="dxa"/>
              <w:end w:w="90" w:type="dxa"/>
            </w:tcMar>
            <w:vAlign w:val="top"/>
          </w:tcPr>
          <w:p>
            <w:r>
              <w:rPr>
                <w:sz w:val="17"/>
              </w:rPr>
              <w:t>Remain PROCESSING and await webhook/status.</w:t>
            </w:r>
          </w:p>
        </w:tc>
      </w:tr>
      <w:tr>
        <w:trPr>
          <w:cantSplit/>
        </w:trPr>
        <w:tc>
          <w:tcPr>
            <w:tcW w:type="dxa" w:w="2088"/>
            <w:tcMar>
              <w:top w:w="90" w:type="dxa"/>
              <w:start w:w="90" w:type="dxa"/>
              <w:bottom w:w="90" w:type="dxa"/>
              <w:end w:w="90" w:type="dxa"/>
            </w:tcMar>
            <w:vAlign w:val="top"/>
          </w:tcPr>
          <w:p>
            <w:r>
              <w:rPr>
                <w:sz w:val="17"/>
              </w:rPr>
              <w:t>TEMPORARY_FAILURE</w:t>
            </w:r>
          </w:p>
        </w:tc>
        <w:tc>
          <w:tcPr>
            <w:tcW w:type="dxa" w:w="3672"/>
            <w:tcMar>
              <w:top w:w="90" w:type="dxa"/>
              <w:start w:w="90" w:type="dxa"/>
              <w:bottom w:w="90" w:type="dxa"/>
              <w:end w:w="90" w:type="dxa"/>
            </w:tcMar>
            <w:vAlign w:val="top"/>
          </w:tcPr>
          <w:p>
            <w:r>
              <w:rPr>
                <w:sz w:val="17"/>
              </w:rPr>
              <w:t>Transient network or provider problem.</w:t>
            </w:r>
          </w:p>
        </w:tc>
        <w:tc>
          <w:tcPr>
            <w:tcW w:type="dxa" w:w="4032"/>
            <w:tcMar>
              <w:top w:w="90" w:type="dxa"/>
              <w:start w:w="90" w:type="dxa"/>
              <w:bottom w:w="90" w:type="dxa"/>
              <w:end w:w="90" w:type="dxa"/>
            </w:tcMar>
            <w:vAlign w:val="top"/>
          </w:tcPr>
          <w:p>
            <w:r>
              <w:rPr>
                <w:sz w:val="17"/>
              </w:rPr>
              <w:t>Retry according to policy.</w:t>
            </w:r>
          </w:p>
        </w:tc>
      </w:tr>
      <w:tr>
        <w:trPr>
          <w:cantSplit/>
        </w:trPr>
        <w:tc>
          <w:tcPr>
            <w:tcW w:type="dxa" w:w="2088"/>
            <w:tcMar>
              <w:top w:w="90" w:type="dxa"/>
              <w:start w:w="90" w:type="dxa"/>
              <w:bottom w:w="90" w:type="dxa"/>
              <w:end w:w="90" w:type="dxa"/>
            </w:tcMar>
            <w:vAlign w:val="top"/>
          </w:tcPr>
          <w:p>
            <w:r>
              <w:rPr>
                <w:sz w:val="17"/>
              </w:rPr>
              <w:t>PERMANENT_FAILURE</w:t>
            </w:r>
          </w:p>
        </w:tc>
        <w:tc>
          <w:tcPr>
            <w:tcW w:type="dxa" w:w="3672"/>
            <w:tcMar>
              <w:top w:w="90" w:type="dxa"/>
              <w:start w:w="90" w:type="dxa"/>
              <w:bottom w:w="90" w:type="dxa"/>
              <w:end w:w="90" w:type="dxa"/>
            </w:tcMar>
            <w:vAlign w:val="top"/>
          </w:tcPr>
          <w:p>
            <w:r>
              <w:rPr>
                <w:sz w:val="17"/>
              </w:rPr>
              <w:t>Invalid configuration or request that retry cannot fix.</w:t>
            </w:r>
          </w:p>
        </w:tc>
        <w:tc>
          <w:tcPr>
            <w:tcW w:type="dxa" w:w="4032"/>
            <w:tcMar>
              <w:top w:w="90" w:type="dxa"/>
              <w:start w:w="90" w:type="dxa"/>
              <w:bottom w:w="90" w:type="dxa"/>
              <w:end w:w="90" w:type="dxa"/>
            </w:tcMar>
            <w:vAlign w:val="top"/>
          </w:tcPr>
          <w:p>
            <w:r>
              <w:rPr>
                <w:sz w:val="17"/>
              </w:rPr>
              <w:t>Fail or open operational case.</w:t>
            </w:r>
          </w:p>
        </w:tc>
      </w:tr>
      <w:tr>
        <w:trPr>
          <w:cantSplit/>
        </w:trPr>
        <w:tc>
          <w:tcPr>
            <w:tcW w:type="dxa" w:w="2088"/>
            <w:tcMar>
              <w:top w:w="90" w:type="dxa"/>
              <w:start w:w="90" w:type="dxa"/>
              <w:bottom w:w="90" w:type="dxa"/>
              <w:end w:w="90" w:type="dxa"/>
            </w:tcMar>
            <w:vAlign w:val="top"/>
          </w:tcPr>
          <w:p>
            <w:r>
              <w:rPr>
                <w:sz w:val="17"/>
              </w:rPr>
              <w:t>UNKNOWN</w:t>
            </w:r>
          </w:p>
        </w:tc>
        <w:tc>
          <w:tcPr>
            <w:tcW w:type="dxa" w:w="3672"/>
            <w:tcMar>
              <w:top w:w="90" w:type="dxa"/>
              <w:start w:w="90" w:type="dxa"/>
              <w:bottom w:w="90" w:type="dxa"/>
              <w:end w:w="90" w:type="dxa"/>
            </w:tcMar>
            <w:vAlign w:val="top"/>
          </w:tcPr>
          <w:p>
            <w:r>
              <w:rPr>
                <w:sz w:val="17"/>
              </w:rPr>
              <w:t>Outcome cannot be determined.</w:t>
            </w:r>
          </w:p>
        </w:tc>
        <w:tc>
          <w:tcPr>
            <w:tcW w:type="dxa" w:w="4032"/>
            <w:tcMar>
              <w:top w:w="90" w:type="dxa"/>
              <w:start w:w="90" w:type="dxa"/>
              <w:bottom w:w="90" w:type="dxa"/>
              <w:end w:w="90" w:type="dxa"/>
            </w:tcMar>
            <w:vAlign w:val="top"/>
          </w:tcPr>
          <w:p>
            <w:r>
              <w:rPr>
                <w:sz w:val="17"/>
              </w:rPr>
              <w:t>Do not blindly resubmit; enter status-recovery workflow.</w:t>
            </w:r>
          </w:p>
        </w:tc>
      </w:tr>
    </w:tbl>
    <w:p>
      <w:pPr>
        <w:widowControl/>
      </w:pPr>
    </w:p>
    <w:p>
      <w:pPr>
        <w:pStyle w:val="Heading2"/>
        <w:keepNext/>
        <w:widowControl/>
      </w:pPr>
      <w:r>
        <w:t>9.4 Resilience Policies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Pattern</w:t>
            </w:r>
          </w:p>
        </w:tc>
        <w:tc>
          <w:tcPr>
            <w:tcW w:type="dxa" w:w="7704"/>
            <w:shd w:fill="1F4E78"/>
            <w:vAlign w:val="center"/>
            <w:tcMar>
              <w:top w:w="90" w:type="dxa"/>
              <w:start w:w="90" w:type="dxa"/>
              <w:bottom w:w="90" w:type="dxa"/>
              <w:end w:w="90" w:type="dxa"/>
            </w:tcMar>
          </w:tcPr>
          <w:p>
            <w:pPr>
              <w:jc w:val="left"/>
            </w:pPr>
            <w:r>
              <w:rPr>
                <w:b/>
                <w:color w:val="FFFFFF"/>
                <w:sz w:val="17"/>
              </w:rPr>
              <w:t>Policy</w:t>
            </w:r>
          </w:p>
        </w:tc>
      </w:tr>
      <w:tr>
        <w:trPr>
          <w:cantSplit/>
        </w:trPr>
        <w:tc>
          <w:tcPr>
            <w:tcW w:type="dxa" w:w="2088"/>
            <w:tcMar>
              <w:top w:w="90" w:type="dxa"/>
              <w:start w:w="90" w:type="dxa"/>
              <w:bottom w:w="90" w:type="dxa"/>
              <w:end w:w="90" w:type="dxa"/>
            </w:tcMar>
            <w:vAlign w:val="top"/>
          </w:tcPr>
          <w:p>
            <w:r>
              <w:rPr>
                <w:sz w:val="17"/>
              </w:rPr>
              <w:t>Idempotency</w:t>
            </w:r>
          </w:p>
        </w:tc>
        <w:tc>
          <w:tcPr>
            <w:tcW w:type="dxa" w:w="7704"/>
            <w:tcMar>
              <w:top w:w="90" w:type="dxa"/>
              <w:start w:w="90" w:type="dxa"/>
              <w:bottom w:w="90" w:type="dxa"/>
              <w:end w:w="90" w:type="dxa"/>
            </w:tcMar>
            <w:vAlign w:val="top"/>
          </w:tcPr>
          <w:p>
            <w:r>
              <w:rPr>
                <w:sz w:val="17"/>
              </w:rPr>
              <w:t>All retries reuse the same provider idempotency key derived from the internal payment or reversal ID.</w:t>
            </w:r>
          </w:p>
        </w:tc>
      </w:tr>
      <w:tr>
        <w:trPr>
          <w:cantSplit/>
        </w:trPr>
        <w:tc>
          <w:tcPr>
            <w:tcW w:type="dxa" w:w="2088"/>
            <w:tcMar>
              <w:top w:w="90" w:type="dxa"/>
              <w:start w:w="90" w:type="dxa"/>
              <w:bottom w:w="90" w:type="dxa"/>
              <w:end w:w="90" w:type="dxa"/>
            </w:tcMar>
            <w:vAlign w:val="top"/>
          </w:tcPr>
          <w:p>
            <w:r>
              <w:rPr>
                <w:sz w:val="17"/>
              </w:rPr>
              <w:t>Timeouts</w:t>
            </w:r>
          </w:p>
        </w:tc>
        <w:tc>
          <w:tcPr>
            <w:tcW w:type="dxa" w:w="7704"/>
            <w:tcMar>
              <w:top w:w="90" w:type="dxa"/>
              <w:start w:w="90" w:type="dxa"/>
              <w:bottom w:w="90" w:type="dxa"/>
              <w:end w:w="90" w:type="dxa"/>
            </w:tcMar>
            <w:vAlign w:val="top"/>
          </w:tcPr>
          <w:p>
            <w:r>
              <w:rPr>
                <w:sz w:val="17"/>
              </w:rPr>
              <w:t>Explicit connection, read, and total timeouts; no unlimited network calls.</w:t>
            </w:r>
          </w:p>
        </w:tc>
      </w:tr>
      <w:tr>
        <w:trPr>
          <w:cantSplit/>
        </w:trPr>
        <w:tc>
          <w:tcPr>
            <w:tcW w:type="dxa" w:w="2088"/>
            <w:tcMar>
              <w:top w:w="90" w:type="dxa"/>
              <w:start w:w="90" w:type="dxa"/>
              <w:bottom w:w="90" w:type="dxa"/>
              <w:end w:w="90" w:type="dxa"/>
            </w:tcMar>
            <w:vAlign w:val="top"/>
          </w:tcPr>
          <w:p>
            <w:r>
              <w:rPr>
                <w:sz w:val="17"/>
              </w:rPr>
              <w:t>Retries</w:t>
            </w:r>
          </w:p>
        </w:tc>
        <w:tc>
          <w:tcPr>
            <w:tcW w:type="dxa" w:w="7704"/>
            <w:tcMar>
              <w:top w:w="90" w:type="dxa"/>
              <w:start w:w="90" w:type="dxa"/>
              <w:bottom w:w="90" w:type="dxa"/>
              <w:end w:w="90" w:type="dxa"/>
            </w:tcMar>
            <w:vAlign w:val="top"/>
          </w:tcPr>
          <w:p>
            <w:r>
              <w:rPr>
                <w:sz w:val="17"/>
              </w:rPr>
              <w:t>Only transient failures; brief synchronous retries followed by scheduled asynchronous retries.</w:t>
            </w:r>
          </w:p>
        </w:tc>
      </w:tr>
      <w:tr>
        <w:trPr>
          <w:cantSplit/>
        </w:trPr>
        <w:tc>
          <w:tcPr>
            <w:tcW w:type="dxa" w:w="2088"/>
            <w:tcMar>
              <w:top w:w="90" w:type="dxa"/>
              <w:start w:w="90" w:type="dxa"/>
              <w:bottom w:w="90" w:type="dxa"/>
              <w:end w:w="90" w:type="dxa"/>
            </w:tcMar>
            <w:vAlign w:val="top"/>
          </w:tcPr>
          <w:p>
            <w:r>
              <w:rPr>
                <w:sz w:val="17"/>
              </w:rPr>
              <w:t>Circuit breaker</w:t>
            </w:r>
          </w:p>
        </w:tc>
        <w:tc>
          <w:tcPr>
            <w:tcW w:type="dxa" w:w="7704"/>
            <w:tcMar>
              <w:top w:w="90" w:type="dxa"/>
              <w:start w:w="90" w:type="dxa"/>
              <w:bottom w:w="90" w:type="dxa"/>
              <w:end w:w="90" w:type="dxa"/>
            </w:tcMar>
            <w:vAlign w:val="top"/>
          </w:tcPr>
          <w:p>
            <w:r>
              <w:rPr>
                <w:sz w:val="17"/>
              </w:rPr>
              <w:t>Prevents repeated calls to an unavailable provider without falsely failing queued payments.</w:t>
            </w:r>
          </w:p>
        </w:tc>
      </w:tr>
      <w:tr>
        <w:trPr>
          <w:cantSplit/>
        </w:trPr>
        <w:tc>
          <w:tcPr>
            <w:tcW w:type="dxa" w:w="2088"/>
            <w:tcMar>
              <w:top w:w="90" w:type="dxa"/>
              <w:start w:w="90" w:type="dxa"/>
              <w:bottom w:w="90" w:type="dxa"/>
              <w:end w:w="90" w:type="dxa"/>
            </w:tcMar>
            <w:vAlign w:val="top"/>
          </w:tcPr>
          <w:p>
            <w:r>
              <w:rPr>
                <w:sz w:val="17"/>
              </w:rPr>
              <w:t>Bulkhead</w:t>
            </w:r>
          </w:p>
        </w:tc>
        <w:tc>
          <w:tcPr>
            <w:tcW w:type="dxa" w:w="7704"/>
            <w:tcMar>
              <w:top w:w="90" w:type="dxa"/>
              <w:start w:w="90" w:type="dxa"/>
              <w:bottom w:w="90" w:type="dxa"/>
              <w:end w:w="90" w:type="dxa"/>
            </w:tcMar>
            <w:vAlign w:val="top"/>
          </w:tcPr>
          <w:p>
            <w:r>
              <w:rPr>
                <w:sz w:val="17"/>
              </w:rPr>
              <w:t>Provider execution uses bounded, isolated resources.</w:t>
            </w:r>
          </w:p>
        </w:tc>
      </w:tr>
      <w:tr>
        <w:trPr>
          <w:cantSplit/>
        </w:trPr>
        <w:tc>
          <w:tcPr>
            <w:tcW w:type="dxa" w:w="2088"/>
            <w:tcMar>
              <w:top w:w="90" w:type="dxa"/>
              <w:start w:w="90" w:type="dxa"/>
              <w:bottom w:w="90" w:type="dxa"/>
              <w:end w:w="90" w:type="dxa"/>
            </w:tcMar>
            <w:vAlign w:val="top"/>
          </w:tcPr>
          <w:p>
            <w:r>
              <w:rPr>
                <w:sz w:val="17"/>
              </w:rPr>
              <w:t>Status recovery</w:t>
            </w:r>
          </w:p>
        </w:tc>
        <w:tc>
          <w:tcPr>
            <w:tcW w:type="dxa" w:w="7704"/>
            <w:tcMar>
              <w:top w:w="90" w:type="dxa"/>
              <w:start w:w="90" w:type="dxa"/>
              <w:bottom w:w="90" w:type="dxa"/>
              <w:end w:w="90" w:type="dxa"/>
            </w:tcMar>
            <w:vAlign w:val="top"/>
          </w:tcPr>
          <w:p>
            <w:r>
              <w:rPr>
                <w:sz w:val="17"/>
              </w:rPr>
              <w:t>Ambiguous outcomes are queried on a schedule before opening an unresolved-outcome case.</w:t>
            </w:r>
          </w:p>
        </w:tc>
      </w:tr>
      <w:tr>
        <w:trPr>
          <w:cantSplit/>
        </w:trPr>
        <w:tc>
          <w:tcPr>
            <w:tcW w:type="dxa" w:w="2088"/>
            <w:tcMar>
              <w:top w:w="90" w:type="dxa"/>
              <w:start w:w="90" w:type="dxa"/>
              <w:bottom w:w="90" w:type="dxa"/>
              <w:end w:w="90" w:type="dxa"/>
            </w:tcMar>
            <w:vAlign w:val="top"/>
          </w:tcPr>
          <w:p>
            <w:r>
              <w:rPr>
                <w:sz w:val="17"/>
              </w:rPr>
              <w:t>Dead-letter replay</w:t>
            </w:r>
          </w:p>
        </w:tc>
        <w:tc>
          <w:tcPr>
            <w:tcW w:type="dxa" w:w="7704"/>
            <w:tcMar>
              <w:top w:w="90" w:type="dxa"/>
              <w:start w:w="90" w:type="dxa"/>
              <w:bottom w:w="90" w:type="dxa"/>
              <w:end w:w="90" w:type="dxa"/>
            </w:tcMar>
            <w:vAlign w:val="top"/>
          </w:tcPr>
          <w:p>
            <w:r>
              <w:rPr>
                <w:sz w:val="17"/>
              </w:rPr>
              <w:t>Controlled, state-validated, permissioned, reasoned, and audited.</w:t>
            </w:r>
          </w:p>
        </w:tc>
      </w:tr>
    </w:tbl>
    <w:p>
      <w:pPr>
        <w:widowControl/>
      </w:pPr>
    </w:p>
    <w:p>
      <w:pPr>
        <w:pStyle w:val="Heading2"/>
        <w:keepNext/>
        <w:widowControl/>
      </w:pPr>
      <w:r>
        <w:t>9.5 Webhook Reception and Processing</w:t>
      </w:r>
    </w:p>
    <w:p>
      <w:pPr>
        <w:pStyle w:val="CodeBlock"/>
        <w:keepLines/>
        <w:widowControl/>
      </w:pPr>
      <w:r>
        <w:t>Stage 1 - reception</w:t>
        <w:br/>
        <w:t>validate size -&gt; verify signature/timestamp -&gt; hash payload -&gt; durably store receipt -&gt; 202</w:t>
        <w:br/>
        <w:br/>
        <w:t>Stage 2 - asynchronous processing</w:t>
        <w:br/>
        <w:t>load receipt -&gt; parse -&gt; resolve aggregate -&gt; deduplicate -&gt; apply state machine</w:t>
        <w:br/>
        <w:t>-&gt; complete/fail payment or reversal -&gt; publish resulting events</w:t>
      </w:r>
    </w:p>
    <w:p>
      <w:pPr>
        <w:pStyle w:val="ListBullet"/>
        <w:widowControl/>
        <w:spacing w:after="40"/>
      </w:pPr>
      <w:r>
        <w:t>Provider webhooks may be duplicated, delayed, missing, out of order, or contradictory.</w:t>
      </w:r>
    </w:p>
    <w:p>
      <w:pPr>
        <w:pStyle w:val="ListBullet"/>
        <w:widowControl/>
        <w:spacing w:after="40"/>
      </w:pPr>
      <w:r>
        <w:t>A terminal state cannot regress to PROCESSING.</w:t>
      </w:r>
    </w:p>
    <w:p>
      <w:pPr>
        <w:pStyle w:val="ListBullet"/>
        <w:widowControl/>
        <w:spacing w:after="40"/>
      </w:pPr>
      <w:r>
        <w:t>Conflicting terminal outcomes are preserved and generate an investigation; they are never silently resolved.</w:t>
      </w:r>
    </w:p>
    <w:p>
      <w:pPr>
        <w:pStyle w:val="ListBullet"/>
        <w:widowControl/>
        <w:spacing w:after="40"/>
      </w:pPr>
      <w:r>
        <w:t>Success is returned to the provider only after durable receipt storage.</w:t>
      </w:r>
    </w:p>
    <w:p>
      <w:pPr>
        <w:pStyle w:val="Heading2"/>
        <w:keepNext/>
        <w:widowControl/>
      </w:pPr>
      <w:r>
        <w:t>9.6 Provider Simulator Scenarios</w:t>
      </w:r>
    </w:p>
    <w:p>
      <w:pPr>
        <w:pStyle w:val="ListBullet"/>
        <w:widowControl/>
        <w:spacing w:after="40"/>
      </w:pPr>
      <w:r>
        <w:t>SUCCESS</w:t>
      </w:r>
    </w:p>
    <w:p>
      <w:pPr>
        <w:pStyle w:val="ListBullet"/>
        <w:widowControl/>
        <w:spacing w:after="40"/>
      </w:pPr>
      <w:r>
        <w:t>DECLINE</w:t>
      </w:r>
    </w:p>
    <w:p>
      <w:pPr>
        <w:pStyle w:val="ListBullet"/>
        <w:widowControl/>
        <w:spacing w:after="40"/>
      </w:pPr>
      <w:r>
        <w:t>TIMEOUT</w:t>
      </w:r>
    </w:p>
    <w:p>
      <w:pPr>
        <w:pStyle w:val="ListBullet"/>
        <w:widowControl/>
        <w:spacing w:after="40"/>
      </w:pPr>
      <w:r>
        <w:t>HTTP_500</w:t>
      </w:r>
    </w:p>
    <w:p>
      <w:pPr>
        <w:pStyle w:val="ListBullet"/>
        <w:widowControl/>
        <w:spacing w:after="40"/>
      </w:pPr>
      <w:r>
        <w:t>HTTP_503</w:t>
      </w:r>
    </w:p>
    <w:p>
      <w:pPr>
        <w:pStyle w:val="ListBullet"/>
        <w:widowControl/>
        <w:spacing w:after="40"/>
      </w:pPr>
      <w:r>
        <w:t>SLOW_RESPONSE</w:t>
      </w:r>
    </w:p>
    <w:p>
      <w:pPr>
        <w:pStyle w:val="ListBullet"/>
        <w:widowControl/>
        <w:spacing w:after="40"/>
      </w:pPr>
      <w:r>
        <w:t>DUPLICATE_WEBHOOK</w:t>
      </w:r>
    </w:p>
    <w:p>
      <w:pPr>
        <w:pStyle w:val="ListBullet"/>
        <w:widowControl/>
        <w:spacing w:after="40"/>
      </w:pPr>
      <w:r>
        <w:t>OUT_OF_ORDER_WEBHOOK</w:t>
      </w:r>
    </w:p>
    <w:p>
      <w:pPr>
        <w:pStyle w:val="ListBullet"/>
        <w:widowControl/>
        <w:spacing w:after="40"/>
      </w:pPr>
      <w:r>
        <w:t>MISSING_WEBHOOK</w:t>
      </w:r>
    </w:p>
    <w:p>
      <w:pPr>
        <w:pStyle w:val="ListBullet"/>
        <w:widowControl/>
        <w:spacing w:after="40"/>
      </w:pPr>
      <w:r>
        <w:t>INVALID_SIGNATURE</w:t>
      </w:r>
    </w:p>
    <w:p>
      <w:pPr>
        <w:pStyle w:val="ListBullet"/>
        <w:widowControl/>
        <w:spacing w:after="40"/>
      </w:pPr>
      <w:r>
        <w:t>CONFLICTING_FINAL_STATUS</w:t>
      </w:r>
    </w:p>
    <w:p>
      <w:pPr>
        <w:pStyle w:val="ListBullet"/>
        <w:widowControl/>
        <w:spacing w:after="40"/>
      </w:pPr>
      <w:r>
        <w:t>DELAYED_SETTLEMENT</w:t>
      </w:r>
    </w:p>
    <w:p>
      <w:pPr>
        <w:pStyle w:val="ListBullet"/>
        <w:widowControl/>
        <w:spacing w:after="40"/>
      </w:pPr>
      <w:r>
        <w:t>SETTLEMENT_AMOUNT_MISMATCH</w:t>
      </w:r>
    </w:p>
    <w:p>
      <w:pPr>
        <w:widowControl/>
        <w:spacing w:after="120"/>
      </w:pPr>
      <w:r>
        <w:t>A deterministic test mode allows explicit scenarios such as TIMEOUT_THEN_SUCCESS. Failure-injection controls are restricted to test or authenticated demonstration environments.</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may have multiple immutable reconciliation runs. A rerun records a new run number and matching-rules version. Historical results are never overwritten.</w:t>
      </w:r>
    </w:p>
    <w:p>
      <w:pPr>
        <w:pStyle w:val="Heading2"/>
        <w:keepNext/>
        <w:widowControl/>
      </w:pPr>
      <w:r>
        <w:t>10.3 Matching Strategy</w:t>
      </w:r>
    </w:p>
    <w:p>
      <w:pPr>
        <w:pStyle w:val="ListNumber"/>
        <w:widowControl/>
        <w:spacing w:after="40"/>
      </w:pPr>
      <w:r>
        <w:t>Exact provider transaction identifier.</w:t>
      </w:r>
    </w:p>
    <w:p>
      <w:pPr>
        <w:pStyle w:val="ListNumber"/>
        <w:widowControl/>
        <w:spacing w:after="40"/>
      </w:pPr>
      <w:r>
        <w:t>Exact merchant reference and transaction type.</w:t>
      </w:r>
    </w:p>
    <w:p>
      <w:pPr>
        <w:pStyle w:val="ListNumber"/>
        <w:widowControl/>
        <w:spacing w:after="40"/>
      </w:pPr>
      <w:r>
        <w:t>Amount and currency.</w:t>
      </w:r>
    </w:p>
    <w:p>
      <w:pPr>
        <w:pStyle w:val="ListNumber"/>
        <w:widowControl/>
        <w:spacing w:after="40"/>
      </w:pPr>
      <w:r>
        <w:t>Provider date within an explicitly configured tolerance.</w:t>
      </w:r>
    </w:p>
    <w:p>
      <w:pPr>
        <w:pStyle w:val="ListNumber"/>
        <w:widowControl/>
        <w:spacing w:after="40"/>
      </w:pPr>
      <w:r>
        <w:t>Internal status compatibility.</w:t>
      </w:r>
    </w:p>
    <w:p>
      <w:pPr>
        <w:pStyle w:val="ListNumber"/>
        <w:widowControl/>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Ownership rule: </w:t>
            </w:r>
            <w:r>
              <w:t>Reconciliation detects evidence and requests corrective actions. The Payment module owns state recovery; the Ledger module owns compensating postings; Casework owns investigation and approval. Reconciliation never writes those modules’ tables directly.</w:t>
            </w:r>
          </w:p>
        </w:tc>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rPr>
                <w:sz w:val="17"/>
              </w:rPr>
              <w:t>Approved correction request causes Ledger module to post a compensating transaction referencing the discrepancy.</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It is extracted after its APIs, events, batch data, and case relationships are stable. After extraction it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widowControl/>
        <w:spacing w:after="120"/>
      </w:pPr>
      <w:r>
        <w:t>Logs, metrics where cardinality permits, and traces share correlation identifiers. Kafka headers propagate traceparent, tracestate, correlationId, and causationId across asynchronous boundaries. High-cardinality identifiers such as paymentId and traceId belong in logs and traces, 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ledger postings.</w:t>
            </w:r>
          </w:p>
        </w:tc>
      </w:tr>
    </w:tbl>
    <w:p>
      <w:pPr>
        <w:widowControl/>
      </w:pPr>
    </w:p>
    <w:p>
      <w:pPr>
        <w:pStyle w:val="Heading2"/>
        <w:keepNext/>
        <w:widowControl/>
      </w:pPr>
      <w:r>
        <w:t>11.4 Required Dashboards</w:t>
      </w:r>
    </w:p>
    <w:p>
      <w:pPr>
        <w:pStyle w:val="ListBullet"/>
        <w:widowControl/>
        <w:spacing w:after="40"/>
      </w:pPr>
      <w:r>
        <w:t>Executive operations: payment volume, completion/failure rate, reversals, discrepancies, provider health, SLO status.</w:t>
      </w:r>
    </w:p>
    <w:p>
      <w:pPr>
        <w:pStyle w:val="ListBullet"/>
        <w:widowControl/>
        <w:spacing w:after="40"/>
      </w:pPr>
      <w:r>
        <w:t>Payment processing: state distribution, latency, stuck payments, failure categories.</w:t>
      </w:r>
    </w:p>
    <w:p>
      <w:pPr>
        <w:pStyle w:val="ListBullet"/>
        <w:widowControl/>
        <w:spacing w:after="40"/>
      </w:pPr>
      <w:r>
        <w:t>Kafka/outbox: consumer lag, throughput, retries, dead letters, backlog age.</w:t>
      </w:r>
    </w:p>
    <w:p>
      <w:pPr>
        <w:pStyle w:val="ListBullet"/>
        <w:widowControl/>
        <w:spacing w:after="40"/>
      </w:pPr>
      <w:r>
        <w:t>Provider: latency, timeout rate, webhook delay, ambiguous outcomes, circuit-breaker state.</w:t>
      </w:r>
    </w:p>
    <w:p>
      <w:pPr>
        <w:pStyle w:val="ListBullet"/>
        <w:widowControl/>
        <w:spacing w:after="40"/>
      </w:pPr>
      <w:r>
        <w:t>Reconciliation: batch status, match rate, mismatched amount, discrepancy severity, job duration.</w:t>
      </w:r>
    </w:p>
    <w:p>
      <w:pPr>
        <w:pStyle w:val="ListBullet"/>
        <w:widowControl/>
        <w:spacing w:after="40"/>
      </w:pPr>
      <w:r>
        <w:t>JVM/infrastructure: CPU, memory, garbage collection, pools, database metrics, pod restarts.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Concurrent duplicate-idempotency test with zero duplicate Payments.</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keepLines/>
        <w:widowControl/>
      </w:pPr>
      <w:r>
        <w:t>ledgerops/</w:t>
        <w:br/>
        <w:t>├── applications/</w:t>
        <w:br/>
        <w:t>│   ├── core-platform/</w:t>
        <w:br/>
        <w:t>│   ├── provider-simulator/</w:t>
        <w:br/>
        <w:t>│   ├── reconciliation-service/</w:t>
        <w:br/>
        <w:t>│   └── operations-web/</w:t>
        <w:br/>
        <w:t>├── packages/</w:t>
        <w:br/>
        <w:t>│   ├── event-contracts/</w:t>
        <w:br/>
        <w:t>│   ├── test-fixtures/</w:t>
        <w:br/>
        <w:t>│   └── testing-support/</w:t>
        <w:br/>
        <w:t>├── infrastructure/</w:t>
        <w:br/>
        <w:t>│   ├── compose/</w:t>
        <w:br/>
        <w:t>│   ├── terraform/</w:t>
        <w:br/>
        <w:t>│   ├── kubernetes/</w:t>
        <w:br/>
        <w:t>│   ├── helm/</w:t>
        <w:br/>
        <w:t>│   ├── argocd/</w:t>
        <w:br/>
        <w:t>│   └── observability/</w:t>
        <w:br/>
        <w:t>├── performance/</w:t>
        <w:br/>
        <w:t>├── scripts/</w:t>
        <w:br/>
        <w:t>├── docs/</w:t>
        <w:br/>
        <w:t>└── .github/workflows/</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spacing w:after="40"/>
      </w:pPr>
      <w:r>
        <w:t>Formatting and static analysis.</w:t>
      </w:r>
    </w:p>
    <w:p>
      <w:pPr>
        <w:pStyle w:val="ListNumber"/>
        <w:widowControl/>
        <w:spacing w:after="40"/>
      </w:pPr>
      <w:r>
        <w:t>Compilation, unit tests, domain tests, architecture tests.</w:t>
      </w:r>
    </w:p>
    <w:p>
      <w:pPr>
        <w:pStyle w:val="ListNumber"/>
        <w:widowControl/>
        <w:spacing w:after="40"/>
      </w:pPr>
      <w:r>
        <w:t>Testcontainers integration tests and database migration tests.</w:t>
      </w:r>
    </w:p>
    <w:p>
      <w:pPr>
        <w:pStyle w:val="ListNumber"/>
        <w:widowControl/>
        <w:spacing w:after="40"/>
      </w:pPr>
      <w:r>
        <w:t>HTTP, event, and provider contract compatibility.</w:t>
      </w:r>
    </w:p>
    <w:p>
      <w:pPr>
        <w:pStyle w:val="ListNumber"/>
        <w:widowControl/>
        <w:spacing w:after="40"/>
      </w:pPr>
      <w:r>
        <w:t>Frontend lint, type checks, and critical tests.</w:t>
      </w:r>
    </w:p>
    <w:p>
      <w:pPr>
        <w:pStyle w:val="ListNumber"/>
        <w:widowControl/>
        <w:spacing w:after="40"/>
      </w:pPr>
      <w:r>
        <w:t>Secret, dependency, container, and infrastructure scanning.</w:t>
      </w:r>
    </w:p>
    <w:p>
      <w:pPr>
        <w:pStyle w:val="ListNumber"/>
        <w:widowControl/>
        <w:spacing w:after="40"/>
      </w:pPr>
      <w:r>
        <w:t>Container build, SBOM, image signing where mature, and registry publication.</w:t>
      </w:r>
    </w:p>
    <w:p>
      <w:pPr>
        <w:pStyle w:val="ListNumber"/>
        <w:widowControl/>
        <w:spacing w:after="40"/>
      </w:pPr>
      <w:r>
        <w:t>Controlled Flyway migration task before application rollout.</w:t>
      </w:r>
    </w:p>
    <w:p>
      <w:pPr>
        <w:pStyle w:val="ListNumber"/>
        <w:widowControl/>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rPr>
                <w:sz w:val="17"/>
              </w:rPr>
              <w:t>Isolated rules, mappings, calculations, and value objects.</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rPr>
                <w:sz w:val="17"/>
              </w:rPr>
              <w:t>Payment transitions, reversal limits, ledger balance, tenant ownership.</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rPr>
                <w:sz w:val="17"/>
              </w:rPr>
              <w:t>Public module interfaces and Spring Modulith boundaries.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rPr>
                <w:sz w:val="17"/>
              </w:rPr>
              <w:t>PostgreSQL, Kafka, Redis, Keycloak, MinIO through Testcontainers.</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rPr>
                <w:sz w:val="17"/>
              </w:rPr>
              <w:t>Complete payment, reversal, recovery, reconciliation, and tenant workflows.</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320"/>
            <w:shd w:fill="1F4E78"/>
            <w:vAlign w:val="center"/>
            <w:tcMar>
              <w:top w:w="90" w:type="dxa"/>
              <w:start w:w="90" w:type="dxa"/>
              <w:bottom w:w="90" w:type="dxa"/>
              <w:end w:w="90" w:type="dxa"/>
            </w:tcMar>
          </w:tcPr>
          <w:p>
            <w:pPr>
              <w:jc w:val="left"/>
            </w:pPr>
            <w:r>
              <w:rPr>
                <w:b/>
                <w:color w:val="FFFFFF"/>
                <w:sz w:val="17"/>
              </w:rPr>
              <w:t>Critical requirement</w:t>
            </w:r>
          </w:p>
        </w:tc>
        <w:tc>
          <w:tcPr>
            <w:tcW w:type="dxa" w:w="5472"/>
            <w:shd w:fill="1F4E78"/>
            <w:vAlign w:val="center"/>
            <w:tcMar>
              <w:top w:w="90" w:type="dxa"/>
              <w:start w:w="90" w:type="dxa"/>
              <w:bottom w:w="90" w:type="dxa"/>
              <w:end w:w="90" w:type="dxa"/>
            </w:tcMar>
          </w:tcPr>
          <w:p>
            <w:pPr>
              <w:jc w:val="left"/>
            </w:pPr>
            <w:r>
              <w:rPr>
                <w:b/>
                <w:color w:val="FFFFFF"/>
                <w:sz w:val="17"/>
              </w:rPr>
              <w:t>Verification</w:t>
            </w:r>
          </w:p>
        </w:tc>
      </w:tr>
      <w:tr>
        <w:trPr>
          <w:cantSplit/>
        </w:trPr>
        <w:tc>
          <w:tcPr>
            <w:tcW w:type="dxa" w:w="4320"/>
            <w:tcMar>
              <w:top w:w="90" w:type="dxa"/>
              <w:start w:w="90" w:type="dxa"/>
              <w:bottom w:w="90" w:type="dxa"/>
              <w:end w:w="90" w:type="dxa"/>
            </w:tcMar>
            <w:vAlign w:val="top"/>
          </w:tcPr>
          <w:p>
            <w:r>
              <w:rPr>
                <w:sz w:val="17"/>
              </w:rPr>
              <w:t>One Payment per idempotency key</w:t>
            </w:r>
          </w:p>
        </w:tc>
        <w:tc>
          <w:tcPr>
            <w:tcW w:type="dxa" w:w="5472"/>
            <w:tcMar>
              <w:top w:w="90" w:type="dxa"/>
              <w:start w:w="90" w:type="dxa"/>
              <w:bottom w:w="90" w:type="dxa"/>
              <w:end w:w="90" w:type="dxa"/>
            </w:tcMar>
            <w:vAlign w:val="top"/>
          </w:tcPr>
          <w:p>
            <w:r>
              <w:rPr>
                <w:sz w:val="17"/>
              </w:rPr>
              <w:t>Concurrent PostgreSQL/Testcontainers integration test.</w:t>
            </w:r>
          </w:p>
        </w:tc>
      </w:tr>
      <w:tr>
        <w:trPr>
          <w:cantSplit/>
        </w:trPr>
        <w:tc>
          <w:tcPr>
            <w:tcW w:type="dxa" w:w="4320"/>
            <w:tcMar>
              <w:top w:w="90" w:type="dxa"/>
              <w:start w:w="90" w:type="dxa"/>
              <w:bottom w:w="90" w:type="dxa"/>
              <w:end w:w="90" w:type="dxa"/>
            </w:tcMar>
            <w:vAlign w:val="top"/>
          </w:tcPr>
          <w:p>
            <w:r>
              <w:rPr>
                <w:sz w:val="17"/>
              </w:rPr>
              <w:t>Debits equal credits</w:t>
            </w:r>
          </w:p>
        </w:tc>
        <w:tc>
          <w:tcPr>
            <w:tcW w:type="dxa" w:w="5472"/>
            <w:tcMar>
              <w:top w:w="90" w:type="dxa"/>
              <w:start w:w="90" w:type="dxa"/>
              <w:bottom w:w="90" w:type="dxa"/>
              <w:end w:w="90" w:type="dxa"/>
            </w:tcMar>
            <w:vAlign w:val="top"/>
          </w:tcPr>
          <w:p>
            <w:r>
              <w:rPr>
                <w:sz w:val="17"/>
              </w:rPr>
              <w:t>Domain property test and database integration test.</w:t>
            </w:r>
          </w:p>
        </w:tc>
      </w:tr>
      <w:tr>
        <w:trPr>
          <w:cantSplit/>
        </w:trPr>
        <w:tc>
          <w:tcPr>
            <w:tcW w:type="dxa" w:w="4320"/>
            <w:tcMar>
              <w:top w:w="90" w:type="dxa"/>
              <w:start w:w="90" w:type="dxa"/>
              <w:bottom w:w="90" w:type="dxa"/>
              <w:end w:w="90" w:type="dxa"/>
            </w:tcMar>
            <w:vAlign w:val="top"/>
          </w:tcPr>
          <w:p>
            <w:r>
              <w:rPr>
                <w:sz w:val="17"/>
              </w:rPr>
              <w:t>Payment completion requires ledger posting</w:t>
            </w:r>
          </w:p>
        </w:tc>
        <w:tc>
          <w:tcPr>
            <w:tcW w:type="dxa" w:w="5472"/>
            <w:tcMar>
              <w:top w:w="90" w:type="dxa"/>
              <w:start w:w="90" w:type="dxa"/>
              <w:bottom w:w="90" w:type="dxa"/>
              <w:end w:w="90" w:type="dxa"/>
            </w:tcMar>
            <w:vAlign w:val="top"/>
          </w:tcPr>
          <w:p>
            <w:r>
              <w:rPr>
                <w:sz w:val="17"/>
              </w:rPr>
              <w:t>Atomic workflow integration test with forced ledger failure.</w:t>
            </w:r>
          </w:p>
        </w:tc>
      </w:tr>
      <w:tr>
        <w:trPr>
          <w:cantSplit/>
        </w:trPr>
        <w:tc>
          <w:tcPr>
            <w:tcW w:type="dxa" w:w="4320"/>
            <w:tcMar>
              <w:top w:w="90" w:type="dxa"/>
              <w:start w:w="90" w:type="dxa"/>
              <w:bottom w:w="90" w:type="dxa"/>
              <w:end w:w="90" w:type="dxa"/>
            </w:tcMar>
            <w:vAlign w:val="top"/>
          </w:tcPr>
          <w:p>
            <w:r>
              <w:rPr>
                <w:sz w:val="17"/>
              </w:rPr>
              <w:t>Duplicate provider event has one financial effect</w:t>
            </w:r>
          </w:p>
        </w:tc>
        <w:tc>
          <w:tcPr>
            <w:tcW w:type="dxa" w:w="5472"/>
            <w:tcMar>
              <w:top w:w="90" w:type="dxa"/>
              <w:start w:w="90" w:type="dxa"/>
              <w:bottom w:w="90" w:type="dxa"/>
              <w:end w:w="90" w:type="dxa"/>
            </w:tcMar>
            <w:vAlign w:val="top"/>
          </w:tcPr>
          <w:p>
            <w:r>
              <w:rPr>
                <w:sz w:val="17"/>
              </w:rPr>
              <w:t>End-to-end duplicate-webhook test.</w:t>
            </w:r>
          </w:p>
        </w:tc>
      </w:tr>
      <w:tr>
        <w:trPr>
          <w:cantSplit/>
        </w:trPr>
        <w:tc>
          <w:tcPr>
            <w:tcW w:type="dxa" w:w="4320"/>
            <w:tcMar>
              <w:top w:w="90" w:type="dxa"/>
              <w:start w:w="90" w:type="dxa"/>
              <w:bottom w:w="90" w:type="dxa"/>
              <w:end w:w="90" w:type="dxa"/>
            </w:tcMar>
            <w:vAlign w:val="top"/>
          </w:tcPr>
          <w:p>
            <w:r>
              <w:rPr>
                <w:sz w:val="17"/>
              </w:rPr>
              <w:t>Outbox prevents event loss</w:t>
            </w:r>
          </w:p>
        </w:tc>
        <w:tc>
          <w:tcPr>
            <w:tcW w:type="dxa" w:w="5472"/>
            <w:tcMar>
              <w:top w:w="90" w:type="dxa"/>
              <w:start w:w="90" w:type="dxa"/>
              <w:bottom w:w="90" w:type="dxa"/>
              <w:end w:w="90" w:type="dxa"/>
            </w:tcMar>
            <w:vAlign w:val="top"/>
          </w:tcPr>
          <w:p>
            <w:r>
              <w:rPr>
                <w:sz w:val="17"/>
              </w:rPr>
              <w:t>Crash-recovery test around commit and Kafka publication.</w:t>
            </w:r>
          </w:p>
        </w:tc>
      </w:tr>
      <w:tr>
        <w:trPr>
          <w:cantSplit/>
        </w:trPr>
        <w:tc>
          <w:tcPr>
            <w:tcW w:type="dxa" w:w="4320"/>
            <w:tcMar>
              <w:top w:w="90" w:type="dxa"/>
              <w:start w:w="90" w:type="dxa"/>
              <w:bottom w:w="90" w:type="dxa"/>
              <w:end w:w="90" w:type="dxa"/>
            </w:tcMar>
            <w:vAlign w:val="top"/>
          </w:tcPr>
          <w:p>
            <w:r>
              <w:rPr>
                <w:sz w:val="17"/>
              </w:rPr>
              <w:t>Consumer duplicates are safe</w:t>
            </w:r>
          </w:p>
        </w:tc>
        <w:tc>
          <w:tcPr>
            <w:tcW w:type="dxa" w:w="5472"/>
            <w:tcMar>
              <w:top w:w="90" w:type="dxa"/>
              <w:start w:w="90" w:type="dxa"/>
              <w:bottom w:w="90" w:type="dxa"/>
              <w:end w:w="90" w:type="dxa"/>
            </w:tcMar>
            <w:vAlign w:val="top"/>
          </w:tcPr>
          <w:p>
            <w:r>
              <w:rPr>
                <w:sz w:val="17"/>
              </w:rPr>
              <w:t>Inbox-idempotency Kafka test.</w:t>
            </w:r>
          </w:p>
        </w:tc>
      </w:tr>
      <w:tr>
        <w:trPr>
          <w:cantSplit/>
        </w:trPr>
        <w:tc>
          <w:tcPr>
            <w:tcW w:type="dxa" w:w="4320"/>
            <w:tcMar>
              <w:top w:w="90" w:type="dxa"/>
              <w:start w:w="90" w:type="dxa"/>
              <w:bottom w:w="90" w:type="dxa"/>
              <w:end w:w="90" w:type="dxa"/>
            </w:tcMar>
            <w:vAlign w:val="top"/>
          </w:tcPr>
          <w:p>
            <w:r>
              <w:rPr>
                <w:sz w:val="17"/>
              </w:rPr>
              <w:t>No cross-tenant access</w:t>
            </w:r>
          </w:p>
        </w:tc>
        <w:tc>
          <w:tcPr>
            <w:tcW w:type="dxa" w:w="5472"/>
            <w:tcMar>
              <w:top w:w="90" w:type="dxa"/>
              <w:start w:w="90" w:type="dxa"/>
              <w:bottom w:w="90" w:type="dxa"/>
              <w:end w:w="90" w:type="dxa"/>
            </w:tcMar>
            <w:vAlign w:val="top"/>
          </w:tcPr>
          <w:p>
            <w:r>
              <w:rPr>
                <w:sz w:val="17"/>
              </w:rPr>
              <w:t>API, repository, authorization, and RLS tests.</w:t>
            </w:r>
          </w:p>
        </w:tc>
      </w:tr>
      <w:tr>
        <w:trPr>
          <w:cantSplit/>
        </w:trPr>
        <w:tc>
          <w:tcPr>
            <w:tcW w:type="dxa" w:w="4320"/>
            <w:tcMar>
              <w:top w:w="90" w:type="dxa"/>
              <w:start w:w="90" w:type="dxa"/>
              <w:bottom w:w="90" w:type="dxa"/>
              <w:end w:w="90" w:type="dxa"/>
            </w:tcMar>
            <w:vAlign w:val="top"/>
          </w:tcPr>
          <w:p>
            <w:r>
              <w:rPr>
                <w:sz w:val="17"/>
              </w:rPr>
              <w:t>Historical reconciliation is immutable</w:t>
            </w:r>
          </w:p>
        </w:tc>
        <w:tc>
          <w:tcPr>
            <w:tcW w:type="dxa" w:w="5472"/>
            <w:tcMar>
              <w:top w:w="90" w:type="dxa"/>
              <w:start w:w="90" w:type="dxa"/>
              <w:bottom w:w="90" w:type="dxa"/>
              <w:end w:w="90" w:type="dxa"/>
            </w:tcMar>
            <w:vAlign w:val="top"/>
          </w:tcPr>
          <w:p>
            <w:r>
              <w:rPr>
                <w:sz w:val="17"/>
              </w:rPr>
              <w:t>Module and database test across reruns.</w:t>
            </w:r>
          </w:p>
        </w:tc>
      </w:tr>
      <w:tr>
        <w:trPr>
          <w:cantSplit/>
        </w:trPr>
        <w:tc>
          <w:tcPr>
            <w:tcW w:type="dxa" w:w="4320"/>
            <w:tcMar>
              <w:top w:w="90" w:type="dxa"/>
              <w:start w:w="90" w:type="dxa"/>
              <w:bottom w:w="90" w:type="dxa"/>
              <w:end w:w="90" w:type="dxa"/>
            </w:tcMar>
            <w:vAlign w:val="top"/>
          </w:tcPr>
          <w:p>
            <w:r>
              <w:rPr>
                <w:sz w:val="17"/>
              </w:rPr>
              <w:t>High-risk operation requires approval</w:t>
            </w:r>
          </w:p>
        </w:tc>
        <w:tc>
          <w:tcPr>
            <w:tcW w:type="dxa" w:w="5472"/>
            <w:tcMar>
              <w:top w:w="90" w:type="dxa"/>
              <w:start w:w="90" w:type="dxa"/>
              <w:bottom w:w="90" w:type="dxa"/>
              <w:end w:w="90" w:type="dxa"/>
            </w:tcMar>
            <w:vAlign w:val="top"/>
          </w:tcPr>
          <w:p>
            <w:r>
              <w:rPr>
                <w:sz w:val="17"/>
              </w:rPr>
              <w:t>Authorization workflow and self-approval rejection tests.</w:t>
            </w:r>
          </w:p>
        </w:tc>
      </w:tr>
      <w:tr>
        <w:trPr>
          <w:cantSplit/>
        </w:trPr>
        <w:tc>
          <w:tcPr>
            <w:tcW w:type="dxa" w:w="4320"/>
            <w:tcMar>
              <w:top w:w="90" w:type="dxa"/>
              <w:start w:w="90" w:type="dxa"/>
              <w:bottom w:w="90" w:type="dxa"/>
              <w:end w:w="90" w:type="dxa"/>
            </w:tcMar>
            <w:vAlign w:val="top"/>
          </w:tcPr>
          <w:p>
            <w:r>
              <w:rPr>
                <w:sz w:val="17"/>
              </w:rPr>
              <w:t>Schema upgrades remain valid</w:t>
            </w:r>
          </w:p>
        </w:tc>
        <w:tc>
          <w:tcPr>
            <w:tcW w:type="dxa" w:w="5472"/>
            <w:tcMar>
              <w:top w:w="90" w:type="dxa"/>
              <w:start w:w="90" w:type="dxa"/>
              <w:bottom w:w="90" w:type="dxa"/>
              <w:end w:w="90" w:type="dxa"/>
            </w:tcMar>
            <w:vAlign w:val="top"/>
          </w:tcPr>
          <w:p>
            <w:r>
              <w:rPr>
                <w:sz w:val="17"/>
              </w:rPr>
              <w:t>Flyway clean-install and previous-release upgrade pipeline.</w:t>
            </w:r>
          </w:p>
        </w:tc>
      </w:tr>
    </w:tbl>
    <w:p>
      <w:pPr>
        <w:widowControl/>
      </w:pP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Severity</w:t>
            </w:r>
          </w:p>
        </w:tc>
        <w:tc>
          <w:tcPr>
            <w:tcW w:type="dxa" w:w="7992"/>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800"/>
            <w:tcMar>
              <w:top w:w="90" w:type="dxa"/>
              <w:start w:w="90" w:type="dxa"/>
              <w:bottom w:w="90" w:type="dxa"/>
              <w:end w:w="90" w:type="dxa"/>
            </w:tcMar>
            <w:vAlign w:val="top"/>
          </w:tcPr>
          <w:p>
            <w:r>
              <w:rPr>
                <w:sz w:val="17"/>
              </w:rPr>
              <w:t>Blocker</w:t>
            </w:r>
          </w:p>
        </w:tc>
        <w:tc>
          <w:tcPr>
            <w:tcW w:type="dxa" w:w="7992"/>
            <w:tcMar>
              <w:top w:w="90" w:type="dxa"/>
              <w:start w:w="90" w:type="dxa"/>
              <w:bottom w:w="90" w:type="dxa"/>
              <w:end w:w="90" w:type="dxa"/>
            </w:tcMar>
            <w:vAlign w:val="top"/>
          </w:tcPr>
          <w:p>
            <w:r>
              <w:rPr>
                <w:sz w:val="17"/>
              </w:rPr>
              <w:t>Ledger imbalance, duplicate financial posting, cross-tenant disclosure, event loss, payment without ledger, security bypass, unrecoverable migration.</w:t>
            </w:r>
          </w:p>
        </w:tc>
      </w:tr>
      <w:tr>
        <w:trPr>
          <w:cantSplit/>
        </w:trPr>
        <w:tc>
          <w:tcPr>
            <w:tcW w:type="dxa" w:w="1800"/>
            <w:tcMar>
              <w:top w:w="90" w:type="dxa"/>
              <w:start w:w="90" w:type="dxa"/>
              <w:bottom w:w="90" w:type="dxa"/>
              <w:end w:w="90" w:type="dxa"/>
            </w:tcMar>
            <w:vAlign w:val="top"/>
          </w:tcPr>
          <w:p>
            <w:r>
              <w:rPr>
                <w:sz w:val="17"/>
              </w:rPr>
              <w:t>Critical</w:t>
            </w:r>
          </w:p>
        </w:tc>
        <w:tc>
          <w:tcPr>
            <w:tcW w:type="dxa" w:w="7992"/>
            <w:tcMar>
              <w:top w:w="90" w:type="dxa"/>
              <w:start w:w="90" w:type="dxa"/>
              <w:bottom w:w="90" w:type="dxa"/>
              <w:end w:w="90" w:type="dxa"/>
            </w:tcMar>
            <w:vAlign w:val="top"/>
          </w:tcPr>
          <w:p>
            <w:r>
              <w:rPr>
                <w:sz w:val="17"/>
              </w:rPr>
              <w:t>Wrong terminal state, missed critical discrepancy, timeout treated as failure, silent financial dead letter, approval bypass.</w:t>
            </w:r>
          </w:p>
        </w:tc>
      </w:tr>
      <w:tr>
        <w:trPr>
          <w:cantSplit/>
        </w:trPr>
        <w:tc>
          <w:tcPr>
            <w:tcW w:type="dxa" w:w="1800"/>
            <w:tcMar>
              <w:top w:w="90" w:type="dxa"/>
              <w:start w:w="90" w:type="dxa"/>
              <w:bottom w:w="90" w:type="dxa"/>
              <w:end w:w="90" w:type="dxa"/>
            </w:tcMar>
            <w:vAlign w:val="top"/>
          </w:tcPr>
          <w:p>
            <w:r>
              <w:rPr>
                <w:sz w:val="17"/>
              </w:rPr>
              <w:t>Major</w:t>
            </w:r>
          </w:p>
        </w:tc>
        <w:tc>
          <w:tcPr>
            <w:tcW w:type="dxa" w:w="7992"/>
            <w:tcMar>
              <w:top w:w="90" w:type="dxa"/>
              <w:start w:w="90" w:type="dxa"/>
              <w:bottom w:w="90" w:type="dxa"/>
              <w:end w:w="90" w:type="dxa"/>
            </w:tcMar>
            <w:vAlign w:val="top"/>
          </w:tcPr>
          <w:p>
            <w:r>
              <w:rPr>
                <w:sz w:val="17"/>
              </w:rPr>
              <w:t>Material operational workflow failure or major performance miss.</w:t>
            </w:r>
          </w:p>
        </w:tc>
      </w:tr>
      <w:tr>
        <w:trPr>
          <w:cantSplit/>
        </w:trPr>
        <w:tc>
          <w:tcPr>
            <w:tcW w:type="dxa" w:w="1800"/>
            <w:tcMar>
              <w:top w:w="90" w:type="dxa"/>
              <w:start w:w="90" w:type="dxa"/>
              <w:bottom w:w="90" w:type="dxa"/>
              <w:end w:w="90" w:type="dxa"/>
            </w:tcMar>
            <w:vAlign w:val="top"/>
          </w:tcPr>
          <w:p>
            <w:r>
              <w:rPr>
                <w:sz w:val="17"/>
              </w:rPr>
              <w:t>Minor</w:t>
            </w:r>
          </w:p>
        </w:tc>
        <w:tc>
          <w:tcPr>
            <w:tcW w:type="dxa" w:w="7992"/>
            <w:tcMar>
              <w:top w:w="90" w:type="dxa"/>
              <w:start w:w="90" w:type="dxa"/>
              <w:bottom w:w="90" w:type="dxa"/>
              <w:end w:w="90" w:type="dxa"/>
            </w:tcMar>
            <w:vAlign w:val="top"/>
          </w:tcPr>
          <w:p>
            <w:r>
              <w:rPr>
                <w:sz w:val="17"/>
              </w:rPr>
              <w:t>Cosmetic or non-blocking usability/documentation issue.</w:t>
            </w:r>
          </w:p>
        </w:tc>
      </w:tr>
    </w:tbl>
    <w:p>
      <w:pPr>
        <w:widowControl/>
      </w:pPr>
    </w:p>
    <w:p>
      <w:pPr>
        <w:widowControl/>
        <w:spacing w:after="120"/>
      </w:pPr>
      <w:r>
        <w:t>No blocker or critical defect may remain open at the 1.0 portfolio release.</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synchronous risk rules.</w:t>
      </w:r>
    </w:p>
    <w:p>
      <w:pPr>
        <w:pStyle w:val="ListBullet"/>
        <w:widowControl/>
        <w:spacing w:after="40"/>
      </w:pPr>
      <w:r>
        <w:t>Strict double-entry ledger and atomic payment completion.</w:t>
      </w:r>
    </w:p>
    <w:p>
      <w:pPr>
        <w:pStyle w:val="ListBullet"/>
        <w:widowControl/>
        <w:spacing w:after="40"/>
      </w:pPr>
      <w:r>
        <w:t>OpenAPI, structured logs, Testcontainers, domain and integration tests.</w:t>
      </w:r>
    </w:p>
    <w:p>
      <w:pPr>
        <w:pStyle w:val="ListBullet"/>
        <w:widowControl/>
        <w:spacing w:after="40"/>
      </w:pPr>
      <w:r>
        <w:t>Exit: concurrent duplicates create one Payment; every completed Payment has one balanced immutable ledger posting.</w:t>
      </w:r>
    </w:p>
    <w:p>
      <w:pPr>
        <w:pStyle w:val="Heading2"/>
        <w:keepNext/>
        <w:widowControl/>
      </w:pPr>
      <w:r>
        <w:t>14.2 Release 0.2 - Distributed Processing</w:t>
      </w:r>
    </w:p>
    <w:p>
      <w:pPr>
        <w:pStyle w:val="ListBullet"/>
        <w:widowControl/>
        <w:spacing w:after="40"/>
      </w:pPr>
      <w:r>
        <w:t>Kafka, transactional outbox, consumer inbox, separate Provider Simulator.</w:t>
      </w:r>
    </w:p>
    <w:p>
      <w:pPr>
        <w:pStyle w:val="ListBullet"/>
        <w:widowControl/>
        <w:spacing w:after="40"/>
      </w:pPr>
      <w:r>
        <w:t>Signed webhooks, timeouts, retries, circuit breaker, bulkhead, ambiguity recovery, dead letters.</w:t>
      </w:r>
    </w:p>
    <w:p>
      <w:pPr>
        <w:pStyle w:val="ListBullet"/>
        <w:widowControl/>
        <w:spacing w:after="40"/>
      </w:pPr>
      <w:r>
        <w:t>OpenTelemetry traces, Prometheus metrics, initial Grafana dashboards.</w:t>
      </w:r>
    </w:p>
    <w:p>
      <w:pPr>
        <w:pStyle w:val="ListBullet"/>
        <w:widowControl/>
        <w:spacing w:after="40"/>
      </w:pPr>
      <w:r>
        <w:t>Exit: outages do not lose committed events; duplicate provider results create one financial effect; ambiguous outcomes recover safely.</w:t>
      </w:r>
    </w:p>
    <w:p>
      <w:pPr>
        <w:pStyle w:val="Heading2"/>
        <w:keepNext/>
        <w:widowControl/>
      </w:pPr>
      <w:r>
        <w:t>14.3 Release 0.3 - Financial Operations</w:t>
      </w:r>
    </w:p>
    <w:p>
      <w:pPr>
        <w:pStyle w:val="ListBullet"/>
        <w:widowControl/>
        <w:spacing w:after="40"/>
      </w:pPr>
      <w:r>
        <w:t>Keycloak, tenant membership, permissions, merchant scope, audited support mode.</w:t>
      </w:r>
    </w:p>
    <w:p>
      <w:pPr>
        <w:pStyle w:val="ListBullet"/>
        <w:widowControl/>
        <w:spacing w:after="40"/>
      </w:pPr>
      <w:r>
        <w:t>Reversals and selective maker-checker approval.</w:t>
      </w:r>
    </w:p>
    <w:p>
      <w:pPr>
        <w:pStyle w:val="ListBullet"/>
        <w:widowControl/>
        <w:spacing w:after="40"/>
      </w:pPr>
      <w:r>
        <w:t>Settlement generation/ingestion, Spring Batch, reconciliation, discrepancies, cases, corrections.</w:t>
      </w:r>
    </w:p>
    <w:p>
      <w:pPr>
        <w:pStyle w:val="ListBullet"/>
        <w:widowControl/>
        <w:spacing w:after="40"/>
      </w:pPr>
      <w:r>
        <w:t>Operations Web with English and Arabic support.</w:t>
      </w:r>
    </w:p>
    <w:p>
      <w:pPr>
        <w:pStyle w:val="ListBullet"/>
        <w:widowControl/>
        <w:spacing w:after="40"/>
      </w:pPr>
      <w:r>
        <w:t>Exit: tenant isolation, reversal limits, immutable reconciliation, approval, and correction tests pass.</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widowControl/>
        <w:spacing w:after="120"/>
      </w:pPr>
      <w:r>
        <w:t>A material change to a locked decision requires a new or superseding ADR, an impact assessment covering product requirements, data migration, security, testing, operations, and cost, plus an update to this specification. Implementation convenience alone is not a valid reason to bypass a locked invariant.</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reversals, reconciliation, cases, approvals,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widowControl/>
        <w:spacing w:after="40"/>
      </w:pPr>
      <w:r>
        <w:t>All ledger invariants pass.</w:t>
      </w:r>
    </w:p>
    <w:p>
      <w:pPr>
        <w:pStyle w:val="ListBullet"/>
        <w:widowControl/>
        <w:spacing w:after="40"/>
      </w:pPr>
      <w:r>
        <w:t>Concurrent duplicate requests create one Payment.</w:t>
      </w:r>
    </w:p>
    <w:p>
      <w:pPr>
        <w:pStyle w:val="ListBullet"/>
        <w:widowControl/>
        <w:spacing w:after="40"/>
      </w:pPr>
      <w:r>
        <w:t>Duplicate Kafka messages and webhooks create one financial effect.</w:t>
      </w:r>
    </w:p>
    <w:p>
      <w:pPr>
        <w:pStyle w:val="ListBullet"/>
        <w:widowControl/>
        <w:spacing w:after="40"/>
      </w:pPr>
      <w:r>
        <w:t>Payment completion and ledger posting are atomic.</w:t>
      </w:r>
    </w:p>
    <w:p>
      <w:pPr>
        <w:pStyle w:val="ListBullet"/>
        <w:widowControl/>
        <w:spacing w:after="40"/>
      </w:pPr>
      <w:r>
        <w:t>Reconciliation history is immutable and corrections are compensating actions.</w:t>
      </w:r>
    </w:p>
    <w:p>
      <w:pPr>
        <w:pStyle w:val="ListBullet"/>
        <w:widowControl/>
        <w:spacing w:after="40"/>
      </w:pPr>
      <w:r>
        <w:t>Tenant and merchant isolation passes API, repository, and database tests.</w:t>
      </w:r>
    </w:p>
    <w:p>
      <w:pPr>
        <w:pStyle w:val="Heading2"/>
        <w:keepNext/>
        <w:widowControl/>
      </w:pPr>
      <w:r>
        <w:t>17.3 Reliability and Security</w:t>
      </w:r>
    </w:p>
    <w:p>
      <w:pPr>
        <w:pStyle w:val="ListBullet"/>
        <w:widowControl/>
        <w:spacing w:after="40"/>
      </w:pPr>
      <w:r>
        <w:t>Outbox, inbox, retries, dead letters, recovery jobs, probes, alerts, and runbooks are operational.</w:t>
      </w:r>
    </w:p>
    <w:p>
      <w:pPr>
        <w:pStyle w:val="ListBullet"/>
        <w:widowControl/>
        <w:spacing w:after="40"/>
      </w:pPr>
      <w:r>
        <w:t>OIDC authentication, permission checks, support mode, secret management, and elevated approvals work.</w:t>
      </w:r>
    </w:p>
    <w:p>
      <w:pPr>
        <w:pStyle w:val="ListBullet"/>
        <w:widowControl/>
        <w:spacing w:after="40"/>
      </w:pPr>
      <w:r>
        <w:t>No unresolved critical security scan findings remain.</w:t>
      </w:r>
    </w:p>
    <w:p>
      <w:pPr>
        <w:pStyle w:val="ListBullet"/>
        <w:widowControl/>
        <w:spacing w:after="40"/>
      </w:pPr>
      <w:r>
        <w:t>Every critical failure is detectable and has a documented recovery path.</w:t>
      </w:r>
    </w:p>
    <w:p>
      <w:pPr>
        <w:pStyle w:val="Heading2"/>
        <w:keepNext/>
        <w:widowControl/>
      </w:pPr>
      <w:r>
        <w:t>17.4 Platform and Evidence</w:t>
      </w:r>
    </w:p>
    <w:p>
      <w:pPr>
        <w:pStyle w:val="ListBullet"/>
        <w:widowControl/>
        <w:spacing w:after="40"/>
      </w:pPr>
      <w:r>
        <w:t>Local environment starts through documented commands.</w:t>
      </w:r>
    </w:p>
    <w:p>
      <w:pPr>
        <w:pStyle w:val="ListBullet"/>
        <w:widowControl/>
        <w:spacing w:after="40"/>
      </w:pPr>
      <w:r>
        <w:t>CI passes and images are immutable and scanned.</w:t>
      </w:r>
    </w:p>
    <w:p>
      <w:pPr>
        <w:pStyle w:val="ListBullet"/>
        <w:widowControl/>
        <w:spacing w:after="40"/>
      </w:pPr>
      <w:r>
        <w:t>Demo deployment is accessible and Kubernetes environment is reproducible.</w:t>
      </w:r>
    </w:p>
    <w:p>
      <w:pPr>
        <w:pStyle w:val="ListBullet"/>
        <w:widowControl/>
        <w:spacing w:after="40"/>
      </w:pPr>
      <w:r>
        <w:t>Terraform, backup/restore, load-test, resilience-test, and deployment documentation exist.</w:t>
      </w:r>
    </w:p>
    <w:p>
      <w:pPr>
        <w:pStyle w:val="ListBullet"/>
        <w:widowControl/>
        <w:spacing w:after="40"/>
      </w:pPr>
      <w:r>
        <w:t>Architecture diagrams, OpenAPI, event schemas, ADRs, known limitations, and a demonstration video exist.</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Release gate: </w:t>
            </w:r>
            <w:r>
              <w:t>Version 1.0 is approved only when every critical product requirement maps to a passing verification method and no blocker or critical defect remains open.</w:t>
            </w:r>
          </w:p>
        </w:tc>
      </w:tr>
    </w:tbl>
    <w:p>
      <w:pPr>
        <w:widowControl/>
      </w:pP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widowControl/>
        <w:spacing w:after="40"/>
      </w:pPr>
      <w:r>
        <w:t>Core API unavailable</w:t>
      </w:r>
    </w:p>
    <w:p>
      <w:pPr>
        <w:pStyle w:val="ListBullet"/>
        <w:widowControl/>
        <w:spacing w:after="40"/>
      </w:pPr>
      <w:r>
        <w:t>PostgreSQL unavailable</w:t>
      </w:r>
    </w:p>
    <w:p>
      <w:pPr>
        <w:pStyle w:val="ListBullet"/>
        <w:widowControl/>
        <w:spacing w:after="40"/>
      </w:pPr>
      <w:r>
        <w:t>Kafka unavailable</w:t>
      </w:r>
    </w:p>
    <w:p>
      <w:pPr>
        <w:pStyle w:val="ListBullet"/>
        <w:widowControl/>
        <w:spacing w:after="40"/>
      </w:pPr>
      <w:r>
        <w:t>Outbox backlog</w:t>
      </w:r>
    </w:p>
    <w:p>
      <w:pPr>
        <w:pStyle w:val="ListBullet"/>
        <w:widowControl/>
        <w:spacing w:after="40"/>
      </w:pPr>
      <w:r>
        <w:t>Consumer lag</w:t>
      </w:r>
    </w:p>
    <w:p>
      <w:pPr>
        <w:pStyle w:val="ListBullet"/>
        <w:widowControl/>
        <w:spacing w:after="40"/>
      </w:pPr>
      <w:r>
        <w:t>Financial dead-letter message</w:t>
      </w:r>
    </w:p>
    <w:p>
      <w:pPr>
        <w:pStyle w:val="ListBullet"/>
        <w:widowControl/>
        <w:spacing w:after="40"/>
      </w:pPr>
      <w:r>
        <w:t>Provider outage</w:t>
      </w:r>
    </w:p>
    <w:p>
      <w:pPr>
        <w:pStyle w:val="ListBullet"/>
        <w:widowControl/>
        <w:spacing w:after="40"/>
      </w:pPr>
      <w:r>
        <w:t>Ambiguous payment outcome</w:t>
      </w:r>
    </w:p>
    <w:p>
      <w:pPr>
        <w:pStyle w:val="ListBullet"/>
        <w:widowControl/>
        <w:spacing w:after="40"/>
      </w:pPr>
      <w:r>
        <w:t>Webhook backlog</w:t>
      </w:r>
    </w:p>
    <w:p>
      <w:pPr>
        <w:pStyle w:val="ListBullet"/>
        <w:widowControl/>
        <w:spacing w:after="40"/>
      </w:pPr>
      <w:r>
        <w:t>Ledger posting failure</w:t>
      </w:r>
    </w:p>
    <w:p>
      <w:pPr>
        <w:pStyle w:val="ListBullet"/>
        <w:widowControl/>
        <w:spacing w:after="40"/>
      </w:pPr>
      <w:r>
        <w:t>Reconciliation failure</w:t>
      </w:r>
    </w:p>
    <w:p>
      <w:pPr>
        <w:pStyle w:val="ListBullet"/>
        <w:widowControl/>
        <w:spacing w:after="40"/>
      </w:pPr>
      <w:r>
        <w:t>Cross-tenant authorization incident</w:t>
      </w:r>
    </w:p>
    <w:p>
      <w:pPr>
        <w:pStyle w:val="ListBullet"/>
        <w:widowControl/>
        <w:spacing w:after="40"/>
      </w:pPr>
      <w:r>
        <w:t>Object-storage failure</w:t>
      </w:r>
    </w:p>
    <w:p>
      <w:pPr>
        <w:pStyle w:val="ListBullet"/>
        <w:widowControl/>
        <w:spacing w:after="40"/>
      </w:pPr>
      <w:r>
        <w:t>Stuck payment spike</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pPr>
              <w:jc w:val="left"/>
            </w:pPr>
            <w:r>
              <w:rPr>
                <w:b/>
                <w:color w:val="FFFFFF"/>
                <w:sz w:val="17"/>
              </w:rP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Implementation authorization: </w:t>
            </w:r>
            <w:r>
              <w:t>The architecture is approved for implementation. Low-level code structure may evolve, but the invariants, ownership boundaries, delivery guarantees, security model, and scope controls in this document remain authoritative until changed through the ADR process.</w:t>
            </w:r>
          </w:p>
        </w:tc>
      </w:tr>
    </w:tbl>
    <w:p>
      <w:pPr>
        <w:widowControl/>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6464"/>
        <w:sz w:val="16"/>
      </w:rPr>
      <w:t>LedgerOps | Technical Design and Architecture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dc:title>
  <dc:subject>Official engineering baseline for LedgerOps</dc:subject>
  <dc:creator>Siddeg Omer</dc:creator>
  <cp:keywords>LedgerOps, Java, Spring Boot, architecture, Kafka, PostgreSQL, platform engineering</cp:keywords>
  <dc:description>generated by python-docx</dc:description>
  <cp:lastModifiedBy/>
  <cp:revision>1</cp:revision>
  <dcterms:created xsi:type="dcterms:W3CDTF">2013-12-23T23:15:00Z</dcterms:created>
  <dcterms:modified xsi:type="dcterms:W3CDTF">2013-12-23T23:15:00Z</dcterms:modified>
  <cp:category/>
</cp:coreProperties>
</file>