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color w:val="1F4E78"/>
          <w:sz w:val="32"/>
        </w:rPr>
        <w:t>LEDGEROPS</w:t>
      </w:r>
    </w:p>
    <w:p>
      <w:pPr>
        <w:widowControl/>
        <w:jc w:val="center"/>
      </w:pPr>
      <w:r>
        <w:rPr>
          <w:b/>
          <w:color w:val="163A5F"/>
          <w:sz w:val="56"/>
        </w:rPr>
        <w:t>Technical Design and</w:t>
        <w:br/>
        <w:t>Architecture Specification</w:t>
      </w:r>
    </w:p>
    <w:p>
      <w:pPr>
        <w:widowControl/>
        <w:spacing w:before="240"/>
        <w:jc w:val="center"/>
      </w:pPr>
      <w:r>
        <w:rPr>
          <w:i/>
          <w:color w:val="595959"/>
          <w:sz w:val="26"/>
        </w:rPr>
        <w:t>Official Engineering Baseline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20" w:type="dxa"/>
              <w:start w:w="130" w:type="dxa"/>
              <w:bottom w:w="120" w:type="dxa"/>
              <w:end w:w="130" w:type="dxa"/>
            </w:tcMar>
          </w:tcPr>
          <w:p>
            <w:r>
              <w:rPr>
                <w:b/>
              </w:rPr>
              <w:t>Document version</w:t>
            </w:r>
          </w:p>
        </w:tc>
        <w:tc>
          <w:tcPr>
            <w:tcW w:type="dxa" w:w="5040"/>
            <w:tcMar>
              <w:top w:w="120" w:type="dxa"/>
              <w:start w:w="130" w:type="dxa"/>
              <w:bottom w:w="120" w:type="dxa"/>
              <w:end w:w="130" w:type="dxa"/>
            </w:tcMar>
          </w:tcPr>
          <w:p>
            <w:r>
              <w:t>1.4</w:t>
            </w:r>
          </w:p>
        </w:tc>
      </w:tr>
      <w:tr>
        <w:tc>
          <w:tcPr>
            <w:tcW w:type="dxa" w:w="5040"/>
            <w:shd w:fill="D9EAF7"/>
            <w:tcMar>
              <w:top w:w="120" w:type="dxa"/>
              <w:start w:w="130" w:type="dxa"/>
              <w:bottom w:w="120" w:type="dxa"/>
              <w:end w:w="130" w:type="dxa"/>
            </w:tcMar>
          </w:tcPr>
          <w:p>
            <w:r>
              <w:rPr>
                <w:b/>
              </w:rPr>
              <w:t>Status</w:t>
            </w:r>
          </w:p>
        </w:tc>
        <w:tc>
          <w:tcPr>
            <w:tcW w:type="dxa" w:w="5040"/>
            <w:tcMar>
              <w:top w:w="120" w:type="dxa"/>
              <w:start w:w="130" w:type="dxa"/>
              <w:bottom w:w="120" w:type="dxa"/>
              <w:end w:w="130" w:type="dxa"/>
            </w:tcMar>
          </w:tcPr>
          <w:p>
            <w:r>
              <w:t>Approved for implementation - reconciled through ADR-016, ADR-017, ADR-018, and ADR-019</w:t>
            </w:r>
          </w:p>
        </w:tc>
      </w:tr>
      <w:tr>
        <w:tc>
          <w:tcPr>
            <w:tcW w:type="dxa" w:w="5040"/>
            <w:shd w:fill="D9EAF7"/>
            <w:tcMar>
              <w:top w:w="120" w:type="dxa"/>
              <w:start w:w="130" w:type="dxa"/>
              <w:bottom w:w="120" w:type="dxa"/>
              <w:end w:w="130" w:type="dxa"/>
            </w:tcMar>
          </w:tcPr>
          <w:p>
            <w:r>
              <w:rPr>
                <w:b/>
              </w:rPr>
              <w:t>Product baseline</w:t>
            </w:r>
          </w:p>
        </w:tc>
        <w:tc>
          <w:tcPr>
            <w:tcW w:type="dxa" w:w="5040"/>
            <w:tcMar>
              <w:top w:w="120" w:type="dxa"/>
              <w:start w:w="130" w:type="dxa"/>
              <w:bottom w:w="120" w:type="dxa"/>
              <w:end w:w="130" w:type="dxa"/>
            </w:tcMar>
          </w:tcPr>
          <w:p>
            <w:r>
              <w:t>LedgerOps Product Definition Document v1.5</w:t>
            </w:r>
          </w:p>
        </w:tc>
      </w:tr>
      <w:tr>
        <w:tc>
          <w:tcPr>
            <w:tcW w:type="dxa" w:w="5040"/>
            <w:shd w:fill="D9EAF7"/>
            <w:tcMar>
              <w:top w:w="120" w:type="dxa"/>
              <w:start w:w="130" w:type="dxa"/>
              <w:bottom w:w="120" w:type="dxa"/>
              <w:end w:w="130" w:type="dxa"/>
            </w:tcMar>
          </w:tcPr>
          <w:p>
            <w:r>
              <w:rPr>
                <w:b/>
              </w:rPr>
              <w:t>Primary purpose</w:t>
            </w:r>
          </w:p>
        </w:tc>
        <w:tc>
          <w:tcPr>
            <w:tcW w:type="dxa" w:w="5040"/>
            <w:tcMar>
              <w:top w:w="120" w:type="dxa"/>
              <w:start w:w="130" w:type="dxa"/>
              <w:bottom w:w="120" w:type="dxa"/>
              <w:end w:w="130" w:type="dxa"/>
            </w:tcMar>
          </w:tcPr>
          <w:p>
            <w:r>
              <w:t>Portfolio-grade, commercially credible engineering system</w:t>
            </w:r>
          </w:p>
        </w:tc>
      </w:tr>
      <w:tr>
        <w:tc>
          <w:tcPr>
            <w:tcW w:type="dxa" w:w="5040"/>
            <w:shd w:fill="D9EAF7"/>
            <w:tcMar>
              <w:top w:w="120" w:type="dxa"/>
              <w:start w:w="130" w:type="dxa"/>
              <w:bottom w:w="120" w:type="dxa"/>
              <w:end w:w="130" w:type="dxa"/>
            </w:tcMar>
          </w:tcPr>
          <w:p>
            <w:r>
              <w:rPr>
                <w:b/>
              </w:rPr>
              <w:t>Prepared for</w:t>
            </w:r>
          </w:p>
        </w:tc>
        <w:tc>
          <w:tcPr>
            <w:tcW w:type="dxa" w:w="5040"/>
            <w:tcMar>
              <w:top w:w="120" w:type="dxa"/>
              <w:start w:w="130" w:type="dxa"/>
              <w:bottom w:w="120" w:type="dxa"/>
              <w:end w:w="130" w:type="dxa"/>
            </w:tcMar>
          </w:tcPr>
          <w:p>
            <w:r>
              <w:t>Siddeg Omer</w:t>
            </w:r>
          </w:p>
        </w:tc>
      </w:tr>
      <w:tr>
        <w:tc>
          <w:tcPr>
            <w:tcW w:type="dxa" w:w="5040"/>
            <w:shd w:fill="D9EAF7"/>
            <w:tcMar>
              <w:top w:w="120" w:type="dxa"/>
              <w:start w:w="130" w:type="dxa"/>
              <w:bottom w:w="120" w:type="dxa"/>
              <w:end w:w="130" w:type="dxa"/>
            </w:tcMar>
          </w:tcPr>
          <w:p>
            <w:r>
              <w:rPr>
                <w:b/>
              </w:rPr>
              <w:t>Date</w:t>
            </w:r>
          </w:p>
        </w:tc>
        <w:tc>
          <w:tcPr>
            <w:tcW w:type="dxa" w:w="5040"/>
            <w:tcMar>
              <w:top w:w="120" w:type="dxa"/>
              <w:start w:w="130" w:type="dxa"/>
              <w:bottom w:w="120" w:type="dxa"/>
              <w:end w:w="130" w:type="dxa"/>
            </w:tcMar>
          </w:tcPr>
          <w:p>
            <w:r>
              <w:t>20 July 2026</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Document authority: </w:t>
            </w:r>
            <w:r>
              <w:t>This specification records the approved technical architecture. Implementation may refine low-level details, but changes to locked decisions require an Architecture Decision Record and an explicit review.</w:t>
            </w:r>
          </w:p>
        </w:tc>
      </w:tr>
    </w:tbl>
    <w:p>
      <w:pPr>
        <w:widowControl/>
      </w:pP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Field</w:t>
            </w:r>
          </w:p>
        </w:tc>
        <w:tc>
          <w:tcPr>
            <w:tcW w:type="dxa" w:w="6912"/>
            <w:shd w:fill="1F4E78"/>
            <w:vAlign w:val="center"/>
            <w:tcMar>
              <w:top w:w="90" w:type="dxa"/>
              <w:start w:w="90" w:type="dxa"/>
              <w:bottom w:w="90" w:type="dxa"/>
              <w:end w:w="90" w:type="dxa"/>
            </w:tcMar>
          </w:tcPr>
          <w:p>
            <w:pPr>
              <w:jc w:val="left"/>
            </w:pPr>
            <w:r>
              <w:rPr>
                <w:b/>
                <w:color w:val="FFFFFF"/>
                <w:sz w:val="17"/>
              </w:rPr>
              <w:t>Value</w:t>
            </w:r>
          </w:p>
        </w:tc>
      </w:tr>
      <w:tr>
        <w:trPr>
          <w:cantSplit/>
        </w:trPr>
        <w:tc>
          <w:tcPr>
            <w:tcW w:type="dxa" w:w="2880"/>
            <w:tcMar>
              <w:top w:w="90" w:type="dxa"/>
              <w:start w:w="90" w:type="dxa"/>
              <w:bottom w:w="90" w:type="dxa"/>
              <w:end w:w="90" w:type="dxa"/>
            </w:tcMar>
            <w:vAlign w:val="top"/>
          </w:tcPr>
          <w:p>
            <w:r>
              <w:rPr>
                <w:sz w:val="17"/>
              </w:rPr>
              <w:t>Document ID</w:t>
            </w:r>
          </w:p>
        </w:tc>
        <w:tc>
          <w:tcPr>
            <w:tcW w:type="dxa" w:w="6912"/>
            <w:tcMar>
              <w:top w:w="90" w:type="dxa"/>
              <w:start w:w="90" w:type="dxa"/>
              <w:bottom w:w="90" w:type="dxa"/>
              <w:end w:w="90" w:type="dxa"/>
            </w:tcMar>
            <w:vAlign w:val="top"/>
          </w:tcPr>
          <w:p>
            <w:r>
              <w:rPr>
                <w:sz w:val="17"/>
              </w:rPr>
              <w:t>LEDGEROPS-TDAS-001</w:t>
            </w:r>
          </w:p>
        </w:tc>
      </w:tr>
      <w:tr>
        <w:trPr>
          <w:cantSplit/>
        </w:trPr>
        <w:tc>
          <w:tcPr>
            <w:tcW w:type="dxa" w:w="2880"/>
            <w:tcMar>
              <w:top w:w="90" w:type="dxa"/>
              <w:start w:w="90" w:type="dxa"/>
              <w:bottom w:w="90" w:type="dxa"/>
              <w:end w:w="90" w:type="dxa"/>
            </w:tcMar>
            <w:vAlign w:val="top"/>
          </w:tcPr>
          <w:p>
            <w:r>
              <w:rPr>
                <w:sz w:val="17"/>
              </w:rPr>
              <w:t>Version</w:t>
            </w:r>
          </w:p>
        </w:tc>
        <w:tc>
          <w:tcPr>
            <w:tcW w:type="dxa" w:w="6912"/>
            <w:tcMar>
              <w:top w:w="90" w:type="dxa"/>
              <w:start w:w="90" w:type="dxa"/>
              <w:bottom w:w="90" w:type="dxa"/>
              <w:end w:w="90" w:type="dxa"/>
            </w:tcMar>
            <w:vAlign w:val="top"/>
          </w:tcPr>
          <w:p>
            <w:r>
              <w:t>1.4</w:t>
            </w:r>
          </w:p>
        </w:tc>
      </w:tr>
      <w:tr>
        <w:trPr>
          <w:cantSplit/>
        </w:trPr>
        <w:tc>
          <w:tcPr>
            <w:tcW w:type="dxa" w:w="2880"/>
            <w:tcMar>
              <w:top w:w="90" w:type="dxa"/>
              <w:start w:w="90" w:type="dxa"/>
              <w:bottom w:w="90" w:type="dxa"/>
              <w:end w:w="90" w:type="dxa"/>
            </w:tcMar>
            <w:vAlign w:val="top"/>
          </w:tcPr>
          <w:p>
            <w:r>
              <w:rPr>
                <w:sz w:val="17"/>
              </w:rPr>
              <w:t>Status</w:t>
            </w:r>
          </w:p>
        </w:tc>
        <w:tc>
          <w:tcPr>
            <w:tcW w:type="dxa" w:w="6912"/>
            <w:tcMar>
              <w:top w:w="90" w:type="dxa"/>
              <w:start w:w="90" w:type="dxa"/>
              <w:bottom w:w="90" w:type="dxa"/>
              <w:end w:w="90" w:type="dxa"/>
            </w:tcMar>
            <w:vAlign w:val="top"/>
          </w:tcPr>
          <w:p>
            <w:r>
              <w:t>Approved for implementation - reconciled through ADR-016, ADR-017, ADR-018, and ADR-019</w:t>
            </w:r>
          </w:p>
        </w:tc>
      </w:tr>
      <w:tr>
        <w:trPr>
          <w:cantSplit/>
        </w:trPr>
        <w:tc>
          <w:tcPr>
            <w:tcW w:type="dxa" w:w="2880"/>
            <w:tcMar>
              <w:top w:w="90" w:type="dxa"/>
              <w:start w:w="90" w:type="dxa"/>
              <w:bottom w:w="90" w:type="dxa"/>
              <w:end w:w="90" w:type="dxa"/>
            </w:tcMar>
            <w:vAlign w:val="top"/>
          </w:tcPr>
          <w:p>
            <w:r>
              <w:rPr>
                <w:sz w:val="17"/>
              </w:rPr>
              <w:t>Supersedes</w:t>
            </w:r>
          </w:p>
        </w:tc>
        <w:tc>
          <w:tcPr>
            <w:tcW w:type="dxa" w:w="6912"/>
            <w:tcMar>
              <w:top w:w="90" w:type="dxa"/>
              <w:start w:w="90" w:type="dxa"/>
              <w:bottom w:w="90" w:type="dxa"/>
              <w:end w:w="90" w:type="dxa"/>
            </w:tcMar>
            <w:vAlign w:val="top"/>
          </w:tcPr>
          <w:p>
            <w:r>
              <w:t>LedgerOps Technical Design and Architecture Specification v1.3</w:t>
            </w:r>
          </w:p>
        </w:tc>
      </w:tr>
      <w:tr>
        <w:trPr>
          <w:cantSplit/>
        </w:trPr>
        <w:tc>
          <w:tcPr>
            <w:tcW w:type="dxa" w:w="2880"/>
            <w:tcMar>
              <w:top w:w="90" w:type="dxa"/>
              <w:start w:w="90" w:type="dxa"/>
              <w:bottom w:w="90" w:type="dxa"/>
              <w:end w:w="90" w:type="dxa"/>
            </w:tcMar>
            <w:vAlign w:val="top"/>
          </w:tcPr>
          <w:p>
            <w:r>
              <w:rPr>
                <w:sz w:val="17"/>
              </w:rPr>
              <w:t>Related product document</w:t>
            </w:r>
          </w:p>
        </w:tc>
        <w:tc>
          <w:tcPr>
            <w:tcW w:type="dxa" w:w="6912"/>
            <w:tcMar>
              <w:top w:w="90" w:type="dxa"/>
              <w:start w:w="90" w:type="dxa"/>
              <w:bottom w:w="90" w:type="dxa"/>
              <w:end w:w="90" w:type="dxa"/>
            </w:tcMar>
            <w:vAlign w:val="top"/>
          </w:tcPr>
          <w:p>
            <w:r>
              <w:t>LedgerOps Product Definition Document v1.5</w:t>
            </w:r>
          </w:p>
        </w:tc>
      </w:tr>
      <w:tr>
        <w:trPr>
          <w:cantSplit/>
        </w:trPr>
        <w:tc>
          <w:tcPr>
            <w:tcW w:type="dxa" w:w="2880"/>
            <w:tcMar>
              <w:top w:w="90" w:type="dxa"/>
              <w:start w:w="90" w:type="dxa"/>
              <w:bottom w:w="90" w:type="dxa"/>
              <w:end w:w="90" w:type="dxa"/>
            </w:tcMar>
            <w:vAlign w:val="top"/>
          </w:tcPr>
          <w:p>
            <w:r>
              <w:rPr>
                <w:sz w:val="17"/>
              </w:rPr>
              <w:t>Change-control rule</w:t>
            </w:r>
          </w:p>
        </w:tc>
        <w:tc>
          <w:tcPr>
            <w:tcW w:type="dxa" w:w="6912"/>
            <w:tcMar>
              <w:top w:w="90" w:type="dxa"/>
              <w:start w:w="90" w:type="dxa"/>
              <w:bottom w:w="90" w:type="dxa"/>
              <w:end w:w="90" w:type="dxa"/>
            </w:tcMar>
            <w:vAlign w:val="top"/>
          </w:tcPr>
          <w:p>
            <w:r>
              <w:rPr>
                <w:sz w:val="17"/>
              </w:rPr>
              <w:t>Material changes require an ADR and update to this specification</w:t>
            </w:r>
          </w:p>
        </w:tc>
      </w:tr>
      <w:tr>
        <w:trPr>
          <w:cantSplit/>
        </w:trPr>
        <w:tc>
          <w:tcPr>
            <w:tcW w:type="dxa" w:w="2880"/>
            <w:tcMar>
              <w:top w:w="90" w:type="dxa"/>
              <w:start w:w="90" w:type="dxa"/>
              <w:bottom w:w="90" w:type="dxa"/>
              <w:end w:w="90" w:type="dxa"/>
            </w:tcMar>
            <w:vAlign w:val="top"/>
          </w:tcPr>
          <w:p>
            <w:r>
              <w:rPr>
                <w:sz w:val="17"/>
              </w:rPr>
              <w:t>Audience</w:t>
            </w:r>
          </w:p>
        </w:tc>
        <w:tc>
          <w:tcPr>
            <w:tcW w:type="dxa" w:w="6912"/>
            <w:tcMar>
              <w:top w:w="90" w:type="dxa"/>
              <w:start w:w="90" w:type="dxa"/>
              <w:bottom w:w="90" w:type="dxa"/>
              <w:end w:w="90" w:type="dxa"/>
            </w:tcMar>
            <w:vAlign w:val="top"/>
          </w:tcPr>
          <w:p>
            <w:r>
              <w:rPr>
                <w:sz w:val="17"/>
              </w:rPr>
              <w:t>Software engineers, reviewers, DevOps/platform engineers, security reviewers, and portfolio evaluators</w:t>
            </w:r>
          </w:p>
        </w:tc>
      </w:tr>
    </w:tbl>
    <w:p>
      <w:pPr>
        <w:widowControl/>
      </w:pPr>
    </w:p>
    <w:p>
      <w:pPr>
        <w:pStyle w:val="Heading2"/>
        <w:keepNext/>
        <w:widowControl/>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8"/>
            <w:vAlign w:val="center"/>
            <w:tcMar>
              <w:top w:w="90" w:type="dxa"/>
              <w:start w:w="90" w:type="dxa"/>
              <w:bottom w:w="90" w:type="dxa"/>
              <w:end w:w="90" w:type="dxa"/>
            </w:tcMar>
          </w:tcPr>
          <w:p>
            <w:pPr>
              <w:jc w:val="left"/>
            </w:pPr>
            <w:r>
              <w:rPr>
                <w:b/>
                <w:color w:val="FFFFFF"/>
                <w:sz w:val="17"/>
              </w:rPr>
              <w:t>Version</w:t>
            </w:r>
          </w:p>
        </w:tc>
        <w:tc>
          <w:tcPr>
            <w:tcW w:type="dxa" w:w="2520"/>
            <w:shd w:fill="1F4E78"/>
            <w:vAlign w:val="center"/>
            <w:tcMar>
              <w:top w:w="90" w:type="dxa"/>
              <w:start w:w="90" w:type="dxa"/>
              <w:bottom w:w="90" w:type="dxa"/>
              <w:end w:w="90" w:type="dxa"/>
            </w:tcMar>
          </w:tcPr>
          <w:p>
            <w:pPr>
              <w:jc w:val="left"/>
            </w:pPr>
            <w:r>
              <w:rPr>
                <w:b/>
                <w:color w:val="FFFFFF"/>
                <w:sz w:val="17"/>
              </w:rPr>
              <w:t>Date</w:t>
            </w:r>
          </w:p>
        </w:tc>
        <w:tc>
          <w:tcPr>
            <w:tcW w:type="dxa" w:w="2520"/>
            <w:shd w:fill="1F4E78"/>
            <w:vAlign w:val="center"/>
            <w:tcMar>
              <w:top w:w="90" w:type="dxa"/>
              <w:start w:w="90" w:type="dxa"/>
              <w:bottom w:w="90" w:type="dxa"/>
              <w:end w:w="90" w:type="dxa"/>
            </w:tcMar>
          </w:tcPr>
          <w:p>
            <w:pPr>
              <w:jc w:val="left"/>
            </w:pPr>
            <w:r>
              <w:rPr>
                <w:b/>
                <w:color w:val="FFFFFF"/>
                <w:sz w:val="17"/>
              </w:rPr>
              <w:t>Description</w:t>
            </w:r>
          </w:p>
        </w:tc>
        <w:tc>
          <w:tcPr>
            <w:tcW w:type="dxa" w:w="2520"/>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2520"/>
            <w:tcMar>
              <w:top w:w="90" w:type="dxa"/>
              <w:start w:w="90" w:type="dxa"/>
              <w:bottom w:w="90" w:type="dxa"/>
              <w:end w:w="90" w:type="dxa"/>
            </w:tcMar>
            <w:vAlign w:val="top"/>
          </w:tcPr>
          <w:p>
            <w:r>
              <w:rPr>
                <w:sz w:val="17"/>
              </w:rPr>
              <w:t>1.0</w:t>
            </w:r>
          </w:p>
        </w:tc>
        <w:tc>
          <w:tcPr>
            <w:tcW w:type="dxa" w:w="2520"/>
            <w:tcMar>
              <w:top w:w="90" w:type="dxa"/>
              <w:start w:w="90" w:type="dxa"/>
              <w:bottom w:w="90" w:type="dxa"/>
              <w:end w:w="90" w:type="dxa"/>
            </w:tcMar>
            <w:vAlign w:val="top"/>
          </w:tcPr>
          <w:p>
            <w:r>
              <w:rPr>
                <w:sz w:val="17"/>
              </w:rPr>
              <w:t>13 July 2026</w:t>
            </w:r>
          </w:p>
        </w:tc>
        <w:tc>
          <w:tcPr>
            <w:tcW w:type="dxa" w:w="2520"/>
            <w:tcMar>
              <w:top w:w="90" w:type="dxa"/>
              <w:start w:w="90" w:type="dxa"/>
              <w:bottom w:w="90" w:type="dxa"/>
              <w:end w:w="90" w:type="dxa"/>
            </w:tcMar>
            <w:vAlign w:val="top"/>
          </w:tcPr>
          <w:p>
            <w:r>
              <w:rPr>
                <w:sz w:val="17"/>
              </w:rPr>
              <w:t>Initial architecture specification based on ten locked architecture layers.</w:t>
            </w:r>
          </w:p>
        </w:tc>
        <w:tc>
          <w:tcPr>
            <w:tcW w:type="dxa" w:w="2520"/>
            <w:tcMar>
              <w:top w:w="90" w:type="dxa"/>
              <w:start w:w="90" w:type="dxa"/>
              <w:bottom w:w="90" w:type="dxa"/>
              <w:end w:w="90" w:type="dxa"/>
            </w:tcMar>
            <w:vAlign w:val="top"/>
          </w:tcPr>
          <w:p>
            <w:r>
              <w:rPr>
                <w:sz w:val="17"/>
              </w:rPr>
              <w:t>Approved</w:t>
            </w:r>
          </w:p>
        </w:tc>
      </w:tr>
      <w:tr>
        <w:trPr>
          <w:cantSplit/>
        </w:trPr>
        <w:tc>
          <w:tcPr>
            <w:tcW w:type="dxa" w:w="2520"/>
            <w:tcMar>
              <w:top w:w="90" w:type="dxa"/>
              <w:start w:w="90" w:type="dxa"/>
              <w:bottom w:w="90" w:type="dxa"/>
              <w:end w:w="90" w:type="dxa"/>
            </w:tcMar>
            <w:vAlign w:val="top"/>
          </w:tcPr>
          <w:p>
            <w:r>
              <w:rPr>
                <w:sz w:val="17"/>
              </w:rPr>
              <w:t>1.1</w:t>
            </w:r>
          </w:p>
        </w:tc>
        <w:tc>
          <w:tcPr>
            <w:tcW w:type="dxa" w:w="2520"/>
            <w:tcMar>
              <w:top w:w="90" w:type="dxa"/>
              <w:start w:w="90" w:type="dxa"/>
              <w:bottom w:w="90" w:type="dxa"/>
              <w:end w:w="90" w:type="dxa"/>
            </w:tcMar>
            <w:vAlign w:val="top"/>
          </w:tcPr>
          <w:p>
            <w:r>
              <w:rPr>
                <w:sz w:val="17"/>
              </w:rPr>
              <w:t>18 July 2026</w:t>
            </w:r>
          </w:p>
        </w:tc>
        <w:tc>
          <w:tcPr>
            <w:tcW w:type="dxa" w:w="2520"/>
            <w:tcMar>
              <w:top w:w="90" w:type="dxa"/>
              <w:start w:w="90" w:type="dxa"/>
              <w:bottom w:w="90" w:type="dxa"/>
              <w:end w:w="90" w:type="dxa"/>
            </w:tcMar>
            <w:vAlign w:val="top"/>
          </w:tcPr>
          <w:p>
            <w:r>
              <w:rPr>
                <w:sz w:val="17"/>
              </w:rPr>
              <w:t>Aligned Payment, Reversal, provider-progress, reconciliation, module-ownership, and sensitive-action semantics with Product Definition v1.2 through ADR-016.</w:t>
            </w:r>
          </w:p>
        </w:tc>
        <w:tc>
          <w:tcPr>
            <w:tcW w:type="dxa" w:w="2520"/>
            <w:tcMar>
              <w:top w:w="90" w:type="dxa"/>
              <w:start w:w="90" w:type="dxa"/>
              <w:bottom w:w="90" w:type="dxa"/>
              <w:end w:w="90" w:type="dxa"/>
            </w:tcMar>
            <w:vAlign w:val="top"/>
          </w:tcPr>
          <w:p>
            <w:r>
              <w:rPr>
                <w:sz w:val="17"/>
              </w:rPr>
              <w:t>Approved</w:t>
            </w:r>
          </w:p>
        </w:tc>
      </w:tr>
      <w:tr>
        <w:tc>
          <w:tcPr>
            <w:tcW w:type="dxa" w:w="2520"/>
            <w:tcMar>
              <w:top w:w="90" w:type="dxa"/>
              <w:start w:w="90" w:type="dxa"/>
              <w:bottom w:w="90" w:type="dxa"/>
              <w:end w:w="90" w:type="dxa"/>
            </w:tcMar>
            <w:vAlign w:val="top"/>
          </w:tcPr>
          <w:tcPr/>
          <w:p>
            <w:r>
              <w:t>1.2</w:t>
            </w:r>
          </w:p>
        </w:tc>
        <w:tc>
          <w:tcPr>
            <w:tcW w:type="dxa" w:w="2520"/>
            <w:tcMar>
              <w:top w:w="90" w:type="dxa"/>
              <w:start w:w="90" w:type="dxa"/>
              <w:bottom w:w="90" w:type="dxa"/>
              <w:end w:w="90" w:type="dxa"/>
            </w:tcMar>
            <w:vAlign w:val="top"/>
          </w:tcPr>
          <w:tcPr/>
          <w:p>
            <w:r>
              <w:t>19 July 2026</w:t>
            </w:r>
          </w:p>
        </w:tc>
        <w:tc>
          <w:tcPr>
            <w:tcW w:type="dxa" w:w="2520"/>
            <w:tcMar>
              <w:top w:w="90" w:type="dxa"/>
              <w:start w:w="90" w:type="dxa"/>
              <w:bottom w:w="90" w:type="dxa"/>
              <w:end w:w="90" w:type="dxa"/>
            </w:tcMar>
            <w:vAlign w:val="top"/>
          </w:tcPr>
          <w:tcPr/>
          <w:p>
            <w:r>
              <w:t>Adopted tenant-wide Payment API idempotency through ADR-017 and clarified Release 0.3 identity and authorization delivery versus Release 1.0 security hardening.</w:t>
            </w:r>
          </w:p>
        </w:tc>
        <w:tc>
          <w:tcPr>
            <w:tcW w:type="dxa" w:w="2520"/>
            <w:tcMar>
              <w:top w:w="90" w:type="dxa"/>
              <w:start w:w="90" w:type="dxa"/>
              <w:bottom w:w="90" w:type="dxa"/>
              <w:end w:w="90" w:type="dxa"/>
            </w:tcMar>
            <w:vAlign w:val="top"/>
          </w:tcPr>
          <w:tcPr/>
          <w:p>
            <w:r>
              <w:t>Approved</w:t>
            </w:r>
          </w:p>
        </w:tc>
      </w:tr>
      <w:tr>
        <w:tc>
          <w:tcPr>
            <w:tcW w:type="dxa" w:w="2520"/>
          </w:tcPr>
          <w:p>
            <w:r>
              <w:t>1.3</w:t>
            </w:r>
          </w:p>
        </w:tc>
        <w:tc>
          <w:tcPr>
            <w:tcW w:type="dxa" w:w="2520"/>
          </w:tcPr>
          <w:p>
            <w:r>
              <w:t>20 July 2026</w:t>
            </w:r>
          </w:p>
        </w:tc>
        <w:tc>
          <w:tcPr>
            <w:tcW w:type="dxa" w:w="2520"/>
          </w:tcPr>
          <w:p>
            <w:r>
              <w:t>Defined the Release 0.1 deterministic synchronous Risk model, ownership, versioned persistence, two-transaction orchestration, optimistic concurrency, uniqueness, rollback behavior, and verification requirements through ADR-018.</w:t>
            </w:r>
          </w:p>
        </w:tc>
        <w:tc>
          <w:tcPr>
            <w:tcW w:type="dxa" w:w="2520"/>
          </w:tcPr>
          <w:p>
            <w:r>
              <w:t>Approved</w:t>
            </w:r>
          </w:p>
        </w:tc>
      </w:tr>
      <w:tr>
        <w:tc>
          <w:tcPr>
            <w:tcW w:type="dxa" w:w="2520"/>
          </w:tcPr>
          <w:p>
            <w:r>
              <w:t>1.4</w:t>
            </w:r>
          </w:p>
        </w:tc>
        <w:tc>
          <w:tcPr>
            <w:tcW w:type="dxa" w:w="2520"/>
          </w:tcPr>
          <w:p>
            <w:r>
              <w:t>20 July 2026</w:t>
            </w:r>
          </w:p>
        </w:tc>
        <w:tc>
          <w:tcPr>
            <w:tcW w:type="dxa" w:w="2520"/>
          </w:tcPr>
          <w:p>
            <w:r>
              <w:t>Defined the Release 0.1 Ledger account status, exact account-code catalog, immutable identity, tenant/code/currency uniqueness, persistence relationships, posting validation, atomic failure behavior, scope, and verification requirements through ADR-019.</w:t>
            </w:r>
          </w:p>
        </w:tc>
        <w:tc>
          <w:tcPr>
            <w:tcW w:type="dxa" w:w="2520"/>
          </w:tcPr>
          <w:p>
            <w:r>
              <w:t>Approved</w:t>
            </w:r>
          </w:p>
        </w:tc>
      </w:tr>
    </w:tbl>
    <w:p>
      <w:pPr>
        <w:widowControl/>
      </w:pPr>
    </w:p>
    <w:p>
      <w:pPr>
        <w:pStyle w:val="Heading2"/>
        <w:keepNext/>
        <w:widowControl/>
      </w:pPr>
      <w:r>
        <w:t>Approval criteria</w:t>
      </w:r>
    </w:p>
    <w:p>
      <w:pPr>
        <w:pStyle w:val="ListBullet"/>
        <w:widowControl/>
        <w:spacing w:after="40"/>
      </w:pPr>
      <w:r>
        <w:t>No unresolved critical architectural decisions remain.</w:t>
      </w:r>
    </w:p>
    <w:p>
      <w:pPr>
        <w:pStyle w:val="ListBullet"/>
        <w:widowControl/>
        <w:spacing w:after="40"/>
      </w:pPr>
      <w:r>
        <w:t>Product scope and technical scope are aligned.</w:t>
      </w:r>
    </w:p>
    <w:p>
      <w:pPr>
        <w:pStyle w:val="ListBullet"/>
        <w:widowControl/>
        <w:spacing w:after="40"/>
      </w:pPr>
      <w:r>
        <w:t>Financial correctness, tenant isolation, and delivery guarantees are explicit.</w:t>
      </w:r>
    </w:p>
    <w:p>
      <w:pPr>
        <w:pStyle w:val="ListBullet"/>
        <w:widowControl/>
        <w:spacing w:after="40"/>
      </w:pPr>
      <w:r>
        <w:t>Every major technology has a defined responsibility and a rejected-alternative rationale.</w:t>
      </w:r>
    </w:p>
    <w:p>
      <w:pPr>
        <w:pStyle w:val="ListBullet"/>
        <w:widowControl/>
        <w:spacing w:after="40"/>
      </w:pPr>
      <w:r>
        <w:t>Phased delivery prevents optional work from blocking the portfolio release.</w:t>
      </w:r>
    </w:p>
    <w:p>
      <w:pPr>
        <w:widowControl/>
      </w:pPr>
      <w:r>
        <w:br w:type="page"/>
      </w:r>
    </w:p>
    <w:p>
      <w:pPr>
        <w:pStyle w:val="Heading1"/>
        <w:keepNext/>
        <w:widowControl/>
      </w:pPr>
      <w:r>
        <w:t>Table of contents</w:t>
      </w:r>
    </w:p>
    <w:p>
      <w:pPr>
        <w:widowControl/>
        <w:spacing w:after="120"/>
      </w:pPr>
      <w:r>
        <w:t>1. Executive summary</w:t>
      </w:r>
    </w:p>
    <w:p>
      <w:pPr>
        <w:widowControl/>
        <w:spacing w:after="120"/>
      </w:pPr>
      <w:r>
        <w:t>2. Goals, constraints, and architectural principles</w:t>
      </w:r>
    </w:p>
    <w:p>
      <w:pPr>
        <w:widowControl/>
        <w:spacing w:after="120"/>
      </w:pPr>
      <w:r>
        <w:t>3. System context and boundaries</w:t>
      </w:r>
    </w:p>
    <w:p>
      <w:pPr>
        <w:widowControl/>
        <w:spacing w:after="120"/>
      </w:pPr>
      <w:r>
        <w:t>4. Application structure and module ownership</w:t>
      </w:r>
    </w:p>
    <w:p>
      <w:pPr>
        <w:widowControl/>
        <w:spacing w:after="120"/>
      </w:pPr>
      <w:r>
        <w:t>5. Domain model and consistency boundaries</w:t>
      </w:r>
    </w:p>
    <w:p>
      <w:pPr>
        <w:widowControl/>
        <w:spacing w:after="120"/>
      </w:pPr>
      <w:r>
        <w:t>6. Data architecture</w:t>
      </w:r>
    </w:p>
    <w:p>
      <w:pPr>
        <w:widowControl/>
        <w:spacing w:after="120"/>
      </w:pPr>
      <w:r>
        <w:t>7. Event architecture and delivery guarantees</w:t>
      </w:r>
    </w:p>
    <w:p>
      <w:pPr>
        <w:widowControl/>
        <w:spacing w:after="120"/>
      </w:pPr>
      <w:r>
        <w:t>8. Identity, multi-tenancy, authorization, and security</w:t>
      </w:r>
    </w:p>
    <w:p>
      <w:pPr>
        <w:widowControl/>
        <w:spacing w:after="120"/>
      </w:pPr>
      <w:r>
        <w:t>9. Provider integration and Payment orchestration</w:t>
      </w:r>
    </w:p>
    <w:p>
      <w:pPr>
        <w:widowControl/>
        <w:spacing w:after="120"/>
      </w:pPr>
      <w:r>
        <w:t>10. Reconciliation and correction workflows</w:t>
      </w:r>
    </w:p>
    <w:p>
      <w:pPr>
        <w:widowControl/>
        <w:spacing w:after="120"/>
      </w:pPr>
      <w:r>
        <w:t>11. Observability, reliability, and performance</w:t>
      </w:r>
    </w:p>
    <w:p>
      <w:pPr>
        <w:widowControl/>
        <w:spacing w:after="120"/>
      </w:pPr>
      <w:r>
        <w:t>12. Infrastructure, cloud, Kubernetes, and CI/CD</w:t>
      </w:r>
    </w:p>
    <w:p>
      <w:pPr>
        <w:widowControl/>
        <w:spacing w:after="120"/>
      </w:pPr>
      <w:r>
        <w:t>13. Testing and verification strategy</w:t>
      </w:r>
    </w:p>
    <w:p>
      <w:pPr>
        <w:widowControl/>
        <w:spacing w:after="120"/>
      </w:pPr>
      <w:r>
        <w:t>14. Delivery roadmap and scope control</w:t>
      </w:r>
    </w:p>
    <w:p>
      <w:pPr>
        <w:widowControl/>
        <w:spacing w:after="120"/>
      </w:pPr>
      <w:r>
        <w:t>15. Risks and mitigations</w:t>
      </w:r>
    </w:p>
    <w:p>
      <w:pPr>
        <w:widowControl/>
        <w:spacing w:after="120"/>
      </w:pPr>
      <w:r>
        <w:t>16. Architecture decision register</w:t>
      </w:r>
    </w:p>
    <w:p>
      <w:pPr>
        <w:widowControl/>
        <w:spacing w:after="120"/>
      </w:pPr>
      <w:r>
        <w:t>17. Release acceptance criteria</w:t>
      </w:r>
    </w:p>
    <w:p>
      <w:pPr>
        <w:widowControl/>
        <w:spacing w:after="120"/>
      </w:pPr>
      <w:r>
        <w:t>Appendices</w:t>
      </w:r>
    </w:p>
    <w:p>
      <w:pPr>
        <w:widowControl/>
      </w:pPr>
      <w:r>
        <w:br w:type="page"/>
      </w:r>
    </w:p>
    <w:p>
      <w:pPr>
        <w:pStyle w:val="Heading1"/>
        <w:keepNext/>
        <w:widowControl/>
      </w:pPr>
      <w:r>
        <w:t>1. Executive summary</w:t>
      </w:r>
    </w:p>
    <w:p>
      <w:pPr>
        <w:widowControl/>
        <w:spacing w:after="120"/>
      </w:pPr>
      <w:r>
        <w:t>LedgerOps is a production-style, multi-tenant transaction-processing and financial-operations platform. It demonstrates Java, Spring Boot, distributed systems, platform engineering, security, and reliability through simulated payment processing, double-entry ledger posting, provider failures, reversals, settlement ingestion, reconciliation, operational casework, and audited corrections. LedgerOps does not process real money or claim regulatory certification.</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Primary architecture: </w:t>
            </w:r>
            <w:r>
              <w:t>A Spring Boot modular monolith owns the transactional core. A separate Provider Simulator represents the external system. Reconciliation begins as an internal module and is extracted only after its contracts and data ownership are stable.</w:t>
            </w:r>
          </w:p>
        </w:tc>
      </w:tr>
    </w:tbl>
    <w:p>
      <w:pPr>
        <w:widowControl/>
      </w:pPr>
    </w:p>
    <w:p>
      <w:pPr>
        <w:pStyle w:val="Heading2"/>
        <w:keepNext/>
        <w:widowControl/>
      </w:pPr>
      <w:r>
        <w:t>1.1 Architectural outcome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Concern</w:t>
            </w:r>
          </w:p>
        </w:tc>
        <w:tc>
          <w:tcPr>
            <w:tcW w:type="dxa" w:w="7344"/>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448"/>
            <w:tcMar>
              <w:top w:w="90" w:type="dxa"/>
              <w:start w:w="90" w:type="dxa"/>
              <w:bottom w:w="90" w:type="dxa"/>
              <w:end w:w="90" w:type="dxa"/>
            </w:tcMar>
            <w:vAlign w:val="top"/>
          </w:tcPr>
          <w:p>
            <w:r>
              <w:rPr>
                <w:sz w:val="17"/>
              </w:rPr>
              <w:t>Transactional core</w:t>
            </w:r>
          </w:p>
        </w:tc>
        <w:tc>
          <w:tcPr>
            <w:tcW w:type="dxa" w:w="7344"/>
            <w:tcMar>
              <w:top w:w="90" w:type="dxa"/>
              <w:start w:w="90" w:type="dxa"/>
              <w:bottom w:w="90" w:type="dxa"/>
              <w:end w:w="90" w:type="dxa"/>
            </w:tcMar>
            <w:vAlign w:val="top"/>
          </w:tcPr>
          <w:p>
            <w:r>
              <w:rPr>
                <w:sz w:val="17"/>
              </w:rPr>
              <w:t>Spring Boot modular monolith with explicit modules and one PostgreSQL database.</w:t>
            </w:r>
          </w:p>
        </w:tc>
      </w:tr>
      <w:tr>
        <w:trPr>
          <w:cantSplit/>
        </w:trPr>
        <w:tc>
          <w:tcPr>
            <w:tcW w:type="dxa" w:w="2448"/>
            <w:tcMar>
              <w:top w:w="90" w:type="dxa"/>
              <w:start w:w="90" w:type="dxa"/>
              <w:bottom w:w="90" w:type="dxa"/>
              <w:end w:w="90" w:type="dxa"/>
            </w:tcMar>
            <w:vAlign w:val="top"/>
          </w:tcPr>
          <w:p>
            <w:r>
              <w:rPr>
                <w:sz w:val="17"/>
              </w:rPr>
              <w:t>External provider</w:t>
            </w:r>
          </w:p>
        </w:tc>
        <w:tc>
          <w:tcPr>
            <w:tcW w:type="dxa" w:w="7344"/>
            <w:tcMar>
              <w:top w:w="90" w:type="dxa"/>
              <w:start w:w="90" w:type="dxa"/>
              <w:bottom w:w="90" w:type="dxa"/>
              <w:end w:w="90" w:type="dxa"/>
            </w:tcMar>
            <w:vAlign w:val="top"/>
          </w:tcPr>
          <w:p>
            <w:r>
              <w:rPr>
                <w:sz w:val="17"/>
              </w:rPr>
              <w:t>Separate Spring Boot Provider Simulator communicating through HTTP, signed webhooks, and settlement files.</w:t>
            </w:r>
          </w:p>
        </w:tc>
      </w:tr>
      <w:tr>
        <w:trPr>
          <w:cantSplit/>
        </w:trPr>
        <w:tc>
          <w:tcPr>
            <w:tcW w:type="dxa" w:w="2448"/>
            <w:tcMar>
              <w:top w:w="90" w:type="dxa"/>
              <w:start w:w="90" w:type="dxa"/>
              <w:bottom w:w="90" w:type="dxa"/>
              <w:end w:w="90" w:type="dxa"/>
            </w:tcMar>
            <w:vAlign w:val="top"/>
          </w:tcPr>
          <w:p>
            <w:r>
              <w:rPr>
                <w:sz w:val="17"/>
              </w:rPr>
              <w:t>Messaging</w:t>
            </w:r>
          </w:p>
        </w:tc>
        <w:tc>
          <w:tcPr>
            <w:tcW w:type="dxa" w:w="7344"/>
            <w:tcMar>
              <w:top w:w="90" w:type="dxa"/>
              <w:start w:w="90" w:type="dxa"/>
              <w:bottom w:w="90" w:type="dxa"/>
              <w:end w:w="90" w:type="dxa"/>
            </w:tcMar>
            <w:vAlign w:val="top"/>
          </w:tcPr>
          <w:p>
            <w:r>
              <w:rPr>
                <w:sz w:val="17"/>
              </w:rPr>
              <w:t>Kafka with transactional outbox, consumer inbox, at-least-once delivery, and idempotent consumers.</w:t>
            </w:r>
          </w:p>
        </w:tc>
      </w:tr>
      <w:tr>
        <w:trPr>
          <w:cantSplit/>
        </w:trPr>
        <w:tc>
          <w:tcPr>
            <w:tcW w:type="dxa" w:w="2448"/>
            <w:tcMar>
              <w:top w:w="90" w:type="dxa"/>
              <w:start w:w="90" w:type="dxa"/>
              <w:bottom w:w="90" w:type="dxa"/>
              <w:end w:w="90" w:type="dxa"/>
            </w:tcMar>
            <w:vAlign w:val="top"/>
          </w:tcPr>
          <w:p>
            <w:r>
              <w:rPr>
                <w:sz w:val="17"/>
              </w:rPr>
              <w:t>Financial model</w:t>
            </w:r>
          </w:p>
        </w:tc>
        <w:tc>
          <w:tcPr>
            <w:tcW w:type="dxa" w:w="7344"/>
            <w:tcMar>
              <w:top w:w="90" w:type="dxa"/>
              <w:start w:w="90" w:type="dxa"/>
              <w:bottom w:w="90" w:type="dxa"/>
              <w:end w:w="90" w:type="dxa"/>
            </w:tcMar>
            <w:vAlign w:val="top"/>
          </w:tcPr>
          <w:p>
            <w:r>
              <w:rPr>
                <w:sz w:val="17"/>
              </w:rPr>
              <w:t>Strict double-entry ledger with immutable postings and compensating corrections.</w:t>
            </w:r>
          </w:p>
        </w:tc>
      </w:tr>
      <w:tr>
        <w:trPr>
          <w:cantSplit/>
        </w:trPr>
        <w:tc>
          <w:tcPr>
            <w:tcW w:type="dxa" w:w="2448"/>
            <w:tcMar>
              <w:top w:w="90" w:type="dxa"/>
              <w:start w:w="90" w:type="dxa"/>
              <w:bottom w:w="90" w:type="dxa"/>
              <w:end w:w="90" w:type="dxa"/>
            </w:tcMar>
            <w:vAlign w:val="top"/>
          </w:tcPr>
          <w:p>
            <w:r>
              <w:rPr>
                <w:sz w:val="17"/>
              </w:rPr>
              <w:t>Identity</w:t>
            </w:r>
          </w:p>
        </w:tc>
        <w:tc>
          <w:tcPr>
            <w:tcW w:type="dxa" w:w="7344"/>
            <w:tcMar>
              <w:top w:w="90" w:type="dxa"/>
              <w:start w:w="90" w:type="dxa"/>
              <w:bottom w:w="90" w:type="dxa"/>
              <w:end w:w="90" w:type="dxa"/>
            </w:tcMar>
            <w:vAlign w:val="top"/>
          </w:tcPr>
          <w:p>
            <w:r>
              <w:rPr>
                <w:sz w:val="17"/>
              </w:rPr>
              <w:t>Keycloak using OAuth 2.0 and OpenID Connect.</w:t>
            </w:r>
          </w:p>
        </w:tc>
      </w:tr>
      <w:tr>
        <w:trPr>
          <w:cantSplit/>
        </w:trPr>
        <w:tc>
          <w:tcPr>
            <w:tcW w:type="dxa" w:w="2448"/>
            <w:tcMar>
              <w:top w:w="90" w:type="dxa"/>
              <w:start w:w="90" w:type="dxa"/>
              <w:bottom w:w="90" w:type="dxa"/>
              <w:end w:w="90" w:type="dxa"/>
            </w:tcMar>
            <w:vAlign w:val="top"/>
          </w:tcPr>
          <w:p>
            <w:r>
              <w:rPr>
                <w:sz w:val="17"/>
              </w:rPr>
              <w:t>Tenancy</w:t>
            </w:r>
          </w:p>
        </w:tc>
        <w:tc>
          <w:tcPr>
            <w:tcW w:type="dxa" w:w="7344"/>
            <w:tcMar>
              <w:top w:w="90" w:type="dxa"/>
              <w:start w:w="90" w:type="dxa"/>
              <w:bottom w:w="90" w:type="dxa"/>
              <w:end w:w="90" w:type="dxa"/>
            </w:tcMar>
            <w:vAlign w:val="top"/>
          </w:tcPr>
          <w:p>
            <w:r>
              <w:rPr>
                <w:sz w:val="17"/>
              </w:rPr>
              <w:t>Shared database with mandatory tenant ownership, scoped repositories, and optional PostgreSQL RLS defence in depth.</w:t>
            </w:r>
          </w:p>
        </w:tc>
      </w:tr>
      <w:tr>
        <w:trPr>
          <w:cantSplit/>
        </w:trPr>
        <w:tc>
          <w:tcPr>
            <w:tcW w:type="dxa" w:w="2448"/>
            <w:tcMar>
              <w:top w:w="90" w:type="dxa"/>
              <w:start w:w="90" w:type="dxa"/>
              <w:bottom w:w="90" w:type="dxa"/>
              <w:end w:w="90" w:type="dxa"/>
            </w:tcMar>
            <w:vAlign w:val="top"/>
          </w:tcPr>
          <w:p>
            <w:r>
              <w:rPr>
                <w:sz w:val="17"/>
              </w:rPr>
              <w:t>Cloud</w:t>
            </w:r>
          </w:p>
        </w:tc>
        <w:tc>
          <w:tcPr>
            <w:tcW w:type="dxa" w:w="7344"/>
            <w:tcMar>
              <w:top w:w="90" w:type="dxa"/>
              <w:start w:w="90" w:type="dxa"/>
              <w:bottom w:w="90" w:type="dxa"/>
              <w:end w:w="90" w:type="dxa"/>
            </w:tcMar>
            <w:vAlign w:val="top"/>
          </w:tcPr>
          <w:p>
            <w:r>
              <w:rPr>
                <w:sz w:val="17"/>
              </w:rPr>
              <w:t>AWS; cost-conscious ECS public demo plus reproducible Kubernetes/Helm/Argo CD environment.</w:t>
            </w:r>
          </w:p>
        </w:tc>
      </w:tr>
      <w:tr>
        <w:trPr>
          <w:cantSplit/>
        </w:trPr>
        <w:tc>
          <w:tcPr>
            <w:tcW w:type="dxa" w:w="2448"/>
            <w:tcMar>
              <w:top w:w="90" w:type="dxa"/>
              <w:start w:w="90" w:type="dxa"/>
              <w:bottom w:w="90" w:type="dxa"/>
              <w:end w:w="90" w:type="dxa"/>
            </w:tcMar>
            <w:vAlign w:val="top"/>
          </w:tcPr>
          <w:p>
            <w:r>
              <w:rPr>
                <w:sz w:val="17"/>
              </w:rPr>
              <w:t>Observability</w:t>
            </w:r>
          </w:p>
        </w:tc>
        <w:tc>
          <w:tcPr>
            <w:tcW w:type="dxa" w:w="7344"/>
            <w:tcMar>
              <w:top w:w="90" w:type="dxa"/>
              <w:start w:w="90" w:type="dxa"/>
              <w:bottom w:w="90" w:type="dxa"/>
              <w:end w:w="90" w:type="dxa"/>
            </w:tcMar>
            <w:vAlign w:val="top"/>
          </w:tcPr>
          <w:p>
            <w:r>
              <w:rPr>
                <w:sz w:val="17"/>
              </w:rPr>
              <w:t>OpenTelemetry, Prometheus, Grafana, Loki, and Tempo.</w:t>
            </w:r>
          </w:p>
        </w:tc>
      </w:tr>
      <w:tr>
        <w:trPr>
          <w:cantSplit/>
        </w:trPr>
        <w:tc>
          <w:tcPr>
            <w:tcW w:type="dxa" w:w="2448"/>
            <w:tcMar>
              <w:top w:w="90" w:type="dxa"/>
              <w:start w:w="90" w:type="dxa"/>
              <w:bottom w:w="90" w:type="dxa"/>
              <w:end w:w="90" w:type="dxa"/>
            </w:tcMar>
            <w:vAlign w:val="top"/>
          </w:tcPr>
          <w:p>
            <w:r>
              <w:rPr>
                <w:sz w:val="17"/>
              </w:rPr>
              <w:t>Testing</w:t>
            </w:r>
          </w:p>
        </w:tc>
        <w:tc>
          <w:tcPr>
            <w:tcW w:type="dxa" w:w="7344"/>
            <w:tcMar>
              <w:top w:w="90" w:type="dxa"/>
              <w:start w:w="90" w:type="dxa"/>
              <w:bottom w:w="90" w:type="dxa"/>
              <w:end w:w="90" w:type="dxa"/>
            </w:tcMar>
            <w:vAlign w:val="top"/>
          </w:tcPr>
          <w:p>
            <w:r>
              <w:rPr>
                <w:sz w:val="17"/>
              </w:rPr>
              <w:t>JUnit, Testcontainers, jqwik, ArchUnit, WireMock, Playwright, and k6.</w:t>
            </w:r>
          </w:p>
        </w:tc>
      </w:tr>
      <w:tr>
        <w:trPr>
          <w:cantSplit/>
        </w:trPr>
        <w:tc>
          <w:tcPr>
            <w:tcW w:type="dxa" w:w="2448"/>
            <w:tcMar>
              <w:top w:w="90" w:type="dxa"/>
              <w:start w:w="90" w:type="dxa"/>
              <w:bottom w:w="90" w:type="dxa"/>
              <w:end w:w="90" w:type="dxa"/>
            </w:tcMar>
            <w:vAlign w:val="top"/>
          </w:tcPr>
          <w:p>
            <w:r>
              <w:rPr>
                <w:sz w:val="17"/>
              </w:rPr>
              <w:t>AI</w:t>
            </w:r>
          </w:p>
        </w:tc>
        <w:tc>
          <w:tcPr>
            <w:tcW w:type="dxa" w:w="7344"/>
            <w:tcMar>
              <w:top w:w="90" w:type="dxa"/>
              <w:start w:w="90" w:type="dxa"/>
              <w:bottom w:w="90" w:type="dxa"/>
              <w:end w:w="90" w:type="dxa"/>
            </w:tcMar>
            <w:vAlign w:val="top"/>
          </w:tcPr>
          <w:p>
            <w:r>
              <w:rPr>
                <w:sz w:val="17"/>
              </w:rPr>
              <w:t>Post-1.0 advisory extension; excluded from critical financial decisions and actions.</w:t>
            </w:r>
          </w:p>
        </w:tc>
      </w:tr>
    </w:tbl>
    <w:p>
      <w:pPr>
        <w:widowControl/>
      </w:pPr>
    </w:p>
    <w:p>
      <w:pPr>
        <w:pStyle w:val="Heading2"/>
        <w:keepNext/>
        <w:widowControl/>
      </w:pPr>
      <w:r>
        <w:t>1.2 Non-negotiable correctness rules</w:t>
      </w:r>
    </w:p>
    <w:p>
      <w:pPr>
        <w:pStyle w:val="ListNumber"/>
        <w:widowControl/>
        <w:spacing w:after="40"/>
      </w:pPr>
      <w:r>
        <w:t>A payment may be marked COMPLETED only when provider SUCCESS is confirmed and exactly one corresponding balanced ledger transaction is posted in the same database transaction.</w:t>
      </w:r>
    </w:p>
    <w:p>
      <w:pPr>
        <w:pStyle w:val="ListNumber"/>
        <w:widowControl/>
        <w:spacing w:after="40"/>
      </w:pPr>
      <w:r>
        <w:t>Every posted ledger transaction must balance by currency: total debits equal total credits.</w:t>
      </w:r>
    </w:p>
    <w:p>
      <w:pPr>
        <w:pStyle w:val="ListNumber"/>
        <w:widowControl/>
        <w:spacing w:after="40"/>
      </w:pPr>
      <w:r>
        <w:t>Posted ledger entries are immutable; corrections use explicit compensating transactions.</w:t>
      </w:r>
    </w:p>
    <w:p>
      <w:pPr>
        <w:pStyle w:val="ListNumber"/>
        <w:widowControl/>
        <w:spacing w:after="40"/>
      </w:pPr>
      <w:r>
        <w:t>Duplicate client requests, Kafka deliveries, and provider webhooks must not create duplicate financial effects.</w:t>
      </w:r>
    </w:p>
    <w:p>
      <w:pPr>
        <w:pStyle w:val="ListNumber"/>
        <w:widowControl/>
        <w:spacing w:after="40"/>
      </w:pPr>
      <w:r>
        <w:t>Provider timeouts are ambiguous outcomes, not definitive failures.</w:t>
      </w:r>
    </w:p>
    <w:p>
      <w:pPr>
        <w:pStyle w:val="ListNumber"/>
        <w:widowControl/>
        <w:spacing w:after="40"/>
      </w:pPr>
      <w:r>
        <w:t>Tenant context is mandatory for all tenant-owned data and operations.</w:t>
      </w:r>
    </w:p>
    <w:p>
      <w:pPr>
        <w:pStyle w:val="ListNumber"/>
        <w:widowControl/>
        <w:spacing w:after="40"/>
      </w:pPr>
      <w:r>
        <w:t>Kafka and Redis are never the authoritative source of financial state.</w:t>
      </w:r>
    </w:p>
    <w:p>
      <w:pPr>
        <w:pStyle w:val="ListNumber"/>
        <w:widowControl/>
        <w:spacing w:after="40"/>
      </w:pPr>
      <w:r>
        <w:t>Reconciliation detects and requests corrections; it never mutates payment or ledger persistence directly.</w:t>
      </w:r>
    </w:p>
    <w:p>
      <w:pPr>
        <w:pStyle w:val="ListNumber"/>
        <w:widowControl/>
        <w:spacing w:after="40"/>
      </w:pPr>
      <w:r>
        <w:t>External network calls do not occur while holding long database transactions open.</w:t>
      </w:r>
    </w:p>
    <w:p>
      <w:pPr>
        <w:pStyle w:val="ListNumber"/>
        <w:widowControl/>
        <w:spacing w:after="40"/>
      </w:pPr>
      <w:r>
        <w:t>Every high-risk administrative action is explicitly authorized and audited.</w:t>
      </w:r>
    </w:p>
    <w:p>
      <w:pPr>
        <w:pStyle w:val="Heading1"/>
        <w:keepNext/>
        <w:widowControl/>
      </w:pPr>
      <w:r>
        <w:t>2. Goals, constraints, and architectural principles</w:t>
      </w:r>
    </w:p>
    <w:p>
      <w:pPr>
        <w:pStyle w:val="Heading2"/>
        <w:keepNext/>
        <w:widowControl/>
      </w:pPr>
      <w:r>
        <w:t>2.1 Goals</w:t>
      </w:r>
    </w:p>
    <w:p>
      <w:pPr>
        <w:pStyle w:val="ListBullet"/>
        <w:widowControl/>
        <w:spacing w:after="40"/>
      </w:pPr>
      <w:r>
        <w:t>Demonstrate senior-level backend engineering through a credible transactional domain.</w:t>
      </w:r>
    </w:p>
    <w:p>
      <w:pPr>
        <w:pStyle w:val="ListBullet"/>
        <w:widowControl/>
        <w:spacing w:after="40"/>
      </w:pPr>
      <w:r>
        <w:t>Provide practical learning of Java and Spring Boot through implementation rather than tutorial replication.</w:t>
      </w:r>
    </w:p>
    <w:p>
      <w:pPr>
        <w:pStyle w:val="ListBullet"/>
        <w:widowControl/>
        <w:spacing w:after="40"/>
      </w:pPr>
      <w:r>
        <w:t>Demonstrate distributed messaging, concurrency, failure recovery, security, infrastructure, testing, and operational maturity.</w:t>
      </w:r>
    </w:p>
    <w:p>
      <w:pPr>
        <w:pStyle w:val="ListBullet"/>
        <w:widowControl/>
        <w:spacing w:after="40"/>
      </w:pPr>
      <w:r>
        <w:t>Produce a repository and deployed system that can be evaluated by recruiters and engineers.</w:t>
      </w:r>
    </w:p>
    <w:p>
      <w:pPr>
        <w:pStyle w:val="ListBullet"/>
        <w:widowControl/>
        <w:spacing w:after="40"/>
      </w:pPr>
      <w:r>
        <w:t>Remain achievable by one engineer through strict phased scope control.</w:t>
      </w:r>
    </w:p>
    <w:p>
      <w:pPr>
        <w:pStyle w:val="Heading2"/>
        <w:keepNext/>
        <w:widowControl/>
      </w:pPr>
      <w:r>
        <w:t>2.2 Constraints</w:t>
      </w:r>
    </w:p>
    <w:p>
      <w:pPr>
        <w:pStyle w:val="ListBullet"/>
        <w:widowControl/>
        <w:spacing w:after="40"/>
      </w:pPr>
      <w:r>
        <w:t>Portfolio demonstration has priority when commercial completeness conflicts with manageable scope.</w:t>
      </w:r>
    </w:p>
    <w:p>
      <w:pPr>
        <w:pStyle w:val="ListBullet"/>
        <w:widowControl/>
        <w:spacing w:after="40"/>
      </w:pPr>
      <w:r>
        <w:t>The product must not process real money or store real card credentials.</w:t>
      </w:r>
    </w:p>
    <w:p>
      <w:pPr>
        <w:pStyle w:val="ListBullet"/>
        <w:widowControl/>
        <w:spacing w:after="40"/>
      </w:pPr>
      <w:r>
        <w:t>Permanent infrastructure cost must remain reasonable.</w:t>
      </w:r>
    </w:p>
    <w:p>
      <w:pPr>
        <w:pStyle w:val="ListBullet"/>
        <w:widowControl/>
        <w:spacing w:after="40"/>
      </w:pPr>
      <w:r>
        <w:t>One engineer must be able to build, test, document, and operate the system.</w:t>
      </w:r>
    </w:p>
    <w:p>
      <w:pPr>
        <w:pStyle w:val="ListBullet"/>
        <w:widowControl/>
        <w:spacing w:after="40"/>
      </w:pPr>
      <w:r>
        <w:t>Advanced capabilities must solve explicit failure or business problems; technology theatre is rejected.</w:t>
      </w:r>
    </w:p>
    <w:p>
      <w:pPr>
        <w:pStyle w:val="Heading2"/>
        <w:keepNext/>
        <w:widowControl/>
      </w:pPr>
      <w:r>
        <w:t>2.3 Architectural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Principle</w:t>
            </w:r>
          </w:p>
        </w:tc>
        <w:tc>
          <w:tcPr>
            <w:tcW w:type="dxa" w:w="7488"/>
            <w:shd w:fill="1F4E78"/>
            <w:vAlign w:val="center"/>
            <w:tcMar>
              <w:top w:w="90" w:type="dxa"/>
              <w:start w:w="90" w:type="dxa"/>
              <w:bottom w:w="90" w:type="dxa"/>
              <w:end w:w="90" w:type="dxa"/>
            </w:tcMar>
          </w:tcPr>
          <w:p>
            <w:pPr>
              <w:jc w:val="left"/>
            </w:pPr>
            <w:r>
              <w:rPr>
                <w:b/>
                <w:color w:val="FFFFFF"/>
                <w:sz w:val="17"/>
              </w:rPr>
              <w:t>Application</w:t>
            </w:r>
          </w:p>
        </w:tc>
      </w:tr>
      <w:tr>
        <w:trPr>
          <w:cantSplit/>
        </w:trPr>
        <w:tc>
          <w:tcPr>
            <w:tcW w:type="dxa" w:w="2304"/>
            <w:tcMar>
              <w:top w:w="90" w:type="dxa"/>
              <w:start w:w="90" w:type="dxa"/>
              <w:bottom w:w="90" w:type="dxa"/>
              <w:end w:w="90" w:type="dxa"/>
            </w:tcMar>
            <w:vAlign w:val="top"/>
          </w:tcPr>
          <w:p>
            <w:r>
              <w:rPr>
                <w:sz w:val="17"/>
              </w:rPr>
              <w:t>Correctness before throughput</w:t>
            </w:r>
          </w:p>
        </w:tc>
        <w:tc>
          <w:tcPr>
            <w:tcW w:type="dxa" w:w="7488"/>
            <w:tcMar>
              <w:top w:w="90" w:type="dxa"/>
              <w:start w:w="90" w:type="dxa"/>
              <w:bottom w:w="90" w:type="dxa"/>
              <w:end w:w="90" w:type="dxa"/>
            </w:tcMar>
            <w:vAlign w:val="top"/>
          </w:tcPr>
          <w:p>
            <w:r>
              <w:rPr>
                <w:sz w:val="17"/>
              </w:rPr>
              <w:t>Financial invariants and isolation are release-blocking; performance results are invalid if they violate correctness.</w:t>
            </w:r>
          </w:p>
        </w:tc>
      </w:tr>
      <w:tr>
        <w:trPr>
          <w:cantSplit/>
        </w:trPr>
        <w:tc>
          <w:tcPr>
            <w:tcW w:type="dxa" w:w="2304"/>
            <w:tcMar>
              <w:top w:w="90" w:type="dxa"/>
              <w:start w:w="90" w:type="dxa"/>
              <w:bottom w:w="90" w:type="dxa"/>
              <w:end w:w="90" w:type="dxa"/>
            </w:tcMar>
            <w:vAlign w:val="top"/>
          </w:tcPr>
          <w:p>
            <w:r>
              <w:rPr>
                <w:sz w:val="17"/>
              </w:rPr>
              <w:t>Modularity before distribution</w:t>
            </w:r>
          </w:p>
        </w:tc>
        <w:tc>
          <w:tcPr>
            <w:tcW w:type="dxa" w:w="7488"/>
            <w:tcMar>
              <w:top w:w="90" w:type="dxa"/>
              <w:start w:w="90" w:type="dxa"/>
              <w:bottom w:w="90" w:type="dxa"/>
              <w:end w:w="90" w:type="dxa"/>
            </w:tcMar>
            <w:vAlign w:val="top"/>
          </w:tcPr>
          <w:p>
            <w:r>
              <w:rPr>
                <w:sz w:val="17"/>
              </w:rPr>
              <w:t>Use explicit internal boundaries first; extract services only after ownership and contracts stabilize.</w:t>
            </w:r>
          </w:p>
        </w:tc>
      </w:tr>
      <w:tr>
        <w:trPr>
          <w:cantSplit/>
        </w:trPr>
        <w:tc>
          <w:tcPr>
            <w:tcW w:type="dxa" w:w="2304"/>
            <w:tcMar>
              <w:top w:w="90" w:type="dxa"/>
              <w:start w:w="90" w:type="dxa"/>
              <w:bottom w:w="90" w:type="dxa"/>
              <w:end w:w="90" w:type="dxa"/>
            </w:tcMar>
            <w:vAlign w:val="top"/>
          </w:tcPr>
          <w:p>
            <w:r>
              <w:rPr>
                <w:sz w:val="17"/>
              </w:rPr>
              <w:t>Strong consistency selectively</w:t>
            </w:r>
          </w:p>
        </w:tc>
        <w:tc>
          <w:tcPr>
            <w:tcW w:type="dxa" w:w="7488"/>
            <w:tcMar>
              <w:top w:w="90" w:type="dxa"/>
              <w:start w:w="90" w:type="dxa"/>
              <w:bottom w:w="90" w:type="dxa"/>
              <w:end w:w="90" w:type="dxa"/>
            </w:tcMar>
            <w:vAlign w:val="top"/>
          </w:tcPr>
          <w:p>
            <w:r>
              <w:rPr>
                <w:sz w:val="17"/>
              </w:rPr>
              <w:t>Use one transaction where business invariants require it; use eventual consistency for projections and non-critical effects.</w:t>
            </w:r>
          </w:p>
        </w:tc>
      </w:tr>
      <w:tr>
        <w:trPr>
          <w:cantSplit/>
        </w:trPr>
        <w:tc>
          <w:tcPr>
            <w:tcW w:type="dxa" w:w="2304"/>
            <w:tcMar>
              <w:top w:w="90" w:type="dxa"/>
              <w:start w:w="90" w:type="dxa"/>
              <w:bottom w:w="90" w:type="dxa"/>
              <w:end w:w="90" w:type="dxa"/>
            </w:tcMar>
            <w:vAlign w:val="top"/>
          </w:tcPr>
          <w:p>
            <w:r>
              <w:rPr>
                <w:sz w:val="17"/>
              </w:rPr>
              <w:t>Failure is normal</w:t>
            </w:r>
          </w:p>
        </w:tc>
        <w:tc>
          <w:tcPr>
            <w:tcW w:type="dxa" w:w="7488"/>
            <w:tcMar>
              <w:top w:w="90" w:type="dxa"/>
              <w:start w:w="90" w:type="dxa"/>
              <w:bottom w:w="90" w:type="dxa"/>
              <w:end w:w="90" w:type="dxa"/>
            </w:tcMar>
            <w:vAlign w:val="top"/>
          </w:tcPr>
          <w:p>
            <w:r>
              <w:rPr>
                <w:sz w:val="17"/>
              </w:rPr>
              <w:t>Timeouts, duplicates, delayed events, crashes, and partial outages are designed and tested explicitly.</w:t>
            </w:r>
          </w:p>
        </w:tc>
      </w:tr>
      <w:tr>
        <w:trPr>
          <w:cantSplit/>
        </w:trPr>
        <w:tc>
          <w:tcPr>
            <w:tcW w:type="dxa" w:w="2304"/>
            <w:tcMar>
              <w:top w:w="90" w:type="dxa"/>
              <w:start w:w="90" w:type="dxa"/>
              <w:bottom w:w="90" w:type="dxa"/>
              <w:end w:w="90" w:type="dxa"/>
            </w:tcMar>
            <w:vAlign w:val="top"/>
          </w:tcPr>
          <w:p>
            <w:r>
              <w:rPr>
                <w:sz w:val="17"/>
              </w:rPr>
              <w:t>Source-of-truth clarity</w:t>
            </w:r>
          </w:p>
        </w:tc>
        <w:tc>
          <w:tcPr>
            <w:tcW w:type="dxa" w:w="7488"/>
            <w:tcMar>
              <w:top w:w="90" w:type="dxa"/>
              <w:start w:w="90" w:type="dxa"/>
              <w:bottom w:w="90" w:type="dxa"/>
              <w:end w:w="90" w:type="dxa"/>
            </w:tcMar>
            <w:vAlign w:val="top"/>
          </w:tcPr>
          <w:p>
            <w:r>
              <w:rPr>
                <w:sz w:val="17"/>
              </w:rPr>
              <w:t>PostgreSQL owns transactional business state; derived stores and streams remain rebuildable.</w:t>
            </w:r>
          </w:p>
        </w:tc>
      </w:tr>
      <w:tr>
        <w:trPr>
          <w:cantSplit/>
        </w:trPr>
        <w:tc>
          <w:tcPr>
            <w:tcW w:type="dxa" w:w="2304"/>
            <w:tcMar>
              <w:top w:w="90" w:type="dxa"/>
              <w:start w:w="90" w:type="dxa"/>
              <w:bottom w:w="90" w:type="dxa"/>
              <w:end w:w="90" w:type="dxa"/>
            </w:tcMar>
            <w:vAlign w:val="top"/>
          </w:tcPr>
          <w:p>
            <w:r>
              <w:rPr>
                <w:sz w:val="17"/>
              </w:rPr>
              <w:t>Least privilege</w:t>
            </w:r>
          </w:p>
        </w:tc>
        <w:tc>
          <w:tcPr>
            <w:tcW w:type="dxa" w:w="7488"/>
            <w:tcMar>
              <w:top w:w="90" w:type="dxa"/>
              <w:start w:w="90" w:type="dxa"/>
              <w:bottom w:w="90" w:type="dxa"/>
              <w:end w:w="90" w:type="dxa"/>
            </w:tcMar>
            <w:vAlign w:val="top"/>
          </w:tcPr>
          <w:p>
            <w:r>
              <w:rPr>
                <w:sz w:val="17"/>
              </w:rPr>
              <w:t>Users, services, infrastructure, and Kafka clients receive narrowly scoped access.</w:t>
            </w:r>
          </w:p>
        </w:tc>
      </w:tr>
      <w:tr>
        <w:trPr>
          <w:cantSplit/>
        </w:trPr>
        <w:tc>
          <w:tcPr>
            <w:tcW w:type="dxa" w:w="2304"/>
            <w:tcMar>
              <w:top w:w="90" w:type="dxa"/>
              <w:start w:w="90" w:type="dxa"/>
              <w:bottom w:w="90" w:type="dxa"/>
              <w:end w:w="90" w:type="dxa"/>
            </w:tcMar>
            <w:vAlign w:val="top"/>
          </w:tcPr>
          <w:p>
            <w:r>
              <w:rPr>
                <w:sz w:val="17"/>
              </w:rPr>
              <w:t>Evidence over claims</w:t>
            </w:r>
          </w:p>
        </w:tc>
        <w:tc>
          <w:tcPr>
            <w:tcW w:type="dxa" w:w="7488"/>
            <w:tcMar>
              <w:top w:w="90" w:type="dxa"/>
              <w:start w:w="90" w:type="dxa"/>
              <w:bottom w:w="90" w:type="dxa"/>
              <w:end w:w="90" w:type="dxa"/>
            </w:tcMar>
            <w:vAlign w:val="top"/>
          </w:tcPr>
          <w:p>
            <w:r>
              <w:rPr>
                <w:sz w:val="17"/>
              </w:rPr>
              <w:t>Every listed skill must be supported by code, tests, metrics, documentation, and a demonstrable scenario.</w:t>
            </w:r>
          </w:p>
        </w:tc>
      </w:tr>
    </w:tbl>
    <w:p>
      <w:pPr>
        <w:widowControl/>
      </w:pPr>
    </w:p>
    <w:p>
      <w:pPr>
        <w:pStyle w:val="Heading1"/>
        <w:keepNext/>
        <w:widowControl/>
      </w:pPr>
      <w:r>
        <w:t>3. System context and boundaries</w:t>
      </w:r>
    </w:p>
    <w:p>
      <w:pPr>
        <w:pStyle w:val="Heading2"/>
        <w:keepNext/>
        <w:widowControl/>
      </w:pPr>
      <w:r>
        <w:t>3.1 Logical systems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System</w:t>
            </w:r>
          </w:p>
        </w:tc>
        <w:tc>
          <w:tcPr>
            <w:tcW w:type="dxa" w:w="5616"/>
            <w:shd w:fill="1F4E78"/>
            <w:vAlign w:val="center"/>
            <w:tcMar>
              <w:top w:w="90" w:type="dxa"/>
              <w:start w:w="90" w:type="dxa"/>
              <w:bottom w:w="90" w:type="dxa"/>
              <w:end w:w="90" w:type="dxa"/>
            </w:tcMar>
          </w:tcPr>
          <w:p>
            <w:pPr>
              <w:jc w:val="left"/>
            </w:pPr>
            <w:r>
              <w:rPr>
                <w:b/>
                <w:color w:val="FFFFFF"/>
                <w:sz w:val="17"/>
              </w:rPr>
              <w:t>Responsibility</w:t>
            </w:r>
          </w:p>
        </w:tc>
        <w:tc>
          <w:tcPr>
            <w:tcW w:type="dxa" w:w="2376"/>
            <w:shd w:fill="1F4E78"/>
            <w:vAlign w:val="center"/>
            <w:tcMar>
              <w:top w:w="90" w:type="dxa"/>
              <w:start w:w="90" w:type="dxa"/>
              <w:bottom w:w="90" w:type="dxa"/>
              <w:end w:w="90" w:type="dxa"/>
            </w:tcMar>
          </w:tcPr>
          <w:p>
            <w:pPr>
              <w:jc w:val="left"/>
            </w:pPr>
            <w:r>
              <w:rPr>
                <w:b/>
                <w:color w:val="FFFFFF"/>
                <w:sz w:val="17"/>
              </w:rPr>
              <w:t>Deployment</w:t>
            </w:r>
          </w:p>
        </w:tc>
      </w:tr>
      <w:tr>
        <w:trPr>
          <w:cantSplit/>
        </w:trPr>
        <w:tc>
          <w:tcPr>
            <w:tcW w:type="dxa" w:w="1800"/>
            <w:tcMar>
              <w:top w:w="90" w:type="dxa"/>
              <w:start w:w="90" w:type="dxa"/>
              <w:bottom w:w="90" w:type="dxa"/>
              <w:end w:w="90" w:type="dxa"/>
            </w:tcMar>
            <w:vAlign w:val="top"/>
          </w:tcPr>
          <w:p>
            <w:r>
              <w:rPr>
                <w:sz w:val="17"/>
              </w:rPr>
              <w:t>LedgerOps Core Platform</w:t>
            </w:r>
          </w:p>
        </w:tc>
        <w:tc>
          <w:tcPr>
            <w:tcW w:type="dxa" w:w="5616"/>
            <w:tcMar>
              <w:top w:w="90" w:type="dxa"/>
              <w:start w:w="90" w:type="dxa"/>
              <w:bottom w:w="90" w:type="dxa"/>
              <w:end w:w="90" w:type="dxa"/>
            </w:tcMar>
            <w:vAlign w:val="top"/>
          </w:tcPr>
          <w:p>
            <w:r>
              <w:rPr>
                <w:sz w:val="17"/>
              </w:rPr>
              <w:t>Owns tenants, merchants, payments, ledger, risk, provider integration state, casework, audit, reporting, and initial reconciliation.</w:t>
            </w:r>
          </w:p>
        </w:tc>
        <w:tc>
          <w:tcPr>
            <w:tcW w:type="dxa" w:w="2376"/>
            <w:tcMar>
              <w:top w:w="90" w:type="dxa"/>
              <w:start w:w="90" w:type="dxa"/>
              <w:bottom w:w="90" w:type="dxa"/>
              <w:end w:w="90" w:type="dxa"/>
            </w:tcMar>
            <w:vAlign w:val="top"/>
          </w:tcPr>
          <w:p>
            <w:r>
              <w:rPr>
                <w:sz w:val="17"/>
              </w:rPr>
              <w:t>Spring Boot modular monolith</w:t>
            </w:r>
          </w:p>
        </w:tc>
      </w:tr>
      <w:tr>
        <w:trPr>
          <w:cantSplit/>
        </w:trPr>
        <w:tc>
          <w:tcPr>
            <w:tcW w:type="dxa" w:w="1800"/>
            <w:tcMar>
              <w:top w:w="90" w:type="dxa"/>
              <w:start w:w="90" w:type="dxa"/>
              <w:bottom w:w="90" w:type="dxa"/>
              <w:end w:w="90" w:type="dxa"/>
            </w:tcMar>
            <w:vAlign w:val="top"/>
          </w:tcPr>
          <w:p>
            <w:r>
              <w:rPr>
                <w:sz w:val="17"/>
              </w:rPr>
              <w:t>Provider Simulator</w:t>
            </w:r>
          </w:p>
        </w:tc>
        <w:tc>
          <w:tcPr>
            <w:tcW w:type="dxa" w:w="5616"/>
            <w:tcMar>
              <w:top w:w="90" w:type="dxa"/>
              <w:start w:w="90" w:type="dxa"/>
              <w:bottom w:w="90" w:type="dxa"/>
              <w:end w:w="90" w:type="dxa"/>
            </w:tcMar>
            <w:vAlign w:val="top"/>
          </w:tcPr>
          <w:p>
            <w:r>
              <w:rPr>
                <w:sz w:val="17"/>
              </w:rPr>
              <w:t>Represents an unreliable external payment provider; owns provider-side transactions, webhooks, failure scenarios, and settlement-file generation.</w:t>
            </w:r>
          </w:p>
        </w:tc>
        <w:tc>
          <w:tcPr>
            <w:tcW w:type="dxa" w:w="2376"/>
            <w:tcMar>
              <w:top w:w="90" w:type="dxa"/>
              <w:start w:w="90" w:type="dxa"/>
              <w:bottom w:w="90" w:type="dxa"/>
              <w:end w:w="90" w:type="dxa"/>
            </w:tcMar>
            <w:vAlign w:val="top"/>
          </w:tcPr>
          <w:p>
            <w:r>
              <w:rPr>
                <w:sz w:val="17"/>
              </w:rPr>
              <w:t>Separate Spring Boot application</w:t>
            </w:r>
          </w:p>
        </w:tc>
      </w:tr>
      <w:tr>
        <w:trPr>
          <w:cantSplit/>
        </w:trPr>
        <w:tc>
          <w:tcPr>
            <w:tcW w:type="dxa" w:w="1800"/>
            <w:tcMar>
              <w:top w:w="90" w:type="dxa"/>
              <w:start w:w="90" w:type="dxa"/>
              <w:bottom w:w="90" w:type="dxa"/>
              <w:end w:w="90" w:type="dxa"/>
            </w:tcMar>
            <w:vAlign w:val="top"/>
          </w:tcPr>
          <w:p>
            <w:r>
              <w:rPr>
                <w:sz w:val="17"/>
              </w:rPr>
              <w:t>Reconciliation Service</w:t>
            </w:r>
          </w:p>
        </w:tc>
        <w:tc>
          <w:tcPr>
            <w:tcW w:type="dxa" w:w="5616"/>
            <w:tcMar>
              <w:top w:w="90" w:type="dxa"/>
              <w:start w:w="90" w:type="dxa"/>
              <w:bottom w:w="90" w:type="dxa"/>
              <w:end w:w="90" w:type="dxa"/>
            </w:tcMar>
            <w:vAlign w:val="top"/>
          </w:tcPr>
          <w:p>
            <w:r>
              <w:rPr>
                <w:sz w:val="17"/>
              </w:rPr>
              <w:t>Processes settlement data and detects discrepancies after extraction.</w:t>
            </w:r>
          </w:p>
        </w:tc>
        <w:tc>
          <w:tcPr>
            <w:tcW w:type="dxa" w:w="2376"/>
            <w:tcMar>
              <w:top w:w="90" w:type="dxa"/>
              <w:start w:w="90" w:type="dxa"/>
              <w:bottom w:w="90" w:type="dxa"/>
              <w:end w:w="90" w:type="dxa"/>
            </w:tcMar>
            <w:vAlign w:val="top"/>
          </w:tcPr>
          <w:p>
            <w:r>
              <w:rPr>
                <w:sz w:val="17"/>
              </w:rPr>
              <w:t>Internal module initially; separate Spring Boot service later</w:t>
            </w:r>
          </w:p>
        </w:tc>
      </w:tr>
      <w:tr>
        <w:trPr>
          <w:cantSplit/>
        </w:trPr>
        <w:tc>
          <w:tcPr>
            <w:tcW w:type="dxa" w:w="1800"/>
            <w:tcMar>
              <w:top w:w="90" w:type="dxa"/>
              <w:start w:w="90" w:type="dxa"/>
              <w:bottom w:w="90" w:type="dxa"/>
              <w:end w:w="90" w:type="dxa"/>
            </w:tcMar>
            <w:vAlign w:val="top"/>
          </w:tcPr>
          <w:p>
            <w:r>
              <w:rPr>
                <w:sz w:val="17"/>
              </w:rPr>
              <w:t>Operations Web</w:t>
            </w:r>
          </w:p>
        </w:tc>
        <w:tc>
          <w:tcPr>
            <w:tcW w:type="dxa" w:w="5616"/>
            <w:tcMar>
              <w:top w:w="90" w:type="dxa"/>
              <w:start w:w="90" w:type="dxa"/>
              <w:bottom w:w="90" w:type="dxa"/>
              <w:end w:w="90" w:type="dxa"/>
            </w:tcMar>
            <w:vAlign w:val="top"/>
          </w:tcPr>
          <w:p>
            <w:r>
              <w:rPr>
                <w:sz w:val="17"/>
              </w:rPr>
              <w:t>Operational UI for platform and tenant users.</w:t>
            </w:r>
          </w:p>
        </w:tc>
        <w:tc>
          <w:tcPr>
            <w:tcW w:type="dxa" w:w="2376"/>
            <w:tcMar>
              <w:top w:w="90" w:type="dxa"/>
              <w:start w:w="90" w:type="dxa"/>
              <w:bottom w:w="90" w:type="dxa"/>
              <w:end w:w="90" w:type="dxa"/>
            </w:tcMar>
            <w:vAlign w:val="top"/>
          </w:tcPr>
          <w:p>
            <w:r>
              <w:rPr>
                <w:sz w:val="17"/>
              </w:rPr>
              <w:t>Next.js application</w:t>
            </w:r>
          </w:p>
        </w:tc>
      </w:tr>
      <w:tr>
        <w:trPr>
          <w:cantSplit/>
        </w:trPr>
        <w:tc>
          <w:tcPr>
            <w:tcW w:type="dxa" w:w="1800"/>
            <w:tcMar>
              <w:top w:w="90" w:type="dxa"/>
              <w:start w:w="90" w:type="dxa"/>
              <w:bottom w:w="90" w:type="dxa"/>
              <w:end w:w="90" w:type="dxa"/>
            </w:tcMar>
            <w:vAlign w:val="top"/>
          </w:tcPr>
          <w:p>
            <w:r>
              <w:rPr>
                <w:sz w:val="17"/>
              </w:rPr>
              <w:t>Identity Provider</w:t>
            </w:r>
          </w:p>
        </w:tc>
        <w:tc>
          <w:tcPr>
            <w:tcW w:type="dxa" w:w="5616"/>
            <w:tcMar>
              <w:top w:w="90" w:type="dxa"/>
              <w:start w:w="90" w:type="dxa"/>
              <w:bottom w:w="90" w:type="dxa"/>
              <w:end w:w="90" w:type="dxa"/>
            </w:tcMar>
            <w:vAlign w:val="top"/>
          </w:tcPr>
          <w:p>
            <w:r>
              <w:rPr>
                <w:sz w:val="17"/>
              </w:rPr>
              <w:t>Authenticates users and services and issues tokens.</w:t>
            </w:r>
          </w:p>
        </w:tc>
        <w:tc>
          <w:tcPr>
            <w:tcW w:type="dxa" w:w="2376"/>
            <w:tcMar>
              <w:top w:w="90" w:type="dxa"/>
              <w:start w:w="90" w:type="dxa"/>
              <w:bottom w:w="90" w:type="dxa"/>
              <w:end w:w="90" w:type="dxa"/>
            </w:tcMar>
            <w:vAlign w:val="top"/>
          </w:tcPr>
          <w:p>
            <w:r>
              <w:rPr>
                <w:sz w:val="17"/>
              </w:rPr>
              <w:t>Keycloak</w:t>
            </w:r>
          </w:p>
        </w:tc>
      </w:tr>
      <w:tr>
        <w:trPr>
          <w:cantSplit/>
        </w:trPr>
        <w:tc>
          <w:tcPr>
            <w:tcW w:type="dxa" w:w="1800"/>
            <w:tcMar>
              <w:top w:w="90" w:type="dxa"/>
              <w:start w:w="90" w:type="dxa"/>
              <w:bottom w:w="90" w:type="dxa"/>
              <w:end w:w="90" w:type="dxa"/>
            </w:tcMar>
            <w:vAlign w:val="top"/>
          </w:tcPr>
          <w:p>
            <w:r>
              <w:rPr>
                <w:sz w:val="17"/>
              </w:rPr>
              <w:t>Platform Infrastructure</w:t>
            </w:r>
          </w:p>
        </w:tc>
        <w:tc>
          <w:tcPr>
            <w:tcW w:type="dxa" w:w="5616"/>
            <w:tcMar>
              <w:top w:w="90" w:type="dxa"/>
              <w:start w:w="90" w:type="dxa"/>
              <w:bottom w:w="90" w:type="dxa"/>
              <w:end w:w="90" w:type="dxa"/>
            </w:tcMar>
            <w:vAlign w:val="top"/>
          </w:tcPr>
          <w:p>
            <w:r>
              <w:rPr>
                <w:sz w:val="17"/>
              </w:rPr>
              <w:t>Provides PostgreSQL, Kafka, Redis, object storage, telemetry, and deployment facilities.</w:t>
            </w:r>
          </w:p>
        </w:tc>
        <w:tc>
          <w:tcPr>
            <w:tcW w:type="dxa" w:w="2376"/>
            <w:tcMar>
              <w:top w:w="90" w:type="dxa"/>
              <w:start w:w="90" w:type="dxa"/>
              <w:bottom w:w="90" w:type="dxa"/>
              <w:end w:w="90" w:type="dxa"/>
            </w:tcMar>
            <w:vAlign w:val="top"/>
          </w:tcPr>
          <w:p>
            <w:r>
              <w:rPr>
                <w:sz w:val="17"/>
              </w:rPr>
              <w:t>Docker/AWS/Kubernetes</w:t>
            </w:r>
          </w:p>
        </w:tc>
      </w:tr>
    </w:tbl>
    <w:p>
      <w:pPr>
        <w:widowControl/>
      </w:pPr>
    </w:p>
    <w:p>
      <w:pPr>
        <w:pStyle w:val="Heading2"/>
        <w:keepNext/>
        <w:widowControl/>
      </w:pPr>
      <w:r>
        <w:t>3.2 Context diagram</w:t>
      </w:r>
    </w:p>
    <w:p>
      <w:pPr>
        <w:pStyle w:val="CodeBlock"/>
        <w:keepLines/>
        <w:widowControl/>
      </w:pPr>
      <w:r>
        <w:t>+----------------------+          OIDC/OAuth2          +-----------+</w:t>
        <w:br/>
        <w:t>| Operations Web       | &lt;---------------------------&gt; | Keycloak  |</w:t>
        <w:br/>
        <w:t>+----------+-----------+                               +-----------+</w:t>
        <w:br/>
        <w:t xml:space="preserve">           |</w:t>
        <w:br/>
        <w:t xml:space="preserve">           | HTTPS / REST / SSE</w:t>
        <w:br/>
        <w:t xml:space="preserve">           v</w:t>
        <w:br/>
        <w:t>+----------+--------------------------------------------------------+</w:t>
        <w:br/>
        <w:t>| LedgerOps Core Platform                                           |</w:t>
        <w:br/>
        <w:t>| tenancy | merchant | payment | ledger | risk | provider | cases   |</w:t>
        <w:br/>
        <w:t>| audit | reporting | reconciliation (initially)                    |</w:t>
        <w:br/>
        <w:t>+----+-------------+-------------+--------------+-------------------+</w:t>
        <w:br/>
        <w:t xml:space="preserve">     |             |             |              |</w:t>
        <w:br/>
        <w:t xml:space="preserve">     | SQL         | Kafka       | Cache        | Object storage</w:t>
        <w:br/>
        <w:t xml:space="preserve">     v             v             v              v</w:t>
        <w:br/>
        <w:t xml:space="preserve"> PostgreSQL      Kafka          Redis          S3 / MinIO</w:t>
        <w:br/>
        <w:t xml:space="preserve">     ^             ^</w:t>
        <w:br/>
        <w:t xml:space="preserve">     |             |</w:t>
        <w:br/>
        <w:t xml:space="preserve">     | APIs        | integration events after extraction</w:t>
        <w:br/>
        <w:t xml:space="preserve">     |</w:t>
        <w:br/>
        <w:t>+----+------------------+         signed webhooks / files</w:t>
        <w:br/>
        <w:t>| Provider Simulator   | ------------------------------------------&gt;</w:t>
        <w:br/>
        <w:t>+----------------------+</w:t>
      </w:r>
    </w:p>
    <w:p>
      <w:pPr>
        <w:pStyle w:val="Heading2"/>
        <w:keepNext/>
        <w:widowControl/>
      </w:pPr>
      <w:r>
        <w:t>3.3 Boundary rules</w:t>
      </w:r>
    </w:p>
    <w:p>
      <w:pPr>
        <w:pStyle w:val="ListBullet"/>
        <w:widowControl/>
        <w:spacing w:after="40"/>
      </w:pPr>
      <w:r>
        <w:t>The Provider Simulator never reads or writes the LedgerOps database.</w:t>
      </w:r>
    </w:p>
    <w:p>
      <w:pPr>
        <w:pStyle w:val="ListBullet"/>
        <w:widowControl/>
        <w:spacing w:after="40"/>
      </w:pPr>
      <w:r>
        <w:t>The frontend never accesses Kafka or databases directly.</w:t>
      </w:r>
    </w:p>
    <w:p>
      <w:pPr>
        <w:pStyle w:val="ListBullet"/>
        <w:widowControl/>
        <w:spacing w:after="40"/>
      </w:pPr>
      <w:r>
        <w:t>After reconciliation extraction, the service does not query the core database directly.</w:t>
      </w:r>
    </w:p>
    <w:p>
      <w:pPr>
        <w:pStyle w:val="ListBullet"/>
        <w:widowControl/>
        <w:spacing w:after="40"/>
      </w:pPr>
      <w:r>
        <w:t>Authentication credentials remain in Keycloak; LedgerOps stores application membership and authorization data.</w:t>
      </w:r>
    </w:p>
    <w:p>
      <w:pPr>
        <w:pStyle w:val="ListBullet"/>
        <w:widowControl/>
        <w:spacing w:after="40"/>
      </w:pPr>
      <w:r>
        <w:t>The public demo topology may be simpler than the Kubernetes reference topology without changing product behaviour.</w:t>
      </w:r>
    </w:p>
    <w:p>
      <w:pPr>
        <w:pStyle w:val="Heading1"/>
        <w:keepNext/>
        <w:widowControl/>
      </w:pPr>
      <w:r>
        <w:t>4. Application structure and module ownership</w:t>
      </w:r>
    </w:p>
    <w:p>
      <w:pPr>
        <w:pStyle w:val="Heading2"/>
        <w:keepNext/>
        <w:widowControl/>
      </w:pPr>
      <w:r>
        <w:t>4.1 Package structure</w:t>
      </w:r>
    </w:p>
    <w:p>
      <w:pPr>
        <w:pStyle w:val="CodeBlock"/>
        <w:keepLines/>
        <w:widowControl/>
      </w:pPr>
      <w:r>
        <w:t>com.ledgerops</w:t>
        <w:br/>
        <w:t>├── identity</w:t>
        <w:br/>
        <w:t>├── tenancy</w:t>
        <w:br/>
        <w:t>├── merchant</w:t>
        <w:br/>
        <w:t>├── customer</w:t>
        <w:br/>
        <w:t>├── payment</w:t>
        <w:br/>
        <w:t>├── ledger</w:t>
        <w:br/>
        <w:t>├── risk</w:t>
        <w:br/>
        <w:t>├── provider</w:t>
        <w:br/>
        <w:t>├── casework</w:t>
        <w:br/>
        <w:t>├── reconciliation</w:t>
        <w:br/>
        <w:t>├── notification</w:t>
        <w:br/>
        <w:t>├── audit</w:t>
        <w:br/>
        <w:t>└── reporting</w:t>
      </w:r>
    </w:p>
    <w:p>
      <w:pPr>
        <w:pStyle w:val="Heading2"/>
        <w:keepNext/>
        <w:widowControl/>
      </w:pPr>
      <w:r>
        <w:t>4.2 Internal layering</w:t>
      </w:r>
    </w:p>
    <w:p>
      <w:pPr>
        <w:pStyle w:val="CodeBlock"/>
        <w:keepLines/>
        <w:widowControl/>
      </w:pPr>
      <w:r>
        <w:t>module/</w:t>
        <w:br/>
        <w:t>├── api/             HTTP endpoints, transport DTOs, protocol mapping</w:t>
        <w:br/>
        <w:t>├── application/     use cases, transactions, authorization, orchestration</w:t>
        <w:br/>
        <w:t>├── domain/          aggregates, value objects, invariants, domain events</w:t>
        <w:br/>
        <w:t>└── infrastructure/  JPA, Kafka, Redis, HTTP clients, file storage, configuration</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 xml:space="preserve">Dependency rule: </w:t>
            </w:r>
            <w:r>
              <w:t>The domain layer does not depend on Spring, JPA, Kafka, HTTP, or infrastructure code. ArchUnit and Spring Modulith tests enforce the approved direction.</w:t>
            </w:r>
          </w:p>
        </w:tc>
      </w:tr>
    </w:tbl>
    <w:p>
      <w:pPr>
        <w:widowControl/>
      </w:pPr>
    </w:p>
    <w:p>
      <w:pPr>
        <w:pStyle w:val="Heading2"/>
        <w:keepNext/>
        <w:widowControl/>
      </w:pPr>
      <w:r>
        <w:t>4.3 Module ownership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Module</w:t>
            </w:r>
          </w:p>
        </w:tc>
        <w:tc>
          <w:tcPr>
            <w:tcW w:type="dxa" w:w="7848"/>
            <w:shd w:fill="1F4E78"/>
            <w:vAlign w:val="center"/>
            <w:tcMar>
              <w:top w:w="90" w:type="dxa"/>
              <w:start w:w="90" w:type="dxa"/>
              <w:bottom w:w="90" w:type="dxa"/>
              <w:end w:w="90" w:type="dxa"/>
            </w:tcMar>
          </w:tcPr>
          <w:p>
            <w:pPr>
              <w:jc w:val="left"/>
            </w:pPr>
            <w:r>
              <w:rPr>
                <w:b/>
                <w:color w:val="FFFFFF"/>
                <w:sz w:val="17"/>
              </w:rPr>
              <w:t>Owns</w:t>
            </w:r>
          </w:p>
        </w:tc>
      </w:tr>
      <w:tr>
        <w:trPr>
          <w:cantSplit/>
        </w:trPr>
        <w:tc>
          <w:tcPr>
            <w:tcW w:type="dxa" w:w="1944"/>
            <w:tcMar>
              <w:top w:w="90" w:type="dxa"/>
              <w:start w:w="90" w:type="dxa"/>
              <w:bottom w:w="90" w:type="dxa"/>
              <w:end w:w="90" w:type="dxa"/>
            </w:tcMar>
            <w:vAlign w:val="top"/>
          </w:tcPr>
          <w:p>
            <w:r>
              <w:rPr>
                <w:sz w:val="17"/>
              </w:rPr>
              <w:t>Identity</w:t>
            </w:r>
          </w:p>
        </w:tc>
        <w:tc>
          <w:tcPr>
            <w:tcW w:type="dxa" w:w="7848"/>
            <w:tcMar>
              <w:top w:w="90" w:type="dxa"/>
              <w:start w:w="90" w:type="dxa"/>
              <w:bottom w:w="90" w:type="dxa"/>
              <w:end w:w="90" w:type="dxa"/>
            </w:tcMar>
            <w:vAlign w:val="top"/>
          </w:tcPr>
          <w:p>
            <w:r>
              <w:rPr>
                <w:sz w:val="17"/>
              </w:rPr>
              <w:t>Application users, Keycloak mappings, membership status references, role assignments.</w:t>
            </w:r>
          </w:p>
        </w:tc>
      </w:tr>
      <w:tr>
        <w:trPr>
          <w:cantSplit/>
        </w:trPr>
        <w:tc>
          <w:tcPr>
            <w:tcW w:type="dxa" w:w="1944"/>
            <w:tcMar>
              <w:top w:w="90" w:type="dxa"/>
              <w:start w:w="90" w:type="dxa"/>
              <w:bottom w:w="90" w:type="dxa"/>
              <w:end w:w="90" w:type="dxa"/>
            </w:tcMar>
            <w:vAlign w:val="top"/>
          </w:tcPr>
          <w:p>
            <w:r>
              <w:rPr>
                <w:sz w:val="17"/>
              </w:rPr>
              <w:t>Tenancy</w:t>
            </w:r>
          </w:p>
        </w:tc>
        <w:tc>
          <w:tcPr>
            <w:tcW w:type="dxa" w:w="7848"/>
            <w:tcMar>
              <w:top w:w="90" w:type="dxa"/>
              <w:start w:w="90" w:type="dxa"/>
              <w:bottom w:w="90" w:type="dxa"/>
              <w:end w:w="90" w:type="dxa"/>
            </w:tcMar>
            <w:vAlign w:val="top"/>
          </w:tcPr>
          <w:p>
            <w:r>
              <w:rPr>
                <w:sz w:val="17"/>
              </w:rPr>
              <w:t>Tenants, supported currencies, feature flags, tenant limits, activation state.</w:t>
            </w:r>
          </w:p>
        </w:tc>
      </w:tr>
      <w:tr>
        <w:trPr>
          <w:cantSplit/>
        </w:trPr>
        <w:tc>
          <w:tcPr>
            <w:tcW w:type="dxa" w:w="1944"/>
            <w:tcMar>
              <w:top w:w="90" w:type="dxa"/>
              <w:start w:w="90" w:type="dxa"/>
              <w:bottom w:w="90" w:type="dxa"/>
              <w:end w:w="90" w:type="dxa"/>
            </w:tcMar>
            <w:vAlign w:val="top"/>
          </w:tcPr>
          <w:p>
            <w:r>
              <w:rPr>
                <w:sz w:val="17"/>
              </w:rPr>
              <w:t>Merchant</w:t>
            </w:r>
          </w:p>
        </w:tc>
        <w:tc>
          <w:tcPr>
            <w:tcW w:type="dxa" w:w="7848"/>
            <w:tcMar>
              <w:top w:w="90" w:type="dxa"/>
              <w:start w:w="90" w:type="dxa"/>
              <w:bottom w:w="90" w:type="dxa"/>
              <w:end w:w="90" w:type="dxa"/>
            </w:tcMar>
            <w:vAlign w:val="top"/>
          </w:tcPr>
          <w:p>
            <w:r>
              <w:rPr>
                <w:sz w:val="17"/>
              </w:rPr>
              <w:t>Merchant profiles, processing configuration, provider routing settings, merchant limits.</w:t>
            </w:r>
          </w:p>
        </w:tc>
      </w:tr>
      <w:tr>
        <w:trPr>
          <w:cantSplit/>
        </w:trPr>
        <w:tc>
          <w:tcPr>
            <w:tcW w:type="dxa" w:w="1944"/>
            <w:tcMar>
              <w:top w:w="90" w:type="dxa"/>
              <w:start w:w="90" w:type="dxa"/>
              <w:bottom w:w="90" w:type="dxa"/>
              <w:end w:w="90" w:type="dxa"/>
            </w:tcMar>
            <w:vAlign w:val="top"/>
          </w:tcPr>
          <w:p>
            <w:r>
              <w:rPr>
                <w:sz w:val="17"/>
              </w:rPr>
              <w:t>Customer</w:t>
            </w:r>
          </w:p>
        </w:tc>
        <w:tc>
          <w:tcPr>
            <w:tcW w:type="dxa" w:w="7848"/>
            <w:tcMar>
              <w:top w:w="90" w:type="dxa"/>
              <w:start w:w="90" w:type="dxa"/>
              <w:bottom w:w="90" w:type="dxa"/>
              <w:end w:w="90" w:type="dxa"/>
            </w:tcMar>
            <w:vAlign w:val="top"/>
          </w:tcPr>
          <w:p>
            <w:r>
              <w:rPr>
                <w:sz w:val="17"/>
              </w:rPr>
              <w:t>Simulated customer references, status, risk attributes, tokenized payment references.</w:t>
            </w:r>
          </w:p>
        </w:tc>
      </w:tr>
      <w:tr>
        <w:trPr>
          <w:cantSplit/>
        </w:trPr>
        <w:tc>
          <w:tcPr>
            <w:tcW w:type="dxa" w:w="1944"/>
            <w:tcMar>
              <w:top w:w="90" w:type="dxa"/>
              <w:start w:w="90" w:type="dxa"/>
              <w:bottom w:w="90" w:type="dxa"/>
              <w:end w:w="90" w:type="dxa"/>
            </w:tcMar>
            <w:vAlign w:val="top"/>
          </w:tcPr>
          <w:p>
            <w:r>
              <w:rPr>
                <w:sz w:val="17"/>
              </w:rPr>
              <w:t>Payment</w:t>
            </w:r>
          </w:p>
        </w:tc>
        <w:tc>
          <w:tcPr>
            <w:tcW w:type="dxa" w:w="7848"/>
            <w:tcMar>
              <w:top w:w="90" w:type="dxa"/>
              <w:start w:w="90" w:type="dxa"/>
              <w:bottom w:w="90" w:type="dxa"/>
              <w:end w:w="90" w:type="dxa"/>
            </w:tcMar>
            <w:vAlign w:val="top"/>
          </w:tcPr>
          <w:p>
            <w:r>
              <w:rPr>
                <w:sz w:val="17"/>
              </w:rPr>
              <w:t>Payment lifecycle, Payment idempotency, Payment Attempt business records, relationships between Payment and Payment Attempts, and payment lifecycle events.</w:t>
            </w:r>
          </w:p>
        </w:tc>
      </w:tr>
      <w:tr>
        <w:trPr>
          <w:cantSplit/>
        </w:trPr>
        <w:tc>
          <w:tcPr>
            <w:tcW w:type="dxa" w:w="1944"/>
            <w:tcMar>
              <w:top w:w="90" w:type="dxa"/>
              <w:start w:w="90" w:type="dxa"/>
              <w:bottom w:w="90" w:type="dxa"/>
              <w:end w:w="90" w:type="dxa"/>
            </w:tcMar>
            <w:vAlign w:val="top"/>
          </w:tcPr>
          <w:p>
            <w:r>
              <w:rPr>
                <w:sz w:val="17"/>
              </w:rPr>
              <w:t>Ledger</w:t>
            </w:r>
          </w:p>
        </w:tc>
        <w:tc>
          <w:tcPr>
            <w:tcW w:type="dxa" w:w="7848"/>
            <w:tcMar>
              <w:top w:w="90" w:type="dxa"/>
              <w:start w:w="90" w:type="dxa"/>
              <w:bottom w:w="90" w:type="dxa"/>
              <w:end w:w="90" w:type="dxa"/>
            </w:tcMar>
            <w:vAlign w:val="top"/>
          </w:tcPr>
          <w:p>
            <w:r>
              <w:t>Tenant-scoped Ledger accounts, account-code catalog, journals, immutable postings, balances, and compensating corrections.</w:t>
            </w:r>
          </w:p>
        </w:tc>
      </w:tr>
      <w:tr>
        <w:trPr>
          <w:cantSplit/>
        </w:trPr>
        <w:tc>
          <w:tcPr>
            <w:tcW w:type="dxa" w:w="1944"/>
            <w:tcMar>
              <w:top w:w="90" w:type="dxa"/>
              <w:start w:w="90" w:type="dxa"/>
              <w:bottom w:w="90" w:type="dxa"/>
              <w:end w:w="90" w:type="dxa"/>
            </w:tcMar>
            <w:vAlign w:val="top"/>
          </w:tcPr>
          <w:p>
            <w:r>
              <w:rPr>
                <w:sz w:val="17"/>
              </w:rPr>
              <w:t>Risk</w:t>
            </w:r>
          </w:p>
        </w:tc>
        <w:tc>
          <w:tcPr>
            <w:tcW w:type="dxa" w:w="7848"/>
            <w:tcMar>
              <w:top w:w="90" w:type="dxa"/>
              <w:start w:w="90" w:type="dxa"/>
              <w:bottom w:w="90" w:type="dxa"/>
              <w:end w:w="90" w:type="dxa"/>
            </w:tcMar>
            <w:vAlign w:val="top"/>
          </w:tcPr>
          <w:p>
            <w:r>
              <w:t>Tenant Risk profiles and versions, configured rules, score calculation, Risk decisions, append-only Risk Evaluations, evaluated-rule results, and later manual overrides.</w:t>
            </w:r>
          </w:p>
        </w:tc>
      </w:tr>
      <w:tr>
        <w:trPr>
          <w:cantSplit/>
        </w:trPr>
        <w:tc>
          <w:tcPr>
            <w:tcW w:type="dxa" w:w="1944"/>
            <w:tcMar>
              <w:top w:w="90" w:type="dxa"/>
              <w:start w:w="90" w:type="dxa"/>
              <w:bottom w:w="90" w:type="dxa"/>
              <w:end w:w="90" w:type="dxa"/>
            </w:tcMar>
            <w:vAlign w:val="top"/>
          </w:tcPr>
          <w:p>
            <w:r>
              <w:rPr>
                <w:sz w:val="17"/>
              </w:rPr>
              <w:t>Provider</w:t>
            </w:r>
          </w:p>
        </w:tc>
        <w:tc>
          <w:tcPr>
            <w:tcW w:type="dxa" w:w="7848"/>
            <w:tcMar>
              <w:top w:w="90" w:type="dxa"/>
              <w:start w:w="90" w:type="dxa"/>
              <w:bottom w:w="90" w:type="dxa"/>
              <w:end w:w="90" w:type="dxa"/>
            </w:tcMar>
            <w:vAlign w:val="top"/>
          </w:tcPr>
          <w:p>
            <w:r>
              <w:rPr>
                <w:sz w:val="17"/>
              </w:rPr>
              <w:t>Provider adapters, adapter-specific request and response evidence, HTTP communication, webhook receipts, retry scheduling, provider communication state, ambiguity, and status-recovery orchestration.</w:t>
            </w:r>
          </w:p>
        </w:tc>
      </w:tr>
      <w:tr>
        <w:trPr>
          <w:cantSplit/>
        </w:trPr>
        <w:tc>
          <w:tcPr>
            <w:tcW w:type="dxa" w:w="1944"/>
            <w:tcMar>
              <w:top w:w="90" w:type="dxa"/>
              <w:start w:w="90" w:type="dxa"/>
              <w:bottom w:w="90" w:type="dxa"/>
              <w:end w:w="90" w:type="dxa"/>
            </w:tcMar>
            <w:vAlign w:val="top"/>
          </w:tcPr>
          <w:p>
            <w:r>
              <w:rPr>
                <w:sz w:val="17"/>
              </w:rPr>
              <w:t>Casework</w:t>
            </w:r>
          </w:p>
        </w:tc>
        <w:tc>
          <w:tcPr>
            <w:tcW w:type="dxa" w:w="7848"/>
            <w:tcMar>
              <w:top w:w="90" w:type="dxa"/>
              <w:start w:w="90" w:type="dxa"/>
              <w:bottom w:w="90" w:type="dxa"/>
              <w:end w:w="90" w:type="dxa"/>
            </w:tcMar>
            <w:vAlign w:val="top"/>
          </w:tcPr>
          <w:p>
            <w:r>
              <w:rPr>
                <w:sz w:val="17"/>
              </w:rPr>
              <w:t>Risk and reconciliation cases, assignments, notes, evidence, resolutions.</w:t>
            </w:r>
          </w:p>
        </w:tc>
      </w:tr>
      <w:tr>
        <w:trPr>
          <w:cantSplit/>
        </w:trPr>
        <w:tc>
          <w:tcPr>
            <w:tcW w:type="dxa" w:w="1944"/>
            <w:tcMar>
              <w:top w:w="90" w:type="dxa"/>
              <w:start w:w="90" w:type="dxa"/>
              <w:bottom w:w="90" w:type="dxa"/>
              <w:end w:w="90" w:type="dxa"/>
            </w:tcMar>
            <w:vAlign w:val="top"/>
          </w:tcPr>
          <w:p>
            <w:r>
              <w:rPr>
                <w:sz w:val="17"/>
              </w:rPr>
              <w:t>Reconciliation</w:t>
            </w:r>
          </w:p>
        </w:tc>
        <w:tc>
          <w:tcPr>
            <w:tcW w:type="dxa" w:w="7848"/>
            <w:tcMar>
              <w:top w:w="90" w:type="dxa"/>
              <w:start w:w="90" w:type="dxa"/>
              <w:bottom w:w="90" w:type="dxa"/>
              <w:end w:w="90" w:type="dxa"/>
            </w:tcMar>
            <w:vAlign w:val="top"/>
          </w:tcPr>
          <w:p>
            <w:r>
              <w:rPr>
                <w:sz w:val="17"/>
              </w:rPr>
              <w:t>Settlement batches, normalized records, matching runs, discrepancies.</w:t>
            </w:r>
          </w:p>
        </w:tc>
      </w:tr>
      <w:tr>
        <w:trPr>
          <w:cantSplit/>
        </w:trPr>
        <w:tc>
          <w:tcPr>
            <w:tcW w:type="dxa" w:w="1944"/>
            <w:tcMar>
              <w:top w:w="90" w:type="dxa"/>
              <w:start w:w="90" w:type="dxa"/>
              <w:bottom w:w="90" w:type="dxa"/>
              <w:end w:w="90" w:type="dxa"/>
            </w:tcMar>
            <w:vAlign w:val="top"/>
          </w:tcPr>
          <w:p>
            <w:r>
              <w:rPr>
                <w:sz w:val="17"/>
              </w:rPr>
              <w:t>Notification</w:t>
            </w:r>
          </w:p>
        </w:tc>
        <w:tc>
          <w:tcPr>
            <w:tcW w:type="dxa" w:w="7848"/>
            <w:tcMar>
              <w:top w:w="90" w:type="dxa"/>
              <w:start w:w="90" w:type="dxa"/>
              <w:bottom w:w="90" w:type="dxa"/>
              <w:end w:w="90" w:type="dxa"/>
            </w:tcMar>
            <w:vAlign w:val="top"/>
          </w:tcPr>
          <w:p>
            <w:r>
              <w:rPr>
                <w:sz w:val="17"/>
              </w:rPr>
              <w:t>Asynchronous notification requests and delivery status.</w:t>
            </w:r>
          </w:p>
        </w:tc>
      </w:tr>
      <w:tr>
        <w:trPr>
          <w:cantSplit/>
        </w:trPr>
        <w:tc>
          <w:tcPr>
            <w:tcW w:type="dxa" w:w="1944"/>
            <w:tcMar>
              <w:top w:w="90" w:type="dxa"/>
              <w:start w:w="90" w:type="dxa"/>
              <w:bottom w:w="90" w:type="dxa"/>
              <w:end w:w="90" w:type="dxa"/>
            </w:tcMar>
            <w:vAlign w:val="top"/>
          </w:tcPr>
          <w:p>
            <w:r>
              <w:rPr>
                <w:sz w:val="17"/>
              </w:rPr>
              <w:t>Audit</w:t>
            </w:r>
          </w:p>
        </w:tc>
        <w:tc>
          <w:tcPr>
            <w:tcW w:type="dxa" w:w="7848"/>
            <w:tcMar>
              <w:top w:w="90" w:type="dxa"/>
              <w:start w:w="90" w:type="dxa"/>
              <w:bottom w:w="90" w:type="dxa"/>
              <w:end w:w="90" w:type="dxa"/>
            </w:tcMar>
            <w:vAlign w:val="top"/>
          </w:tcPr>
          <w:p>
            <w:r>
              <w:rPr>
                <w:sz w:val="17"/>
              </w:rPr>
              <w:t>Append-only audit events and security-sensitive activity.</w:t>
            </w:r>
          </w:p>
        </w:tc>
      </w:tr>
      <w:tr>
        <w:trPr>
          <w:cantSplit/>
        </w:trPr>
        <w:tc>
          <w:tcPr>
            <w:tcW w:type="dxa" w:w="1944"/>
            <w:tcMar>
              <w:top w:w="90" w:type="dxa"/>
              <w:start w:w="90" w:type="dxa"/>
              <w:bottom w:w="90" w:type="dxa"/>
              <w:end w:w="90" w:type="dxa"/>
            </w:tcMar>
            <w:vAlign w:val="top"/>
          </w:tcPr>
          <w:p>
            <w:r>
              <w:rPr>
                <w:sz w:val="17"/>
              </w:rPr>
              <w:t>Reporting</w:t>
            </w:r>
          </w:p>
        </w:tc>
        <w:tc>
          <w:tcPr>
            <w:tcW w:type="dxa" w:w="7848"/>
            <w:tcMar>
              <w:top w:w="90" w:type="dxa"/>
              <w:start w:w="90" w:type="dxa"/>
              <w:bottom w:w="90" w:type="dxa"/>
              <w:end w:w="90" w:type="dxa"/>
            </w:tcMar>
            <w:vAlign w:val="top"/>
          </w:tcPr>
          <w:p>
            <w:r>
              <w:rPr>
                <w:sz w:val="17"/>
              </w:rPr>
              <w:t>Read-optimized projections, dashboard queries, exports; never transactional truth.</w:t>
            </w:r>
          </w:p>
        </w:tc>
      </w:tr>
    </w:tbl>
    <w:p>
      <w:pPr>
        <w:widowControl/>
      </w:pPr>
    </w:p>
    <w:p>
      <w:pPr>
        <w:pStyle w:val="Heading2"/>
        <w:keepNext/>
        <w:widowControl/>
      </w:pPr>
      <w:r>
        <w:t>4.4 Cross-module interaction rules</w:t>
      </w:r>
    </w:p>
    <w:p>
      <w:pPr>
        <w:pStyle w:val="ListBullet"/>
        <w:widowControl/>
        <w:spacing w:after="40"/>
      </w:pPr>
      <w:r>
        <w:t>Strongly consistent operations use published module interfaces within one PostgreSQL transaction.</w:t>
      </w:r>
    </w:p>
    <w:p>
      <w:pPr>
        <w:pStyle w:val="ListBullet"/>
        <w:widowControl/>
        <w:spacing w:after="40"/>
      </w:pPr>
      <w:r>
        <w:t>Cross-module table access is prohibited.</w:t>
      </w:r>
    </w:p>
    <w:p>
      <w:pPr>
        <w:pStyle w:val="ListBullet"/>
        <w:widowControl/>
        <w:spacing w:after="40"/>
      </w:pPr>
      <w:r>
        <w:t>Asynchronous domain facts are published through the transactional outbox.</w:t>
      </w:r>
    </w:p>
    <w:p>
      <w:pPr>
        <w:pStyle w:val="ListBullet"/>
        <w:widowControl/>
        <w:spacing w:after="40"/>
      </w:pPr>
      <w:r>
        <w:t>Read projections may subscribe to events but cannot become sources of transactional truth.</w:t>
      </w:r>
    </w:p>
    <w:p>
      <w:pPr>
        <w:pStyle w:val="ListBullet"/>
        <w:widowControl/>
        <w:spacing w:after="40"/>
      </w:pPr>
      <w:r>
        <w:t>Every future service extraction requires a dedicated ADR describing ownership, contracts, failure modes, and data migration.</w:t>
      </w:r>
    </w:p>
    <w:p>
      <w:pPr>
        <w:pStyle w:val="Heading1"/>
        <w:keepNext/>
        <w:widowControl/>
      </w:pPr>
      <w:r>
        <w:t>5. Domain model and consistency boundaries</w:t>
      </w:r>
    </w:p>
    <w:p>
      <w:pPr>
        <w:pStyle w:val="Heading2"/>
        <w:keepNext/>
        <w:widowControl/>
      </w:pPr>
      <w:r>
        <w:t>5.1 Primary aggregates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Aggregate</w:t>
            </w:r>
          </w:p>
        </w:tc>
        <w:tc>
          <w:tcPr>
            <w:tcW w:type="dxa" w:w="4824"/>
            <w:shd w:fill="1F4E78"/>
            <w:vAlign w:val="center"/>
            <w:tcMar>
              <w:top w:w="90" w:type="dxa"/>
              <w:start w:w="90" w:type="dxa"/>
              <w:bottom w:w="90" w:type="dxa"/>
              <w:end w:w="90" w:type="dxa"/>
            </w:tcMar>
          </w:tcPr>
          <w:p>
            <w:pPr>
              <w:jc w:val="left"/>
            </w:pPr>
            <w:r>
              <w:rPr>
                <w:b/>
                <w:color w:val="FFFFFF"/>
                <w:sz w:val="17"/>
              </w:rPr>
              <w:t>Core responsibility</w:t>
            </w:r>
          </w:p>
        </w:tc>
        <w:tc>
          <w:tcPr>
            <w:tcW w:type="dxa" w:w="3024"/>
            <w:shd w:fill="1F4E78"/>
            <w:vAlign w:val="center"/>
            <w:tcMar>
              <w:top w:w="90" w:type="dxa"/>
              <w:start w:w="90" w:type="dxa"/>
              <w:bottom w:w="90" w:type="dxa"/>
              <w:end w:w="90" w:type="dxa"/>
            </w:tcMar>
          </w:tcPr>
          <w:p>
            <w:pPr>
              <w:jc w:val="left"/>
            </w:pPr>
            <w:r>
              <w:rPr>
                <w:b/>
                <w:color w:val="FFFFFF"/>
                <w:sz w:val="17"/>
              </w:rPr>
              <w:t>Important boundary</w:t>
            </w:r>
          </w:p>
        </w:tc>
      </w:tr>
      <w:tr>
        <w:trPr>
          <w:cantSplit/>
        </w:trPr>
        <w:tc>
          <w:tcPr>
            <w:tcW w:type="dxa" w:w="1944"/>
            <w:tcMar>
              <w:top w:w="90" w:type="dxa"/>
              <w:start w:w="90" w:type="dxa"/>
              <w:bottom w:w="90" w:type="dxa"/>
              <w:end w:w="90" w:type="dxa"/>
            </w:tcMar>
            <w:vAlign w:val="top"/>
          </w:tcPr>
          <w:p>
            <w:r>
              <w:rPr>
                <w:sz w:val="17"/>
              </w:rPr>
              <w:t>Tenant</w:t>
            </w:r>
          </w:p>
        </w:tc>
        <w:tc>
          <w:tcPr>
            <w:tcW w:type="dxa" w:w="4824"/>
            <w:tcMar>
              <w:top w:w="90" w:type="dxa"/>
              <w:start w:w="90" w:type="dxa"/>
              <w:bottom w:w="90" w:type="dxa"/>
              <w:end w:w="90" w:type="dxa"/>
            </w:tcMar>
            <w:vAlign w:val="top"/>
          </w:tcPr>
          <w:p>
            <w:r>
              <w:rPr>
                <w:sz w:val="17"/>
              </w:rPr>
              <w:t>Tenant identity, status, configuration, supported currencies, limits.</w:t>
            </w:r>
          </w:p>
        </w:tc>
        <w:tc>
          <w:tcPr>
            <w:tcW w:type="dxa" w:w="3024"/>
            <w:tcMar>
              <w:top w:w="90" w:type="dxa"/>
              <w:start w:w="90" w:type="dxa"/>
              <w:bottom w:w="90" w:type="dxa"/>
              <w:end w:w="90" w:type="dxa"/>
            </w:tcMar>
            <w:vAlign w:val="top"/>
          </w:tcPr>
          <w:p>
            <w:r>
              <w:rPr>
                <w:sz w:val="17"/>
              </w:rPr>
              <w:t>Does not embed all users, merchants, or payments.</w:t>
            </w:r>
          </w:p>
        </w:tc>
      </w:tr>
      <w:tr>
        <w:trPr>
          <w:cantSplit/>
        </w:trPr>
        <w:tc>
          <w:tcPr>
            <w:tcW w:type="dxa" w:w="1944"/>
            <w:tcMar>
              <w:top w:w="90" w:type="dxa"/>
              <w:start w:w="90" w:type="dxa"/>
              <w:bottom w:w="90" w:type="dxa"/>
              <w:end w:w="90" w:type="dxa"/>
            </w:tcMar>
            <w:vAlign w:val="top"/>
          </w:tcPr>
          <w:p>
            <w:r>
              <w:rPr>
                <w:sz w:val="17"/>
              </w:rPr>
              <w:t>Merchant</w:t>
            </w:r>
          </w:p>
        </w:tc>
        <w:tc>
          <w:tcPr>
            <w:tcW w:type="dxa" w:w="4824"/>
            <w:tcMar>
              <w:top w:w="90" w:type="dxa"/>
              <w:start w:w="90" w:type="dxa"/>
              <w:bottom w:w="90" w:type="dxa"/>
              <w:end w:w="90" w:type="dxa"/>
            </w:tcMar>
            <w:vAlign w:val="top"/>
          </w:tcPr>
          <w:p>
            <w:r>
              <w:rPr>
                <w:sz w:val="17"/>
              </w:rPr>
              <w:t>Merchant identity, state, provider configuration, processing limits.</w:t>
            </w:r>
          </w:p>
        </w:tc>
        <w:tc>
          <w:tcPr>
            <w:tcW w:type="dxa" w:w="3024"/>
            <w:tcMar>
              <w:top w:w="90" w:type="dxa"/>
              <w:start w:w="90" w:type="dxa"/>
              <w:bottom w:w="90" w:type="dxa"/>
              <w:end w:w="90" w:type="dxa"/>
            </w:tcMar>
            <w:vAlign w:val="top"/>
          </w:tcPr>
          <w:p>
            <w:r>
              <w:rPr>
                <w:sz w:val="17"/>
              </w:rPr>
              <w:t>Belongs to exactly one tenant.</w:t>
            </w:r>
          </w:p>
        </w:tc>
      </w:tr>
      <w:tr>
        <w:trPr>
          <w:cantSplit/>
        </w:trPr>
        <w:tc>
          <w:tcPr>
            <w:tcW w:type="dxa" w:w="1944"/>
            <w:tcMar>
              <w:top w:w="90" w:type="dxa"/>
              <w:start w:w="90" w:type="dxa"/>
              <w:bottom w:w="90" w:type="dxa"/>
              <w:end w:w="90" w:type="dxa"/>
            </w:tcMar>
            <w:vAlign w:val="top"/>
          </w:tcPr>
          <w:p>
            <w:r>
              <w:rPr>
                <w:sz w:val="17"/>
              </w:rPr>
              <w:t>Customer</w:t>
            </w:r>
          </w:p>
        </w:tc>
        <w:tc>
          <w:tcPr>
            <w:tcW w:type="dxa" w:w="4824"/>
            <w:tcMar>
              <w:top w:w="90" w:type="dxa"/>
              <w:start w:w="90" w:type="dxa"/>
              <w:bottom w:w="90" w:type="dxa"/>
              <w:end w:w="90" w:type="dxa"/>
            </w:tcMar>
            <w:vAlign w:val="top"/>
          </w:tcPr>
          <w:p>
            <w:r>
              <w:rPr>
                <w:sz w:val="17"/>
              </w:rPr>
              <w:t>Customer reference, status, merchant relationship, risk attributes.</w:t>
            </w:r>
          </w:p>
        </w:tc>
        <w:tc>
          <w:tcPr>
            <w:tcW w:type="dxa" w:w="3024"/>
            <w:tcMar>
              <w:top w:w="90" w:type="dxa"/>
              <w:start w:w="90" w:type="dxa"/>
              <w:bottom w:w="90" w:type="dxa"/>
              <w:end w:w="90" w:type="dxa"/>
            </w:tcMar>
            <w:vAlign w:val="top"/>
          </w:tcPr>
          <w:p>
            <w:r>
              <w:rPr>
                <w:sz w:val="17"/>
              </w:rPr>
              <w:t>Stores no real card credentials.</w:t>
            </w:r>
          </w:p>
        </w:tc>
      </w:tr>
      <w:tr>
        <w:trPr>
          <w:cantSplit/>
        </w:trPr>
        <w:tc>
          <w:tcPr>
            <w:tcW w:type="dxa" w:w="1944"/>
            <w:tcMar>
              <w:top w:w="90" w:type="dxa"/>
              <w:start w:w="90" w:type="dxa"/>
              <w:bottom w:w="90" w:type="dxa"/>
              <w:end w:w="90" w:type="dxa"/>
            </w:tcMar>
            <w:vAlign w:val="top"/>
          </w:tcPr>
          <w:p>
            <w:r>
              <w:rPr>
                <w:sz w:val="17"/>
              </w:rPr>
              <w:t>Payment</w:t>
            </w:r>
          </w:p>
        </w:tc>
        <w:tc>
          <w:tcPr>
            <w:tcW w:type="dxa" w:w="4824"/>
            <w:tcMar>
              <w:top w:w="90" w:type="dxa"/>
              <w:start w:w="90" w:type="dxa"/>
              <w:bottom w:w="90" w:type="dxa"/>
              <w:end w:w="90" w:type="dxa"/>
            </w:tcMar>
            <w:vAlign w:val="top"/>
          </w:tcPr>
          <w:p>
            <w:r>
              <w:rPr>
                <w:sz w:val="17"/>
              </w:rPr>
              <w:t>Amount, merchant/customer references, PaymentStatus, risk decision, and references to Payment Attempt records.</w:t>
            </w:r>
          </w:p>
        </w:tc>
        <w:tc>
          <w:tcPr>
            <w:tcW w:type="dxa" w:w="3024"/>
            <w:tcMar>
              <w:top w:w="90" w:type="dxa"/>
              <w:start w:w="90" w:type="dxa"/>
              <w:bottom w:w="90" w:type="dxa"/>
              <w:end w:w="90" w:type="dxa"/>
            </w:tcMar>
            <w:vAlign w:val="top"/>
          </w:tcPr>
          <w:p>
            <w:r>
              <w:rPr>
                <w:sz w:val="17"/>
              </w:rPr>
              <w:t>Does not embed an unbounded attempt collection and does not own provider communication progress, Reversal, Ledger, or Reconciliation records.</w:t>
            </w:r>
          </w:p>
        </w:tc>
      </w:tr>
      <w:tr>
        <w:trPr>
          <w:cantSplit/>
        </w:trPr>
        <w:tc>
          <w:tcPr>
            <w:tcW w:type="dxa" w:w="1944"/>
            <w:tcMar>
              <w:top w:w="90" w:type="dxa"/>
              <w:start w:w="90" w:type="dxa"/>
              <w:bottom w:w="90" w:type="dxa"/>
              <w:end w:w="90" w:type="dxa"/>
            </w:tcMar>
            <w:vAlign w:val="top"/>
          </w:tcPr>
          <w:p>
            <w:r>
              <w:rPr>
                <w:sz w:val="17"/>
              </w:rPr>
              <w:t>Payment Attempt</w:t>
            </w:r>
          </w:p>
        </w:tc>
        <w:tc>
          <w:tcPr>
            <w:tcW w:type="dxa" w:w="4824"/>
            <w:tcMar>
              <w:top w:w="90" w:type="dxa"/>
              <w:start w:w="90" w:type="dxa"/>
              <w:bottom w:w="90" w:type="dxa"/>
              <w:end w:w="90" w:type="dxa"/>
            </w:tcMar>
            <w:vAlign w:val="top"/>
          </w:tcPr>
          <w:p>
            <w:r>
              <w:rPr>
                <w:sz w:val="17"/>
              </w:rPr>
              <w:t>Immutable business record for one provider submission or retry associated with a Payment or Reversal.</w:t>
            </w:r>
          </w:p>
        </w:tc>
        <w:tc>
          <w:tcPr>
            <w:tcW w:type="dxa" w:w="3024"/>
            <w:tcMar>
              <w:top w:w="90" w:type="dxa"/>
              <w:start w:w="90" w:type="dxa"/>
              <w:bottom w:w="90" w:type="dxa"/>
              <w:end w:w="90" w:type="dxa"/>
            </w:tcMar>
            <w:vAlign w:val="top"/>
          </w:tcPr>
          <w:p>
            <w:r>
              <w:rPr>
                <w:sz w:val="17"/>
              </w:rPr>
              <w:t>Owned by Payment; adapter evidence, communication state, retry scheduling, ambiguity, and recovery orchestration remain Provider-owned.</w:t>
            </w:r>
          </w:p>
        </w:tc>
      </w:tr>
      <w:tr>
        <w:tc>
          <w:tcPr>
            <w:tcW w:type="dxa" w:w="3360"/>
          </w:tcPr>
          <w:p>
            <w:r>
              <w:t>Ledger Account</w:t>
            </w:r>
          </w:p>
        </w:tc>
        <w:tc>
          <w:tcPr>
            <w:tcW w:type="dxa" w:w="3360"/>
          </w:tcPr>
          <w:p>
            <w:r>
              <w:t>Immutable tenant, account-code, and currency identity with ACTIVE as the only Release 0.1 status.</w:t>
            </w:r>
          </w:p>
        </w:tc>
        <w:tc>
          <w:tcPr>
            <w:tcW w:type="dxa" w:w="3360"/>
          </w:tcPr>
          <w:p>
            <w:r>
              <w:t>Does not embed entries or transactions; history is queried from immutable Ledger entries by accountId. Release 0.1 defines no lifecycle or deletion.</w:t>
            </w:r>
          </w:p>
        </w:tc>
      </w:tr>
      <w:tr>
        <w:trPr>
          <w:cantSplit/>
        </w:trPr>
        <w:tc>
          <w:tcPr>
            <w:tcW w:type="dxa" w:w="1944"/>
            <w:tcMar>
              <w:top w:w="90" w:type="dxa"/>
              <w:start w:w="90" w:type="dxa"/>
              <w:bottom w:w="90" w:type="dxa"/>
              <w:end w:w="90" w:type="dxa"/>
            </w:tcMar>
            <w:vAlign w:val="top"/>
          </w:tcPr>
          <w:p>
            <w:r>
              <w:rPr>
                <w:sz w:val="17"/>
              </w:rPr>
              <w:t>Ledger Transaction</w:t>
            </w:r>
          </w:p>
        </w:tc>
        <w:tc>
          <w:tcPr>
            <w:tcW w:type="dxa" w:w="4824"/>
            <w:tcMar>
              <w:top w:w="90" w:type="dxa"/>
              <w:start w:w="90" w:type="dxa"/>
              <w:bottom w:w="90" w:type="dxa"/>
              <w:end w:w="90" w:type="dxa"/>
            </w:tcMar>
            <w:vAlign w:val="top"/>
          </w:tcPr>
          <w:p>
            <w:r>
              <w:rPr>
                <w:sz w:val="17"/>
              </w:rPr>
              <w:t>Immutable debit and credit entries, posting and reversal references.</w:t>
            </w:r>
          </w:p>
        </w:tc>
        <w:tc>
          <w:tcPr>
            <w:tcW w:type="dxa" w:w="3024"/>
            <w:tcMar>
              <w:top w:w="90" w:type="dxa"/>
              <w:start w:w="90" w:type="dxa"/>
              <w:bottom w:w="90" w:type="dxa"/>
              <w:end w:w="90" w:type="dxa"/>
            </w:tcMar>
            <w:vAlign w:val="top"/>
          </w:tcPr>
          <w:p>
            <w:r>
              <w:rPr>
                <w:sz w:val="17"/>
              </w:rPr>
              <w:t>Cannot be edited or deleted after posting.</w:t>
            </w:r>
          </w:p>
        </w:tc>
      </w:tr>
      <w:tr>
        <w:trPr>
          <w:cantSplit/>
        </w:trPr>
        <w:tc>
          <w:tcPr>
            <w:tcW w:type="dxa" w:w="1944"/>
            <w:tcMar>
              <w:top w:w="90" w:type="dxa"/>
              <w:start w:w="90" w:type="dxa"/>
              <w:bottom w:w="90" w:type="dxa"/>
              <w:end w:w="90" w:type="dxa"/>
            </w:tcMar>
            <w:vAlign w:val="top"/>
          </w:tcPr>
          <w:p>
            <w:r>
              <w:t>Risk Profile and Risk Evaluation</w:t>
            </w:r>
          </w:p>
        </w:tc>
        <w:tc>
          <w:tcPr>
            <w:tcW w:type="dxa" w:w="4824"/>
            <w:tcMar>
              <w:top w:w="90" w:type="dxa"/>
              <w:start w:w="90" w:type="dxa"/>
              <w:bottom w:w="90" w:type="dxa"/>
              <w:end w:w="90" w:type="dxa"/>
            </w:tcMar>
            <w:vAlign w:val="top"/>
          </w:tcPr>
          <w:p>
            <w:r>
              <w:t>A versioned tenant profile owns configured rules and thresholds. An evaluation records the exact profile version, every eligible rule result, uncapped and final scores, decision, and evaluation time.</w:t>
            </w:r>
          </w:p>
        </w:tc>
        <w:tc>
          <w:tcPr>
            <w:tcW w:type="dxa" w:w="3024"/>
            <w:tcMar>
              <w:top w:w="90" w:type="dxa"/>
              <w:start w:w="90" w:type="dxa"/>
              <w:bottom w:w="90" w:type="dxa"/>
              <w:end w:w="90" w:type="dxa"/>
            </w:tcMar>
            <w:vAlign w:val="top"/>
          </w:tcPr>
          <w:p>
            <w:r>
              <w:t>Risk evidence is append-only. Release 0.1 permits one automated initial evaluation per Payment; configuration changes never rewrite historical evaluations.</w:t>
            </w:r>
          </w:p>
        </w:tc>
      </w:tr>
      <w:tr>
        <w:trPr>
          <w:cantSplit/>
        </w:trPr>
        <w:tc>
          <w:tcPr>
            <w:tcW w:type="dxa" w:w="1944"/>
            <w:tcMar>
              <w:top w:w="90" w:type="dxa"/>
              <w:start w:w="90" w:type="dxa"/>
              <w:bottom w:w="90" w:type="dxa"/>
              <w:end w:w="90" w:type="dxa"/>
            </w:tcMar>
            <w:vAlign w:val="top"/>
          </w:tcPr>
          <w:p>
            <w:r>
              <w:rPr>
                <w:sz w:val="17"/>
              </w:rPr>
              <w:t>Reversal</w:t>
            </w:r>
          </w:p>
        </w:tc>
        <w:tc>
          <w:tcPr>
            <w:tcW w:type="dxa" w:w="4824"/>
            <w:tcMar>
              <w:top w:w="90" w:type="dxa"/>
              <w:start w:w="90" w:type="dxa"/>
              <w:bottom w:w="90" w:type="dxa"/>
              <w:end w:w="90" w:type="dxa"/>
            </w:tcMar>
            <w:vAlign w:val="top"/>
          </w:tcPr>
          <w:p>
            <w:r>
              <w:rPr>
                <w:sz w:val="17"/>
              </w:rPr>
              <w:t>One independent asynchronous full-reversal workflow for an originating COMPLETED Payment, with references to immutable Payment Attempt records.</w:t>
            </w:r>
          </w:p>
        </w:tc>
        <w:tc>
          <w:tcPr>
            <w:tcW w:type="dxa" w:w="3024"/>
            <w:tcMar>
              <w:top w:w="90" w:type="dxa"/>
              <w:start w:w="90" w:type="dxa"/>
              <w:bottom w:w="90" w:type="dxa"/>
              <w:end w:w="90" w:type="dxa"/>
            </w:tcMar>
            <w:vAlign w:val="top"/>
          </w:tcPr>
          <w:p>
            <w:r>
              <w:rPr>
                <w:sz w:val="17"/>
              </w:rPr>
              <w:t>Separate aggregate from Payment; exactly one Reversal exists per Payment; partial and cumulative reversals are prohibited.</w:t>
            </w:r>
          </w:p>
        </w:tc>
      </w:tr>
      <w:tr>
        <w:trPr>
          <w:cantSplit/>
        </w:trPr>
        <w:tc>
          <w:tcPr>
            <w:tcW w:type="dxa" w:w="1944"/>
            <w:tcMar>
              <w:top w:w="90" w:type="dxa"/>
              <w:start w:w="90" w:type="dxa"/>
              <w:bottom w:w="90" w:type="dxa"/>
              <w:end w:w="90" w:type="dxa"/>
            </w:tcMar>
            <w:vAlign w:val="top"/>
          </w:tcPr>
          <w:p>
            <w:r>
              <w:rPr>
                <w:sz w:val="17"/>
              </w:rPr>
              <w:t>Settlement Batch</w:t>
            </w:r>
          </w:p>
        </w:tc>
        <w:tc>
          <w:tcPr>
            <w:tcW w:type="dxa" w:w="4824"/>
            <w:tcMar>
              <w:top w:w="90" w:type="dxa"/>
              <w:start w:w="90" w:type="dxa"/>
              <w:bottom w:w="90" w:type="dxa"/>
              <w:end w:w="90" w:type="dxa"/>
            </w:tcMar>
            <w:vAlign w:val="top"/>
          </w:tcPr>
          <w:p>
            <w:r>
              <w:rPr>
                <w:sz w:val="17"/>
              </w:rPr>
              <w:t>Immutable imported file metadata and validation summary.</w:t>
            </w:r>
          </w:p>
        </w:tc>
        <w:tc>
          <w:tcPr>
            <w:tcW w:type="dxa" w:w="3024"/>
            <w:tcMar>
              <w:top w:w="90" w:type="dxa"/>
              <w:start w:w="90" w:type="dxa"/>
              <w:bottom w:w="90" w:type="dxa"/>
              <w:end w:w="90" w:type="dxa"/>
            </w:tcMar>
            <w:vAlign w:val="top"/>
          </w:tcPr>
          <w:p>
            <w:r>
              <w:rPr>
                <w:sz w:val="17"/>
              </w:rPr>
              <w:t>Supports multiple versioned files for one date.</w:t>
            </w:r>
          </w:p>
        </w:tc>
      </w:tr>
      <w:tr>
        <w:trPr>
          <w:cantSplit/>
        </w:trPr>
        <w:tc>
          <w:tcPr>
            <w:tcW w:type="dxa" w:w="1944"/>
            <w:tcMar>
              <w:top w:w="90" w:type="dxa"/>
              <w:start w:w="90" w:type="dxa"/>
              <w:bottom w:w="90" w:type="dxa"/>
              <w:end w:w="90" w:type="dxa"/>
            </w:tcMar>
            <w:vAlign w:val="top"/>
          </w:tcPr>
          <w:p>
            <w:r>
              <w:rPr>
                <w:sz w:val="17"/>
              </w:rPr>
              <w:t>Reconciliation Run</w:t>
            </w:r>
          </w:p>
        </w:tc>
        <w:tc>
          <w:tcPr>
            <w:tcW w:type="dxa" w:w="4824"/>
            <w:tcMar>
              <w:top w:w="90" w:type="dxa"/>
              <w:start w:w="90" w:type="dxa"/>
              <w:bottom w:w="90" w:type="dxa"/>
              <w:end w:w="90" w:type="dxa"/>
            </w:tcMar>
            <w:vAlign w:val="top"/>
          </w:tcPr>
          <w:p>
            <w:r>
              <w:rPr>
                <w:sz w:val="17"/>
              </w:rPr>
              <w:t>Versioned matching execution and immutable result summary.</w:t>
            </w:r>
          </w:p>
        </w:tc>
        <w:tc>
          <w:tcPr>
            <w:tcW w:type="dxa" w:w="3024"/>
            <w:tcMar>
              <w:top w:w="90" w:type="dxa"/>
              <w:start w:w="90" w:type="dxa"/>
              <w:bottom w:w="90" w:type="dxa"/>
              <w:end w:w="90" w:type="dxa"/>
            </w:tcMar>
            <w:vAlign w:val="top"/>
          </w:tcPr>
          <w:p>
            <w:r>
              <w:rPr>
                <w:sz w:val="17"/>
              </w:rPr>
              <w:t>Reruns never overwrite previous runs.</w:t>
            </w:r>
          </w:p>
        </w:tc>
      </w:tr>
      <w:tr>
        <w:trPr>
          <w:cantSplit/>
        </w:trPr>
        <w:tc>
          <w:tcPr>
            <w:tcW w:type="dxa" w:w="1944"/>
            <w:tcMar>
              <w:top w:w="90" w:type="dxa"/>
              <w:start w:w="90" w:type="dxa"/>
              <w:bottom w:w="90" w:type="dxa"/>
              <w:end w:w="90" w:type="dxa"/>
            </w:tcMar>
            <w:vAlign w:val="top"/>
          </w:tcPr>
          <w:p>
            <w:r>
              <w:rPr>
                <w:sz w:val="17"/>
              </w:rPr>
              <w:t>Investigation Case</w:t>
            </w:r>
          </w:p>
        </w:tc>
        <w:tc>
          <w:tcPr>
            <w:tcW w:type="dxa" w:w="4824"/>
            <w:tcMar>
              <w:top w:w="90" w:type="dxa"/>
              <w:start w:w="90" w:type="dxa"/>
              <w:bottom w:w="90" w:type="dxa"/>
              <w:end w:w="90" w:type="dxa"/>
            </w:tcMar>
            <w:vAlign w:val="top"/>
          </w:tcPr>
          <w:p>
            <w:r>
              <w:rPr>
                <w:sz w:val="17"/>
              </w:rPr>
              <w:t>Assignment, evidence, notes, priority, resolution.</w:t>
            </w:r>
          </w:p>
        </w:tc>
        <w:tc>
          <w:tcPr>
            <w:tcW w:type="dxa" w:w="3024"/>
            <w:tcMar>
              <w:top w:w="90" w:type="dxa"/>
              <w:start w:w="90" w:type="dxa"/>
              <w:bottom w:w="90" w:type="dxa"/>
              <w:end w:w="90" w:type="dxa"/>
            </w:tcMar>
            <w:vAlign w:val="top"/>
          </w:tcPr>
          <w:p>
            <w:r>
              <w:rPr>
                <w:sz w:val="17"/>
              </w:rPr>
              <w:t>Notes and history are append-only.</w:t>
            </w:r>
          </w:p>
        </w:tc>
      </w:tr>
    </w:tbl>
    <w:p>
      <w:pPr>
        <w:widowControl/>
      </w:pPr>
    </w:p>
    <w:p>
      <w:pPr>
        <w:pStyle w:val="Heading2"/>
        <w:keepNext/>
        <w:widowControl/>
      </w:pPr>
      <w:r>
        <w:t>5.2 Core value objects</w:t>
      </w:r>
    </w:p>
    <w:p>
      <w:pPr>
        <w:pStyle w:val="ListBullet"/>
        <w:widowControl/>
        <w:spacing w:after="40"/>
      </w:pPr>
      <w:r>
        <w:t>Money</w:t>
      </w:r>
    </w:p>
    <w:p>
      <w:pPr>
        <w:pStyle w:val="ListBullet"/>
        <w:widowControl/>
        <w:spacing w:after="40"/>
      </w:pPr>
      <w:r>
        <w:t>Currency</w:t>
      </w:r>
    </w:p>
    <w:p>
      <w:pPr>
        <w:pStyle w:val="ListBullet"/>
        <w:widowControl/>
        <w:spacing w:after="40"/>
      </w:pPr>
      <w:r>
        <w:t>TenantId</w:t>
      </w:r>
    </w:p>
    <w:p>
      <w:pPr>
        <w:pStyle w:val="ListBullet"/>
        <w:widowControl/>
        <w:spacing w:after="40"/>
      </w:pPr>
      <w:r>
        <w:t>MerchantId</w:t>
      </w:r>
    </w:p>
    <w:p>
      <w:pPr>
        <w:pStyle w:val="ListBullet"/>
        <w:widowControl/>
        <w:spacing w:after="40"/>
      </w:pPr>
      <w:r>
        <w:t>CustomerId</w:t>
      </w:r>
    </w:p>
    <w:p>
      <w:pPr>
        <w:pStyle w:val="ListBullet"/>
        <w:widowControl/>
        <w:spacing w:after="40"/>
      </w:pPr>
      <w:r>
        <w:t>PaymentId</w:t>
      </w:r>
    </w:p>
    <w:p>
      <w:pPr>
        <w:pStyle w:val="ListBullet"/>
        <w:widowControl/>
        <w:spacing w:after="40"/>
      </w:pPr>
      <w:r>
        <w:t>ReversalId</w:t>
      </w:r>
    </w:p>
    <w:p>
      <w:pPr>
        <w:pStyle w:val="ListBullet"/>
        <w:widowControl/>
        <w:spacing w:after="40"/>
      </w:pPr>
      <w:r>
        <w:t>LedgerTransactionId</w:t>
      </w:r>
    </w:p>
    <w:p>
      <w:pPr>
        <w:pStyle w:val="ListBullet"/>
        <w:widowControl/>
        <w:spacing w:after="40"/>
      </w:pPr>
      <w:r>
        <w:t>ProviderReference</w:t>
      </w:r>
    </w:p>
    <w:p>
      <w:pPr>
        <w:pStyle w:val="ListBullet"/>
        <w:widowControl/>
        <w:spacing w:after="40"/>
      </w:pPr>
      <w:r>
        <w:t>MerchantReference</w:t>
      </w:r>
    </w:p>
    <w:p>
      <w:pPr>
        <w:pStyle w:val="ListBullet"/>
        <w:widowControl/>
        <w:spacing w:after="40"/>
      </w:pPr>
      <w:r>
        <w:t>IdempotencyKey</w:t>
      </w:r>
    </w:p>
    <w:p>
      <w:pPr>
        <w:pStyle w:val="ListBullet"/>
        <w:widowControl/>
        <w:spacing w:after="40"/>
      </w:pPr>
      <w:r>
        <w:t>RiskScore (integer from 0 through 100)</w:t>
      </w:r>
    </w:p>
    <w:p>
      <w:pPr>
        <w:pStyle w:val="ListBullet"/>
        <w:widowControl/>
        <w:spacing w:after="40"/>
      </w:pPr>
      <w:r>
        <w:t>Percentage</w:t>
      </w:r>
    </w:p>
    <w:p>
      <w:pPr>
        <w:pStyle w:val="ListBullet"/>
        <w:widowControl/>
        <w:spacing w:after="40"/>
      </w:pPr>
      <w:r>
        <w:t>AccountCode</w:t>
      </w:r>
    </w:p>
    <w:p>
      <w:pPr>
        <w:widowControl/>
        <w:spacing w:after="120"/>
      </w:pPr>
      <w:r>
        <w:t>Money uses BigDecimal and an explicit currency. Arithmetic between different currencies is prohibited. Negative payment values are prohibited; ledger direction is represented by debit or credit, not by negative amounts.</w:t>
      </w:r>
    </w:p>
    <w:p>
      <w:pPr>
        <w:pStyle w:val="Heading2"/>
        <w:keepNext/>
        <w:widowControl/>
      </w:pPr>
      <w:r>
        <w:t>5.3 Payment state machine</w:t>
      </w:r>
    </w:p>
    <w:p>
      <w:pPr>
        <w:pStyle w:val="CodeBlock"/>
        <w:keepLines/>
        <w:widowControl/>
      </w:pPr>
      <w:r>
        <w:t>PaymentStatus: CREATED | VALIDATING | RISK_REVIEW | APPROVED | REJECTED | PROCESSING | COMPLETED | FAILED | REVERSED</w:t>
        <w:br/>
        <w:br/>
        <w:t>CREATED -&gt; VALIDATING</w:t>
        <w:br/>
        <w:t>VALIDATING -&gt; APPROVED | RISK_REVIEW | REJECTED</w:t>
        <w:br/>
        <w:t>RISK_REVIEW -&gt; APPROVED | REJECTED</w:t>
        <w:br/>
        <w:t>APPROVED -&gt; PROCESSING</w:t>
        <w:br/>
        <w:t>PROCESSING -&gt; COMPLETED | FAILED</w:t>
        <w:br/>
        <w:t>COMPLETED -&gt; REVERSED</w:t>
        <w:br/>
        <w:br/>
        <w:t>REJECTED, FAILED, and REVERSED are terminal.</w:t>
      </w:r>
    </w:p>
    <w:tbl>
      <w:tblPr>
        <w:tblW w:type="auto" w:w="0"/>
        <w:jc w:val="center"/>
        <w:tblLook w:firstColumn="1" w:firstRow="1" w:lastColumn="0" w:lastRow="0" w:noHBand="0" w:noVBand="1" w:val="04A0"/>
      </w:tblPr>
      <w:tblGrid>
        <w:gridCol w:w="10080"/>
      </w:tblGrid>
      <w:tr>
        <w:trPr>
          <w:cantSplit/>
        </w:trPr>
        <w:tc>
          <w:tcPr>
            <w:tcW w:type="dxa" w:w="10080"/>
            <w:shd w:fill="E2F0D9"/>
            <w:tcMar>
              <w:top w:w="120" w:type="dxa"/>
              <w:start w:w="140" w:type="dxa"/>
              <w:bottom w:w="120" w:type="dxa"/>
              <w:end w:w="140" w:type="dxa"/>
            </w:tcMar>
          </w:tcPr>
          <w:p>
            <w:r>
              <w:rPr>
                <w:b/>
              </w:rPr>
              <w:t>Meaning of COMPLETED: The provider has confirmed SUCCESS and exactly one corresponding balanced ledger transaction has committed atomically. It does not mean settlement reconciliation has completed. Provider submission, retry, timeout, ambiguity, callback, and recovery progress never create additional PaymentStatus values.</w:t>
            </w:r>
          </w:p>
        </w:tc>
      </w:tr>
    </w:tbl>
    <w:p>
      <w:pPr>
        <w:widowControl/>
      </w:pPr>
    </w:p>
    <w:p>
      <w:pPr>
        <w:pStyle w:val="CodeBlock"/>
      </w:pPr>
      <w:r>
        <w:t>ReconciliationStatus: NOT_APPLICABLE | AWAITING_BATCH | PENDING | MATCHED | DISCREPANCY</w:t>
      </w:r>
    </w:p>
    <w:p>
      <w:pPr/>
      <w:r>
        <w:t>PaymentStatus, ReversalStatus, ReconciliationStatus, and provider-attempt progress are separate dimensions with independent histories. Reconciliation never becomes part of PaymentStatus. Reconciliation history remains immutable.</w:t>
      </w:r>
    </w:p>
    <w:p>
      <w:pPr>
        <w:pStyle w:val="Heading2"/>
        <w:keepNext/>
        <w:widowControl/>
      </w:pPr>
      <w:r>
        <w:t>5.4 Reversal state machine</w:t>
      </w:r>
    </w:p>
    <w:p>
      <w:pPr>
        <w:pStyle w:val="CodeBlock"/>
        <w:keepLines/>
        <w:widowControl/>
      </w:pPr>
      <w:r>
        <w:t>ReversalStatus: REQUESTED | PROCESSING | FAILED | COMPLETED</w:t>
        <w:br/>
        <w:br/>
        <w:t>REQUESTED -&gt; PROCESSING</w:t>
        <w:br/>
        <w:t>PROCESSING -&gt; COMPLETED | FAILED</w:t>
        <w:br/>
        <w:t>FAILED -&gt; PROCESSING</w:t>
      </w:r>
    </w:p>
    <w:p>
      <w:pPr>
        <w:pStyle w:val="ListBullet"/>
        <w:widowControl/>
        <w:spacing w:after="40"/>
      </w:pPr>
      <w:r>
        <w:t>Exactly one Reversal workflow exists for each originating COMPLETED Payment.</w:t>
      </w:r>
    </w:p>
    <w:p>
      <w:pPr>
        <w:pStyle w:val="ListBullet"/>
        <w:widowControl/>
        <w:spacing w:after="40"/>
      </w:pPr>
      <w:r>
        <w:t>Partial reversals, cumulative reversal amounts, additional Reversal aggregates for the same Payment, and multiple completed reversals are prohibited.</w:t>
      </w:r>
    </w:p>
    <w:p>
      <w:pPr>
        <w:pStyle w:val="ListBullet"/>
        <w:widowControl/>
        <w:spacing w:after="40"/>
      </w:pPr>
      <w:r>
        <w:t>FAILED -&gt; PROCESSING is allowed only when an authorised safe retry begins. The retry creates a new immutable Payment Attempt inside the same Reversal workflow; previous attempts remain unchanged and visible. REQUESTED, PROCESSING, and FAILED leave Payment COMPLETED.</w:t>
      </w:r>
    </w:p>
    <w:p>
      <w:pPr>
        <w:pStyle w:val="ListBullet"/>
        <w:widowControl/>
        <w:spacing w:after="40"/>
      </w:pPr>
      <w:r>
        <w:t>On provider-confirmed success, one PostgreSQL transaction posts exactly one balanced compensating ledger transaction, marks the Reversal COMPLETED, and changes Payment from COMPLETED to REVERSED. Any failure rolls back all three effects.</w:t>
      </w:r>
    </w:p>
    <w:p>
      <w:pPr>
        <w:pStyle w:val="Heading2"/>
        <w:keepNext/>
        <w:widowControl/>
      </w:pPr>
      <w:r>
        <w:t>5.5 Ledger model</w:t>
      </w:r>
    </w:p>
    <w:p>
      <w:pPr>
        <w:widowControl/>
        <w:spacing w:after="120"/>
      </w:pPr>
      <w:r>
        <w:t>LedgerOps implements a limited but strict double-entry ledger. Every posted transaction contains at least two entries and must balance by currency. The first release prohibits mixed-currency postings within one ledger transaction.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Initial account category</w:t>
            </w:r>
          </w:p>
        </w:tc>
        <w:tc>
          <w:tcPr>
            <w:tcW w:type="dxa" w:w="6480"/>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3312"/>
            <w:tcMar>
              <w:top w:w="90" w:type="dxa"/>
              <w:start w:w="90" w:type="dxa"/>
              <w:bottom w:w="90" w:type="dxa"/>
              <w:end w:w="90" w:type="dxa"/>
            </w:tcMar>
            <w:vAlign w:val="top"/>
          </w:tcPr>
          <w:p>
            <w:r>
              <w:rPr>
                <w:sz w:val="17"/>
              </w:rPr>
              <w:t>CUSTOMER_RECEIVABLE</w:t>
            </w:r>
          </w:p>
        </w:tc>
        <w:tc>
          <w:tcPr>
            <w:tcW w:type="dxa" w:w="6480"/>
            <w:tcMar>
              <w:top w:w="90" w:type="dxa"/>
              <w:start w:w="90" w:type="dxa"/>
              <w:bottom w:w="90" w:type="dxa"/>
              <w:end w:w="90" w:type="dxa"/>
            </w:tcMar>
            <w:vAlign w:val="top"/>
          </w:tcPr>
          <w:p>
            <w:r>
              <w:rPr>
                <w:sz w:val="17"/>
              </w:rPr>
              <w:t>Represents amount receivable for the customer-side payment obligation.</w:t>
            </w:r>
          </w:p>
        </w:tc>
      </w:tr>
      <w:tr>
        <w:trPr>
          <w:cantSplit/>
        </w:trPr>
        <w:tc>
          <w:tcPr>
            <w:tcW w:type="dxa" w:w="3312"/>
            <w:tcMar>
              <w:top w:w="90" w:type="dxa"/>
              <w:start w:w="90" w:type="dxa"/>
              <w:bottom w:w="90" w:type="dxa"/>
              <w:end w:w="90" w:type="dxa"/>
            </w:tcMar>
            <w:vAlign w:val="top"/>
          </w:tcPr>
          <w:p>
            <w:r>
              <w:rPr>
                <w:sz w:val="17"/>
              </w:rPr>
              <w:t>MERCHANT_PAYABLE</w:t>
            </w:r>
          </w:p>
        </w:tc>
        <w:tc>
          <w:tcPr>
            <w:tcW w:type="dxa" w:w="6480"/>
            <w:tcMar>
              <w:top w:w="90" w:type="dxa"/>
              <w:start w:w="90" w:type="dxa"/>
              <w:bottom w:w="90" w:type="dxa"/>
              <w:end w:w="90" w:type="dxa"/>
            </w:tcMar>
            <w:vAlign w:val="top"/>
          </w:tcPr>
          <w:p>
            <w:r>
              <w:rPr>
                <w:sz w:val="17"/>
              </w:rPr>
              <w:t>Represents amount payable to the merchant.</w:t>
            </w:r>
          </w:p>
        </w:tc>
      </w:tr>
      <w:tr>
        <w:trPr>
          <w:cantSplit/>
        </w:trPr>
        <w:tc>
          <w:tcPr>
            <w:tcW w:type="dxa" w:w="3312"/>
            <w:tcMar>
              <w:top w:w="90" w:type="dxa"/>
              <w:start w:w="90" w:type="dxa"/>
              <w:bottom w:w="90" w:type="dxa"/>
              <w:end w:w="90" w:type="dxa"/>
            </w:tcMar>
            <w:vAlign w:val="top"/>
          </w:tcPr>
          <w:p>
            <w:r>
              <w:rPr>
                <w:sz w:val="17"/>
              </w:rPr>
              <w:t>PROVIDER_CLEARING</w:t>
            </w:r>
          </w:p>
        </w:tc>
        <w:tc>
          <w:tcPr>
            <w:tcW w:type="dxa" w:w="6480"/>
            <w:tcMar>
              <w:top w:w="90" w:type="dxa"/>
              <w:start w:w="90" w:type="dxa"/>
              <w:bottom w:w="90" w:type="dxa"/>
              <w:end w:w="90" w:type="dxa"/>
            </w:tcMar>
            <w:vAlign w:val="top"/>
          </w:tcPr>
          <w:p>
            <w:r>
              <w:rPr>
                <w:sz w:val="17"/>
              </w:rPr>
              <w:t>Tracks value expected through the provider.</w:t>
            </w:r>
          </w:p>
        </w:tc>
      </w:tr>
      <w:tr>
        <w:trPr>
          <w:cantSplit/>
        </w:trPr>
        <w:tc>
          <w:tcPr>
            <w:tcW w:type="dxa" w:w="3312"/>
            <w:tcMar>
              <w:top w:w="90" w:type="dxa"/>
              <w:start w:w="90" w:type="dxa"/>
              <w:bottom w:w="90" w:type="dxa"/>
              <w:end w:w="90" w:type="dxa"/>
            </w:tcMar>
            <w:vAlign w:val="top"/>
          </w:tcPr>
          <w:p>
            <w:r>
              <w:rPr>
                <w:sz w:val="17"/>
              </w:rPr>
              <w:t>PLATFORM_FEE_REVENUE</w:t>
            </w:r>
          </w:p>
        </w:tc>
        <w:tc>
          <w:tcPr>
            <w:tcW w:type="dxa" w:w="6480"/>
            <w:tcMar>
              <w:top w:w="90" w:type="dxa"/>
              <w:start w:w="90" w:type="dxa"/>
              <w:bottom w:w="90" w:type="dxa"/>
              <w:end w:w="90" w:type="dxa"/>
            </w:tcMar>
            <w:vAlign w:val="top"/>
          </w:tcPr>
          <w:p>
            <w:r>
              <w:rPr>
                <w:sz w:val="17"/>
              </w:rPr>
              <w:t>Records simulated platform fee revenue.</w:t>
            </w:r>
          </w:p>
        </w:tc>
      </w:tr>
      <w:tr>
        <w:trPr>
          <w:cantSplit/>
        </w:trPr>
        <w:tc>
          <w:tcPr>
            <w:tcW w:type="dxa" w:w="3312"/>
            <w:tcMar>
              <w:top w:w="90" w:type="dxa"/>
              <w:start w:w="90" w:type="dxa"/>
              <w:bottom w:w="90" w:type="dxa"/>
              <w:end w:w="90" w:type="dxa"/>
            </w:tcMar>
            <w:vAlign w:val="top"/>
          </w:tcPr>
          <w:p>
            <w:r>
              <w:rPr>
                <w:sz w:val="17"/>
              </w:rPr>
              <w:t>REVERSAL_PAYABLE</w:t>
            </w:r>
          </w:p>
        </w:tc>
        <w:tc>
          <w:tcPr>
            <w:tcW w:type="dxa" w:w="6480"/>
            <w:tcMar>
              <w:top w:w="90" w:type="dxa"/>
              <w:start w:w="90" w:type="dxa"/>
              <w:bottom w:w="90" w:type="dxa"/>
              <w:end w:w="90" w:type="dxa"/>
            </w:tcMar>
            <w:vAlign w:val="top"/>
          </w:tcPr>
          <w:p>
            <w:r>
              <w:rPr>
                <w:sz w:val="17"/>
              </w:rPr>
              <w:t>Tracks authorised full-reversal obligations; it does not imply an APPROVED ReversalStatus.</w:t>
            </w:r>
          </w:p>
        </w:tc>
      </w:tr>
      <w:tr>
        <w:trPr>
          <w:cantSplit/>
        </w:trPr>
        <w:tc>
          <w:tcPr>
            <w:tcW w:type="dxa" w:w="3312"/>
            <w:tcMar>
              <w:top w:w="90" w:type="dxa"/>
              <w:start w:w="90" w:type="dxa"/>
              <w:bottom w:w="90" w:type="dxa"/>
              <w:end w:w="90" w:type="dxa"/>
            </w:tcMar>
            <w:vAlign w:val="top"/>
          </w:tcPr>
          <w:p>
            <w:r>
              <w:rPr>
                <w:sz w:val="17"/>
              </w:rPr>
              <w:t>SETTLEMENT_RECEIVABLE</w:t>
            </w:r>
          </w:p>
        </w:tc>
        <w:tc>
          <w:tcPr>
            <w:tcW w:type="dxa" w:w="6480"/>
            <w:tcMar>
              <w:top w:w="90" w:type="dxa"/>
              <w:start w:w="90" w:type="dxa"/>
              <w:bottom w:w="90" w:type="dxa"/>
              <w:end w:w="90" w:type="dxa"/>
            </w:tcMar>
            <w:vAlign w:val="top"/>
          </w:tcPr>
          <w:p>
            <w:r>
              <w:rPr>
                <w:sz w:val="17"/>
              </w:rPr>
              <w:t>Tracks settlement value expected from provider files.</w:t>
            </w:r>
          </w:p>
        </w:tc>
      </w:tr>
    </w:tbl>
    <w:p>
      <w:pPr>
        <w:widowControl/>
      </w:pPr>
    </w:p>
    <w:p>
      <w:pPr>
        <w:pStyle w:val="Heading3"/>
      </w:pPr>
      <w:r>
        <w:t>5.5.1 Account model and lifecycle</w:t>
      </w:r>
    </w:p>
    <w:p>
      <w:pPr/>
      <w:r>
        <w:t>A Ledger account contains accountId, tenantId, accountCode, currency, status, and createdAt. accountId, tenantId, accountCode, currency, createdAt, and status are immutable in Release 0.1. LedgerAccountStatus contains exactly ACTIVE, and every account is created ACTIVE. Release 0.1 defines no transition, suspension, closure, reactivation, archival, or deletion. Additional statuses require a future Product Definition revision and ADR.</w:t>
      </w:r>
    </w:p>
    <w:p>
      <w:pPr/>
      <w:r>
        <w:t>The initial account-code catalog is closed and contains exactly the six categories in the preceding table. Release 0.1 does not permit a persisted account with another code.</w:t>
      </w:r>
    </w:p>
    <w:p>
      <w:pPr>
        <w:pStyle w:val="Heading3"/>
      </w:pPr>
      <w:r>
        <w:t>5.5.2 Persistence identity and history</w:t>
      </w:r>
    </w:p>
    <w:p>
      <w:pPr/>
      <w:r>
        <w:t>Ledger owns the account, transaction, and entry records in its schema. The account table enforces UNIQUE (tenant_id, account_code, currency), non-null tenant ownership, a valid currency, ACTIVE as the only status, and the approved account-code catalog. The same account code and currency may exist for different tenants; one tenant may use the same code for different currencies.</w:t>
      </w:r>
    </w:p>
    <w:p>
      <w:pPr/>
      <w:r>
        <w:t>Each Ledger entry references one Ledger account by accountId within the Ledger schema. LedgerAccount does not embed an unbounded entry or transaction collection. Account history is derived by querying append-only entries by accountId. Posted entries and transactions cannot be updated or deleted, and accounts cannot be deleted.</w:t>
      </w:r>
    </w:p>
    <w:p>
      <w:pPr>
        <w:pStyle w:val="Heading3"/>
      </w:pPr>
      <w:r>
        <w:t>5.5.3 Posting validation and atomic failure</w:t>
      </w:r>
    </w:p>
    <w:p>
      <w:pPr/>
      <w:r>
        <w:t>Before a posting is persisted, Ledger loads every referenced account and verifies that it exists, belongs to the Ledger transaction tenant, uses the transaction currency, and has status ACTIVE. Account validation occurs in the same short PostgreSQL transaction as the balanced posting. Any violation rejects and rolls back the complete posting; no transaction or partial entry set survives.</w:t>
      </w:r>
    </w:p>
    <w:p>
      <w:pPr>
        <w:pStyle w:val="Heading3"/>
      </w:pPr>
      <w:r>
        <w:t>5.5.4 Release 0.1 scope</w:t>
      </w:r>
    </w:p>
    <w:p>
      <w:pPr/>
      <w:r>
        <w:t>Release 0.1 implements the Ledger account domain model and persistence, the approved catalog, ACTIVE status, uniqueness and ownership constraints, posting lookup, queryable history, and PostgreSQL/Testcontainers evidence. It excludes account-management UI, suspension, closure, reactivation, deletion, manual administration, authorization workflows, status-change auditing, and additional account types.</w:t>
      </w:r>
    </w:p>
    <w:p>
      <w:pPr>
        <w:pStyle w:val="Heading2"/>
        <w:keepNext/>
        <w:widowControl/>
      </w:pPr>
      <w:r>
        <w:t>5.6 Atomic Payment completion</w:t>
      </w:r>
    </w:p>
    <w:p>
      <w:pPr>
        <w:pStyle w:val="ListNumber"/>
        <w:widowControl/>
        <w:numPr>
          <w:ilvl w:val="0"/>
          <w:numId w:val="10"/>
        </w:numPr>
        <w:spacing w:after="40"/>
      </w:pPr>
      <w:r>
        <w:t>Begin a PostgreSQL transaction and lock the Payment row.</w:t>
      </w:r>
    </w:p>
    <w:p>
      <w:pPr>
        <w:pStyle w:val="ListNumber"/>
        <w:widowControl/>
        <w:numPr>
          <w:ilvl w:val="0"/>
          <w:numId w:val="10"/>
        </w:numPr>
        <w:spacing w:after="40"/>
      </w:pPr>
      <w:r>
        <w:t>Validate that the current state permits completion and that the provider event is not already processed.</w:t>
      </w:r>
    </w:p>
    <w:p>
      <w:pPr>
        <w:pStyle w:val="ListNumber"/>
        <w:widowControl/>
        <w:numPr>
          <w:ilvl w:val="0"/>
          <w:numId w:val="10"/>
        </w:numPr>
        <w:spacing w:after="40"/>
      </w:pPr>
      <w:r>
        <w:t>Create and validate exactly one corresponding balanced Ledger Transaction.</w:t>
      </w:r>
    </w:p>
    <w:p>
      <w:pPr>
        <w:pStyle w:val="ListNumber"/>
        <w:widowControl/>
        <w:numPr>
          <w:ilvl w:val="0"/>
          <w:numId w:val="10"/>
        </w:numPr>
        <w:spacing w:after="40"/>
      </w:pPr>
      <w:r>
        <w:t>Persist immutable ledger entries.</w:t>
      </w:r>
    </w:p>
    <w:p>
      <w:pPr>
        <w:pStyle w:val="ListNumber"/>
        <w:widowControl/>
        <w:numPr>
          <w:ilvl w:val="0"/>
          <w:numId w:val="10"/>
        </w:numPr>
        <w:spacing w:after="40"/>
      </w:pPr>
      <w:r>
        <w:t>Mark the Payment as COMPLETED.</w:t>
      </w:r>
    </w:p>
    <w:p>
      <w:pPr>
        <w:pStyle w:val="ListNumber"/>
        <w:widowControl/>
        <w:numPr>
          <w:ilvl w:val="0"/>
          <w:numId w:val="10"/>
        </w:numPr>
        <w:spacing w:after="40"/>
      </w:pPr>
      <w:r>
        <w:t>Persist provider-processing evidence and the inbox record.</w:t>
      </w:r>
    </w:p>
    <w:p>
      <w:pPr>
        <w:pStyle w:val="ListNumber"/>
        <w:widowControl/>
        <w:numPr>
          <w:ilvl w:val="0"/>
          <w:numId w:val="10"/>
        </w:numPr>
        <w:spacing w:after="40"/>
      </w:pPr>
      <w:r>
        <w:t>Insert resulting outbox events.</w:t>
      </w:r>
    </w:p>
    <w:p>
      <w:pPr>
        <w:pStyle w:val="ListNumber"/>
        <w:widowControl/>
        <w:numPr>
          <w:ilvl w:val="0"/>
          <w:numId w:val="10"/>
        </w:numPr>
        <w:spacing w:after="40"/>
      </w:pPr>
      <w:r>
        <w:t>Commit. Any failure rolls back every step.</w:t>
      </w:r>
    </w:p>
    <w:p>
      <w:pPr>
        <w:pStyle w:val="Heading2"/>
        <w:keepNext/>
        <w:widowControl/>
      </w:pPr>
      <w:r>
        <w:t>5.7 Idempotency and concurrency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Concern</w:t>
            </w:r>
          </w:p>
        </w:tc>
        <w:tc>
          <w:tcPr>
            <w:tcW w:type="dxa" w:w="6912"/>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880"/>
            <w:tcMar>
              <w:top w:w="90" w:type="dxa"/>
              <w:start w:w="90" w:type="dxa"/>
              <w:bottom w:w="90" w:type="dxa"/>
              <w:end w:w="90" w:type="dxa"/>
            </w:tcMar>
            <w:vAlign w:val="top"/>
          </w:tcPr>
          <w:p>
            <w:r>
              <w:rPr>
                <w:sz w:val="17"/>
              </w:rPr>
              <w:t>Payment API idempotency</w:t>
            </w:r>
          </w:p>
        </w:tc>
        <w:tc>
          <w:tcPr>
            <w:tcW w:type="dxa" w:w="6912"/>
            <w:tcMar>
              <w:top w:w="90" w:type="dxa"/>
              <w:start w:w="90" w:type="dxa"/>
              <w:bottom w:w="90" w:type="dxa"/>
              <w:end w:w="90" w:type="dxa"/>
            </w:tcMar>
            <w:vAlign w:val="top"/>
          </w:tcPr>
          <w:p>
            <w:r>
              <w:rPr>
                <w:sz w:val="17"/>
              </w:rPr>
              <w:t>Unique boundary: tenantId + idempotencyKey. The namespace is tenant-wide. Equivalent repeated requests under the same tenant and key return the original logical result. Reuse with materially different content, including a different merchant, returns an explicit idempotency conflict. merchantId is not part of the uniqueness boundary.</w:t>
            </w:r>
          </w:p>
        </w:tc>
      </w:tr>
      <w:tr>
        <w:trPr>
          <w:cantSplit/>
        </w:trPr>
        <w:tc>
          <w:tcPr>
            <w:tcW w:type="dxa" w:w="2880"/>
            <w:tcMar>
              <w:top w:w="90" w:type="dxa"/>
              <w:start w:w="90" w:type="dxa"/>
              <w:bottom w:w="90" w:type="dxa"/>
              <w:end w:w="90" w:type="dxa"/>
            </w:tcMar>
            <w:vAlign w:val="top"/>
          </w:tcPr>
          <w:p>
            <w:r>
              <w:rPr>
                <w:sz w:val="17"/>
              </w:rPr>
              <w:t>Concurrent duplicate requests</w:t>
            </w:r>
          </w:p>
        </w:tc>
        <w:tc>
          <w:tcPr>
            <w:tcW w:type="dxa" w:w="6912"/>
            <w:tcMar>
              <w:top w:w="90" w:type="dxa"/>
              <w:start w:w="90" w:type="dxa"/>
              <w:bottom w:w="90" w:type="dxa"/>
              <w:end w:w="90" w:type="dxa"/>
            </w:tcMar>
            <w:vAlign w:val="top"/>
          </w:tcPr>
          <w:p>
            <w:r>
              <w:rPr>
                <w:sz w:val="17"/>
              </w:rPr>
              <w:t>A unique database constraint on (tenant_id, idempotency_key) and narrow locking ensure one Payment is created. merchant_id is excluded from the uniqueness constraint and remains part of request-content comparison.</w:t>
            </w:r>
          </w:p>
        </w:tc>
      </w:tr>
      <w:tr>
        <w:trPr>
          <w:cantSplit/>
        </w:trPr>
        <w:tc>
          <w:tcPr>
            <w:tcW w:type="dxa" w:w="2880"/>
            <w:tcMar>
              <w:top w:w="90" w:type="dxa"/>
              <w:start w:w="90" w:type="dxa"/>
              <w:bottom w:w="90" w:type="dxa"/>
              <w:end w:w="90" w:type="dxa"/>
            </w:tcMar>
            <w:vAlign w:val="top"/>
          </w:tcPr>
          <w:p>
            <w:r>
              <w:rPr>
                <w:sz w:val="17"/>
              </w:rPr>
              <w:t>Aggregate concurrency</w:t>
            </w:r>
          </w:p>
        </w:tc>
        <w:tc>
          <w:tcPr>
            <w:tcW w:type="dxa" w:w="6912"/>
            <w:tcMar>
              <w:top w:w="90" w:type="dxa"/>
              <w:start w:w="90" w:type="dxa"/>
              <w:bottom w:w="90" w:type="dxa"/>
              <w:end w:w="90" w:type="dxa"/>
            </w:tcMar>
            <w:vAlign w:val="top"/>
          </w:tcPr>
          <w:p>
            <w:r>
              <w:rPr>
                <w:sz w:val="17"/>
              </w:rPr>
              <w:t>Optimistic locking by default.</w:t>
            </w:r>
          </w:p>
        </w:tc>
      </w:tr>
      <w:tr>
        <w:trPr>
          <w:cantSplit/>
        </w:trPr>
        <w:tc>
          <w:tcPr>
            <w:tcW w:type="dxa" w:w="2880"/>
            <w:tcMar>
              <w:top w:w="90" w:type="dxa"/>
              <w:start w:w="90" w:type="dxa"/>
              <w:bottom w:w="90" w:type="dxa"/>
              <w:end w:w="90" w:type="dxa"/>
            </w:tcMar>
            <w:vAlign w:val="top"/>
          </w:tcPr>
          <w:p>
            <w:r>
              <w:rPr>
                <w:sz w:val="17"/>
              </w:rPr>
              <w:t>High-contention operations</w:t>
            </w:r>
          </w:p>
        </w:tc>
        <w:tc>
          <w:tcPr>
            <w:tcW w:type="dxa" w:w="6912"/>
            <w:tcMar>
              <w:top w:w="90" w:type="dxa"/>
              <w:start w:w="90" w:type="dxa"/>
              <w:bottom w:w="90" w:type="dxa"/>
              <w:end w:w="90" w:type="dxa"/>
            </w:tcMar>
            <w:vAlign w:val="top"/>
          </w:tcPr>
          <w:p>
            <w:r>
              <w:rPr>
                <w:sz w:val="17"/>
              </w:rPr>
              <w:t>Narrow pessimistic locking for payment completion, one-Reversal-per-Payment eligibility, safe Reversal retry, atomic Reversal completion, and idempotency acquisition.</w:t>
            </w:r>
          </w:p>
        </w:tc>
      </w:tr>
      <w:tr>
        <w:trPr>
          <w:cantSplit/>
        </w:trPr>
        <w:tc>
          <w:tcPr>
            <w:tcW w:type="dxa" w:w="2880"/>
            <w:tcMar>
              <w:top w:w="90" w:type="dxa"/>
              <w:start w:w="90" w:type="dxa"/>
              <w:bottom w:w="90" w:type="dxa"/>
              <w:end w:w="90" w:type="dxa"/>
            </w:tcMar>
            <w:vAlign w:val="top"/>
          </w:tcPr>
          <w:p>
            <w:r>
              <w:rPr>
                <w:sz w:val="17"/>
              </w:rPr>
              <w:t>Distributed locks</w:t>
            </w:r>
          </w:p>
        </w:tc>
        <w:tc>
          <w:tcPr>
            <w:tcW w:type="dxa" w:w="6912"/>
            <w:tcMar>
              <w:top w:w="90" w:type="dxa"/>
              <w:start w:w="90" w:type="dxa"/>
              <w:bottom w:w="90" w:type="dxa"/>
              <w:end w:w="90" w:type="dxa"/>
            </w:tcMar>
            <w:vAlign w:val="top"/>
          </w:tcPr>
          <w:p>
            <w:r>
              <w:rPr>
                <w:sz w:val="17"/>
              </w:rPr>
              <w:t>Rejected for financial correctness when database constraints or row locks are sufficient.</w:t>
            </w:r>
          </w:p>
        </w:tc>
      </w:tr>
      <w:tr>
        <w:trPr>
          <w:cantSplit/>
        </w:trPr>
        <w:tc>
          <w:tcPr>
            <w:tcW w:type="dxa" w:w="2880"/>
            <w:tcMar>
              <w:top w:w="90" w:type="dxa"/>
              <w:start w:w="90" w:type="dxa"/>
              <w:bottom w:w="90" w:type="dxa"/>
              <w:end w:w="90" w:type="dxa"/>
            </w:tcMar>
            <w:vAlign w:val="top"/>
          </w:tcPr>
          <w:p>
            <w:r>
              <w:rPr>
                <w:sz w:val="17"/>
              </w:rPr>
              <w:t>Time</w:t>
            </w:r>
          </w:p>
        </w:tc>
        <w:tc>
          <w:tcPr>
            <w:tcW w:type="dxa" w:w="6912"/>
            <w:tcMar>
              <w:top w:w="90" w:type="dxa"/>
              <w:start w:w="90" w:type="dxa"/>
              <w:bottom w:w="90" w:type="dxa"/>
              <w:end w:w="90" w:type="dxa"/>
            </w:tcMar>
            <w:vAlign w:val="top"/>
          </w:tcPr>
          <w:p>
            <w:r>
              <w:rPr>
                <w:sz w:val="17"/>
              </w:rPr>
              <w:t>Domain logic receives an injected Clock; direct widespread calls to Instant.now() are prohibited.</w:t>
            </w:r>
          </w:p>
        </w:tc>
      </w:tr>
    </w:tbl>
    <w:p>
      <w:pPr>
        <w:widowControl/>
      </w:pPr>
    </w:p>
    <w:p>
      <w:pPr>
        <w:pStyle w:val="Heading2"/>
      </w:pPr>
      <w:r>
        <w:t>5.8 Release 0.1 synchronous Risk model</w:t>
      </w:r>
    </w:p>
    <w:p>
      <w:pPr>
        <w:pStyle w:val="Heading3"/>
      </w:pPr>
      <w:r>
        <w:t>5.8.1 Ownership and published interface</w:t>
      </w:r>
    </w:p>
    <w:p>
      <w:r>
        <w:t>Risk owns tenant Risk profiles and versions, configured rules, score calculation, Risk decisions, append-only Risk Evaluations, and evaluated-rule results. Payment owns the Payment lifecycle, Payment persistence, and orchestration of the cross-module transaction.</w:t>
      </w:r>
    </w:p>
    <w:p>
      <w:r>
        <w:t>The Payment application layer calls a published risk::api interface. The request contains neutral values: tenantId, paymentId, amount, and currency. The result contains profileId, profileVersion, uncappedScore, finalScore, decision, and evaluationId. Payment maps APPROVE to approve(), MANUAL_REVIEW to requestRiskReview(), and REJECT to reject().</w:t>
      </w:r>
    </w:p>
    <w:p>
      <w:r>
        <w:t>Risk does not depend on Payment domain classes, query Payment tables, mutate Payment, or access another module's schema. Payment does not query Risk tables, persist Risk records, place thresholds or rules inside the Payment aggregate, or add Risk behavior to PaymentCreationService. No cross-schema foreign key links Risk and Payment.</w:t>
      </w:r>
    </w:p>
    <w:p>
      <w:pPr>
        <w:pStyle w:val="Heading3"/>
      </w:pPr>
      <w:r>
        <w:t>5.8.2 Versioned profile and rule data</w:t>
      </w:r>
    </w:p>
    <w:p>
      <w:r>
        <w:t>Every tenant has one explicitly persisted active Risk profile version. A profile contains profileId, tenantId, version, reviewThreshold, rejectThreshold, active, and createdAt. Rules belong to one exact profile version. There is no implicit global or runtime fallback profile.</w:t>
      </w:r>
    </w:p>
    <w:p>
      <w:r>
        <w:t>Release 0.1 supports exactly PAYMENT_AMOUNT_THRESHOLD. A profile may contain multiple instances. Each configuration contains ruleId, profileId, currency, amountThreshold, scoreContribution, and enabled. amountThreshold must be greater than zero; scoreContribution must be an integer from 1 through 100.</w:t>
      </w:r>
    </w:p>
    <w:p>
      <w:r>
        <w:t>A rule is eligible only when it is enabled and its currency equals the Payment currency. At least one enabled rule must be eligible. An eligible rule triggers when paymentAmount &gt;= amountThreshold.</w:t>
      </w:r>
    </w:p>
    <w:p>
      <w:r>
        <w:t>Each append-only Risk Evaluation records evaluationId, tenantId, paymentId, profileId, profileVersion, uncappedScore, finalScore, decision, and evaluatedAt. Each evaluated-rule result records ruleId, ruleType, currency, amountThreshold, configuredContribution, triggered, and appliedContribution. appliedContribution is zero for a non-triggered rule.</w:t>
      </w:r>
    </w:p>
    <w:p>
      <w:pPr>
        <w:pStyle w:val="Heading3"/>
      </w:pPr>
      <w:r>
        <w:t>5.8.3 Scoring and decision algorithm</w:t>
      </w:r>
    </w:p>
    <w:p>
      <w:r>
        <w:t>RiskScore is an integer from 0 through 100. Evaluate every eligible rule. uncappedScore is the sum of applied contributions from triggered eligible rules. finalScore = min(100, uncappedScore). Persist both scores.</w:t>
      </w:r>
    </w:p>
    <w:p>
      <w:r>
        <w:t>Thresholds satisfy 1 &lt;= reviewThreshold &lt; rejectThreshold &lt;= 100. finalScore &lt; reviewThreshold produces APPROVE. reviewThreshold &lt;= finalScore &lt; rejectThreshold produces MANUAL_REVIEW. finalScore &gt;= rejectThreshold produces REJECT.</w:t>
      </w:r>
    </w:p>
    <w:p>
      <w:pPr>
        <w:pStyle w:val="Heading3"/>
      </w:pPr>
      <w:r>
        <w:t>5.8.4 Payment-owned two-transaction orchestration</w:t>
      </w:r>
    </w:p>
    <w:p>
      <w:r>
        <w:t>Transaction 1 - start validation: Load the Payment and persistence version; require CREATED; call startValidation(); update with optimistic compare-and-set; commit. If processing stops, Payment remains VALIDATING.</w:t>
      </w:r>
    </w:p>
    <w:p>
      <w:r>
        <w:t>Transaction 2 - evaluate and decide: Load the Payment and persistence version; require VALIDATING; load and validate the tenant's active profile and rules; evaluate every eligible rule; persist one Risk Evaluation and all rule results; apply exactly one approved Payment transition; update Payment with the expected version; commit all changes atomically.</w:t>
      </w:r>
    </w:p>
    <w:p>
      <w:r>
        <w:t>If Transaction 2 fails, PostgreSQL rolls back the evaluation, rule results, and Payment decision. Payment remains VALIDATING. Optimistic concurrency is the default. Release 0.1 does not require pessimistic locking for Risk evaluation.</w:t>
      </w:r>
    </w:p>
    <w:p>
      <w:pPr>
        <w:pStyle w:val="Heading3"/>
      </w:pPr>
      <w:r>
        <w:t>5.8.5 Errors, uniqueness, and repeat behavior</w:t>
      </w:r>
    </w:p>
    <w:p>
      <w:r>
        <w:t>No active profile, multiple active profiles, invalid thresholds, malformed rules, no eligible rule, unexpected evaluation failure, and a concurrent modification that prevents the transition are typed configuration or processing errors. The application preserves the request correlation identifier and never silently approves, rejects, or applies a hidden fallback.</w:t>
      </w:r>
    </w:p>
    <w:p>
      <w:r>
        <w:t>Release 0.1 permits one automated initial Risk Evaluation per Payment and does not introduce evaluation_kind. PostgreSQL must enforce uniqueness equivalent to (tenant_id, payment_id). Concurrent attempts produce one evaluation, one set of rule results, and one Payment transition. A repeated request returns the existing result or an explicit already-evaluated outcome.</w:t>
      </w:r>
    </w:p>
    <w:p>
      <w:pPr>
        <w:pStyle w:val="Heading3"/>
      </w:pPr>
      <w:r>
        <w:t>5.8.6 Required verification</w:t>
      </w:r>
    </w:p>
    <w:p>
      <w:r>
        <w:t>Domain tests cover rule threshold equality; amounts below, equal to, and above the rule threshold; multiple contribution aggregation; the score cap; a clean score of zero; approve, manual-review lower and upper, and reject boundaries; threshold ordering; and contribution validation.</w:t>
      </w:r>
    </w:p>
    <w:p>
      <w:r>
        <w:t>Application and PostgreSQL/Testcontainers tests cover missing and multiple active profiles; no eligible currency rule; configuration failure preserving VALIDATING; evaluation-persistence rollback; Payment optimistic-concurrency conflict; coordinated concurrent evaluation; repeated evaluation; append-only history; migration and constraints; Modulith boundaries; and prohibited cross-module access.</w:t>
      </w:r>
    </w:p>
    <w:p>
      <w:pPr>
        <w:pStyle w:val="Heading3"/>
      </w:pPr>
      <w:r>
        <w:t>5.8.7 Release boundary</w:t>
      </w:r>
    </w:p>
    <w:p>
      <w:r>
        <w:t>Release 0.1 may provision profiles through migrations, seed data, tests, or an internal application use case. It excludes the merchant-administration UI, the complete RSK-05 configuration-management workflow, configuration-change auditing, manual-review queues, human Risk decisions, Kafka, and asynchronous Risk processing.</w:t>
      </w:r>
    </w:p>
    <w:p>
      <w:pPr>
        <w:pStyle w:val="Heading1"/>
        <w:keepNext/>
        <w:widowControl/>
      </w:pPr>
      <w:r>
        <w:t>6. Data architecture</w:t>
      </w:r>
    </w:p>
    <w:p>
      <w:pPr>
        <w:pStyle w:val="Heading2"/>
        <w:keepNext/>
        <w:widowControl/>
      </w:pPr>
      <w:r>
        <w:t>6.1 Database topology</w:t>
      </w:r>
    </w:p>
    <w:p>
      <w:pPr>
        <w:widowControl/>
        <w:spacing w:after="120"/>
      </w:pPr>
      <w:r>
        <w:t>The modular monolith uses one PostgreSQL cluster and one logical database. Each module owns its schema and tables. A single database is intentional because it preserves critical transactional guarantees without distributed transactions.</w:t>
      </w:r>
    </w:p>
    <w:p>
      <w:pPr>
        <w:pStyle w:val="CodeBlock"/>
        <w:keepLines/>
        <w:widowControl/>
      </w:pPr>
      <w:r>
        <w:t>identity.*</w:t>
        <w:br/>
        <w:t>tenancy.*</w:t>
        <w:br/>
        <w:t>merchant.*</w:t>
        <w:br/>
        <w:t>customer.*</w:t>
        <w:br/>
        <w:t>payment.*</w:t>
        <w:br/>
        <w:t>ledger.*</w:t>
        <w:br/>
        <w:t>risk.*</w:t>
        <w:br/>
        <w:t>provider.*</w:t>
        <w:br/>
        <w:t>casework.*</w:t>
        <w:br/>
        <w:t>reconciliation.*</w:t>
        <w:br/>
        <w:t>audit.*</w:t>
        <w:br/>
        <w:t>reporting.*</w:t>
      </w:r>
    </w:p>
    <w:p>
      <w:pPr>
        <w:pStyle w:val="Heading2"/>
        <w:keepNext/>
        <w:widowControl/>
      </w:pPr>
      <w:r>
        <w:t>6.2 Data ownership rules</w:t>
      </w:r>
    </w:p>
    <w:p>
      <w:pPr>
        <w:pStyle w:val="ListBullet"/>
        <w:widowControl/>
        <w:spacing w:after="40"/>
      </w:pPr>
      <w:r>
        <w:t>Only the owning module writes its tables.</w:t>
      </w:r>
    </w:p>
    <w:p>
      <w:pPr>
        <w:pStyle w:val="ListBullet"/>
        <w:widowControl/>
        <w:spacing w:after="40"/>
      </w:pPr>
      <w:r>
        <w:t>Cross-module behaviour occurs through published interfaces, application services, or events.</w:t>
      </w:r>
    </w:p>
    <w:p>
      <w:pPr>
        <w:pStyle w:val="ListBullet"/>
        <w:widowControl/>
        <w:spacing w:after="40"/>
      </w:pPr>
      <w:r>
        <w:t>Every tenant-owned table contains a non-null tenant_id.</w:t>
      </w:r>
    </w:p>
    <w:p>
      <w:pPr>
        <w:pStyle w:val="ListBullet"/>
        <w:widowControl/>
        <w:spacing w:after="40"/>
      </w:pPr>
      <w:r>
        <w:t>Unique constraints include tenant ownership where business identifiers are tenant-scoped.</w:t>
      </w:r>
    </w:p>
    <w:p>
      <w:pPr>
        <w:pStyle w:val="ListBullet"/>
        <w:widowControl/>
        <w:spacing w:after="40"/>
      </w:pPr>
      <w:r>
        <w:t>Reporting projections are rebuildable and cannot replace transactional tables.</w:t>
      </w:r>
    </w:p>
    <w:p>
      <w:pPr>
        <w:pStyle w:val="Heading3"/>
      </w:pPr>
      <w:r>
        <w:t>6.2.1 Ledger schema ownership</w:t>
      </w:r>
    </w:p>
    <w:p>
      <w:pPr/>
      <w:r>
        <w:t>ledger.accounts, ledger.transactions, and ledger.entries are Ledger-owned records. ledger.entries references ledger.accounts by account_id and ledger.transactions by transaction_id. These same-schema relationships may use foreign keys; no module may query or mutate Ledger tables directly. Database constraints enforce tenant/account-code/currency uniqueness, the approved code and status vocabularies, required ownership and currency, and append-only posting history.</w:t>
      </w:r>
    </w:p>
    <w:p>
      <w:pPr>
        <w:pStyle w:val="Heading2"/>
        <w:keepNext/>
        <w:widowControl/>
      </w:pPr>
      <w:r>
        <w:t>6.3 PostgreSQL row-level security</w:t>
      </w:r>
    </w:p>
    <w:p>
      <w:pPr>
        <w:widowControl/>
        <w:spacing w:after="120"/>
      </w:pPr>
      <w:r>
        <w:t>Application-level tenant filtering is mandatory. PostgreSQL Row-Level Security may be enabled after the application model is stable as defence in depth. The application sets a transaction-local tenant context and policies restrict row visibility. Connection-pool reuse must be tested to ensure context never leaks between transactions.</w:t>
      </w:r>
    </w:p>
    <w:p>
      <w:pPr>
        <w:pStyle w:val="CodeBlock"/>
        <w:keepLines/>
        <w:widowControl/>
      </w:pPr>
      <w:r>
        <w:t>SET LOCAL app.current_tenant = 'tenant-id';</w:t>
      </w:r>
    </w:p>
    <w:p>
      <w:pPr>
        <w:pStyle w:val="Heading2"/>
        <w:keepNext/>
        <w:widowControl/>
      </w:pPr>
      <w:r>
        <w:t>6.4 Schema migration</w:t>
      </w:r>
    </w:p>
    <w:p>
      <w:pPr>
        <w:pStyle w:val="ListBullet"/>
        <w:widowControl/>
        <w:spacing w:after="40"/>
      </w:pPr>
      <w:r>
        <w:t>Flyway owns schema migrations.</w:t>
      </w:r>
    </w:p>
    <w:p>
      <w:pPr>
        <w:pStyle w:val="ListBullet"/>
        <w:widowControl/>
        <w:spacing w:after="40"/>
      </w:pPr>
      <w:r>
        <w:t>Released migrations are immutable.</w:t>
      </w:r>
    </w:p>
    <w:p>
      <w:pPr>
        <w:pStyle w:val="ListBullet"/>
        <w:widowControl/>
        <w:spacing w:after="40"/>
      </w:pPr>
      <w:r>
        <w:t>Rolling-compatible changes use expand, migrate, and contract phases.</w:t>
      </w:r>
    </w:p>
    <w:p>
      <w:pPr>
        <w:pStyle w:val="ListBullet"/>
        <w:widowControl/>
        <w:spacing w:after="40"/>
      </w:pPr>
      <w:r>
        <w:t>Destructive changes require later corrective migrations rather than automatic rollback.</w:t>
      </w:r>
    </w:p>
    <w:p>
      <w:pPr>
        <w:pStyle w:val="ListBullet"/>
        <w:widowControl/>
        <w:spacing w:after="40"/>
      </w:pPr>
      <w:r>
        <w:t>CI validates empty installation and upgrade from the previous released schema.</w:t>
      </w:r>
    </w:p>
    <w:p>
      <w:pPr>
        <w:pStyle w:val="Heading2"/>
        <w:keepNext/>
        <w:widowControl/>
      </w:pPr>
      <w:r>
        <w:t>6.5 Derived data and caching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Technology</w:t>
            </w:r>
          </w:p>
        </w:tc>
        <w:tc>
          <w:tcPr>
            <w:tcW w:type="dxa" w:w="4104"/>
            <w:shd w:fill="1F4E78"/>
            <w:vAlign w:val="center"/>
            <w:tcMar>
              <w:top w:w="90" w:type="dxa"/>
              <w:start w:w="90" w:type="dxa"/>
              <w:bottom w:w="90" w:type="dxa"/>
              <w:end w:w="90" w:type="dxa"/>
            </w:tcMar>
          </w:tcPr>
          <w:p>
            <w:pPr>
              <w:jc w:val="left"/>
            </w:pPr>
            <w:r>
              <w:rPr>
                <w:b/>
                <w:color w:val="FFFFFF"/>
                <w:sz w:val="17"/>
              </w:rPr>
              <w:t>Permitted use</w:t>
            </w:r>
          </w:p>
        </w:tc>
        <w:tc>
          <w:tcPr>
            <w:tcW w:type="dxa" w:w="4104"/>
            <w:shd w:fill="1F4E78"/>
            <w:vAlign w:val="center"/>
            <w:tcMar>
              <w:top w:w="90" w:type="dxa"/>
              <w:start w:w="90" w:type="dxa"/>
              <w:bottom w:w="90" w:type="dxa"/>
              <w:end w:w="90" w:type="dxa"/>
            </w:tcMar>
          </w:tcPr>
          <w:p>
            <w:pPr>
              <w:jc w:val="left"/>
            </w:pPr>
            <w:r>
              <w:rPr>
                <w:b/>
                <w:color w:val="FFFFFF"/>
                <w:sz w:val="17"/>
              </w:rPr>
              <w:t>Prohibited use</w:t>
            </w:r>
          </w:p>
        </w:tc>
      </w:tr>
      <w:tr>
        <w:trPr>
          <w:cantSplit/>
        </w:trPr>
        <w:tc>
          <w:tcPr>
            <w:tcW w:type="dxa" w:w="1584"/>
            <w:tcMar>
              <w:top w:w="90" w:type="dxa"/>
              <w:start w:w="90" w:type="dxa"/>
              <w:bottom w:w="90" w:type="dxa"/>
              <w:end w:w="90" w:type="dxa"/>
            </w:tcMar>
            <w:vAlign w:val="top"/>
          </w:tcPr>
          <w:p>
            <w:r>
              <w:rPr>
                <w:sz w:val="17"/>
              </w:rPr>
              <w:t>Redis</w:t>
            </w:r>
          </w:p>
        </w:tc>
        <w:tc>
          <w:tcPr>
            <w:tcW w:type="dxa" w:w="4104"/>
            <w:tcMar>
              <w:top w:w="90" w:type="dxa"/>
              <w:start w:w="90" w:type="dxa"/>
              <w:bottom w:w="90" w:type="dxa"/>
              <w:end w:w="90" w:type="dxa"/>
            </w:tcMar>
            <w:vAlign w:val="top"/>
          </w:tcPr>
          <w:p>
            <w:r>
              <w:rPr>
                <w:sz w:val="17"/>
              </w:rPr>
              <w:t>Rate limits, short-lived tenant/merchant configuration, selected dashboard caches.</w:t>
            </w:r>
          </w:p>
        </w:tc>
        <w:tc>
          <w:tcPr>
            <w:tcW w:type="dxa" w:w="4104"/>
            <w:tcMar>
              <w:top w:w="90" w:type="dxa"/>
              <w:start w:w="90" w:type="dxa"/>
              <w:bottom w:w="90" w:type="dxa"/>
              <w:end w:w="90" w:type="dxa"/>
            </w:tcMar>
            <w:vAlign w:val="top"/>
          </w:tcPr>
          <w:p>
            <w:r>
              <w:rPr>
                <w:sz w:val="17"/>
              </w:rPr>
              <w:t>Payment state, ledger balances, idempotency truth, authorization truth.</w:t>
            </w:r>
          </w:p>
        </w:tc>
      </w:tr>
      <w:tr>
        <w:trPr>
          <w:cantSplit/>
        </w:trPr>
        <w:tc>
          <w:tcPr>
            <w:tcW w:type="dxa" w:w="1584"/>
            <w:tcMar>
              <w:top w:w="90" w:type="dxa"/>
              <w:start w:w="90" w:type="dxa"/>
              <w:bottom w:w="90" w:type="dxa"/>
              <w:end w:w="90" w:type="dxa"/>
            </w:tcMar>
            <w:vAlign w:val="top"/>
          </w:tcPr>
          <w:p>
            <w:r>
              <w:rPr>
                <w:sz w:val="17"/>
              </w:rPr>
              <w:t>Kafka</w:t>
            </w:r>
          </w:p>
        </w:tc>
        <w:tc>
          <w:tcPr>
            <w:tcW w:type="dxa" w:w="4104"/>
            <w:tcMar>
              <w:top w:w="90" w:type="dxa"/>
              <w:start w:w="90" w:type="dxa"/>
              <w:bottom w:w="90" w:type="dxa"/>
              <w:end w:w="90" w:type="dxa"/>
            </w:tcMar>
            <w:vAlign w:val="top"/>
          </w:tcPr>
          <w:p>
            <w:r>
              <w:rPr>
                <w:sz w:val="17"/>
              </w:rPr>
              <w:t>Transporting integration commands/events and rebuilding projections.</w:t>
            </w:r>
          </w:p>
        </w:tc>
        <w:tc>
          <w:tcPr>
            <w:tcW w:type="dxa" w:w="4104"/>
            <w:tcMar>
              <w:top w:w="90" w:type="dxa"/>
              <w:start w:w="90" w:type="dxa"/>
              <w:bottom w:w="90" w:type="dxa"/>
              <w:end w:w="90" w:type="dxa"/>
            </w:tcMar>
            <w:vAlign w:val="top"/>
          </w:tcPr>
          <w:p>
            <w:r>
              <w:rPr>
                <w:sz w:val="17"/>
              </w:rPr>
              <w:t>Permanent financial ledger or transactional source of truth.</w:t>
            </w:r>
          </w:p>
        </w:tc>
      </w:tr>
      <w:tr>
        <w:trPr>
          <w:cantSplit/>
        </w:trPr>
        <w:tc>
          <w:tcPr>
            <w:tcW w:type="dxa" w:w="1584"/>
            <w:tcMar>
              <w:top w:w="90" w:type="dxa"/>
              <w:start w:w="90" w:type="dxa"/>
              <w:bottom w:w="90" w:type="dxa"/>
              <w:end w:w="90" w:type="dxa"/>
            </w:tcMar>
            <w:vAlign w:val="top"/>
          </w:tcPr>
          <w:p>
            <w:r>
              <w:rPr>
                <w:sz w:val="17"/>
              </w:rPr>
              <w:t>Reporting schema</w:t>
            </w:r>
          </w:p>
        </w:tc>
        <w:tc>
          <w:tcPr>
            <w:tcW w:type="dxa" w:w="4104"/>
            <w:tcMar>
              <w:top w:w="90" w:type="dxa"/>
              <w:start w:w="90" w:type="dxa"/>
              <w:bottom w:w="90" w:type="dxa"/>
              <w:end w:w="90" w:type="dxa"/>
            </w:tcMar>
            <w:vAlign w:val="top"/>
          </w:tcPr>
          <w:p>
            <w:r>
              <w:rPr>
                <w:sz w:val="17"/>
              </w:rPr>
              <w:t>Read-optimized dashboard and export projections.</w:t>
            </w:r>
          </w:p>
        </w:tc>
        <w:tc>
          <w:tcPr>
            <w:tcW w:type="dxa" w:w="4104"/>
            <w:tcMar>
              <w:top w:w="90" w:type="dxa"/>
              <w:start w:w="90" w:type="dxa"/>
              <w:bottom w:w="90" w:type="dxa"/>
              <w:end w:w="90" w:type="dxa"/>
            </w:tcMar>
            <w:vAlign w:val="top"/>
          </w:tcPr>
          <w:p>
            <w:r>
              <w:rPr>
                <w:sz w:val="17"/>
              </w:rPr>
              <w:t>Authoritative payment, ledger, or reconciliation history.</w:t>
            </w:r>
          </w:p>
        </w:tc>
      </w:tr>
      <w:tr>
        <w:trPr>
          <w:cantSplit/>
        </w:trPr>
        <w:tc>
          <w:tcPr>
            <w:tcW w:type="dxa" w:w="1584"/>
            <w:tcMar>
              <w:top w:w="90" w:type="dxa"/>
              <w:start w:w="90" w:type="dxa"/>
              <w:bottom w:w="90" w:type="dxa"/>
              <w:end w:w="90" w:type="dxa"/>
            </w:tcMar>
            <w:vAlign w:val="top"/>
          </w:tcPr>
          <w:p>
            <w:r>
              <w:rPr>
                <w:sz w:val="17"/>
              </w:rPr>
              <w:t>Object storage</w:t>
            </w:r>
          </w:p>
        </w:tc>
        <w:tc>
          <w:tcPr>
            <w:tcW w:type="dxa" w:w="4104"/>
            <w:tcMar>
              <w:top w:w="90" w:type="dxa"/>
              <w:start w:w="90" w:type="dxa"/>
              <w:bottom w:w="90" w:type="dxa"/>
              <w:end w:w="90" w:type="dxa"/>
            </w:tcMar>
            <w:vAlign w:val="top"/>
          </w:tcPr>
          <w:p>
            <w:r>
              <w:rPr>
                <w:sz w:val="17"/>
              </w:rPr>
              <w:t>Raw settlement files, generated reports, safe incident evidence.</w:t>
            </w:r>
          </w:p>
        </w:tc>
        <w:tc>
          <w:tcPr>
            <w:tcW w:type="dxa" w:w="4104"/>
            <w:tcMar>
              <w:top w:w="90" w:type="dxa"/>
              <w:start w:w="90" w:type="dxa"/>
              <w:bottom w:w="90" w:type="dxa"/>
              <w:end w:w="90" w:type="dxa"/>
            </w:tcMar>
            <w:vAlign w:val="top"/>
          </w:tcPr>
          <w:p>
            <w:r>
              <w:rPr>
                <w:sz w:val="17"/>
              </w:rPr>
              <w:t>Transactional status or authorization state.</w:t>
            </w:r>
          </w:p>
        </w:tc>
      </w:tr>
    </w:tbl>
    <w:p>
      <w:pPr>
        <w:widowControl/>
      </w:pPr>
    </w:p>
    <w:p>
      <w:pPr>
        <w:pStyle w:val="Heading1"/>
        <w:keepNext/>
        <w:widowControl/>
      </w:pPr>
      <w:r>
        <w:t>7. Event architecture and delivery guarantees</w:t>
      </w:r>
    </w:p>
    <w:p>
      <w:pPr>
        <w:pStyle w:val="Heading2"/>
        <w:keepNext/>
        <w:widowControl/>
      </w:pPr>
      <w:r>
        <w:t>7.1 Message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Type</w:t>
            </w:r>
          </w:p>
        </w:tc>
        <w:tc>
          <w:tcPr>
            <w:tcW w:type="dxa" w:w="3744"/>
            <w:shd w:fill="1F4E78"/>
            <w:vAlign w:val="center"/>
            <w:tcMar>
              <w:top w:w="90" w:type="dxa"/>
              <w:start w:w="90" w:type="dxa"/>
              <w:bottom w:w="90" w:type="dxa"/>
              <w:end w:w="90" w:type="dxa"/>
            </w:tcMar>
          </w:tcPr>
          <w:p>
            <w:pPr>
              <w:jc w:val="left"/>
            </w:pPr>
            <w:r>
              <w:rPr>
                <w:b/>
                <w:color w:val="FFFFFF"/>
                <w:sz w:val="17"/>
              </w:rPr>
              <w:t>Meaning</w:t>
            </w:r>
          </w:p>
        </w:tc>
        <w:tc>
          <w:tcPr>
            <w:tcW w:type="dxa" w:w="4104"/>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Domain event</w:t>
            </w:r>
          </w:p>
        </w:tc>
        <w:tc>
          <w:tcPr>
            <w:tcW w:type="dxa" w:w="3744"/>
            <w:tcMar>
              <w:top w:w="90" w:type="dxa"/>
              <w:start w:w="90" w:type="dxa"/>
              <w:bottom w:w="90" w:type="dxa"/>
              <w:end w:w="90" w:type="dxa"/>
            </w:tcMar>
            <w:vAlign w:val="top"/>
          </w:tcPr>
          <w:p>
            <w:r>
              <w:rPr>
                <w:sz w:val="17"/>
              </w:rPr>
              <w:t>Business fact inside the model.</w:t>
            </w:r>
          </w:p>
        </w:tc>
        <w:tc>
          <w:tcPr>
            <w:tcW w:type="dxa" w:w="4104"/>
            <w:tcMar>
              <w:top w:w="90" w:type="dxa"/>
              <w:start w:w="90" w:type="dxa"/>
              <w:bottom w:w="90" w:type="dxa"/>
              <w:end w:w="90" w:type="dxa"/>
            </w:tcMar>
            <w:vAlign w:val="top"/>
          </w:tcPr>
          <w:p>
            <w:r>
              <w:rPr>
                <w:sz w:val="17"/>
              </w:rPr>
              <w:t>PaymentCompleted, LedgerTransactionPosted</w:t>
            </w:r>
          </w:p>
        </w:tc>
      </w:tr>
      <w:tr>
        <w:trPr>
          <w:cantSplit/>
        </w:trPr>
        <w:tc>
          <w:tcPr>
            <w:tcW w:type="dxa" w:w="1944"/>
            <w:tcMar>
              <w:top w:w="90" w:type="dxa"/>
              <w:start w:w="90" w:type="dxa"/>
              <w:bottom w:w="90" w:type="dxa"/>
              <w:end w:w="90" w:type="dxa"/>
            </w:tcMar>
            <w:vAlign w:val="top"/>
          </w:tcPr>
          <w:p>
            <w:r>
              <w:rPr>
                <w:sz w:val="17"/>
              </w:rPr>
              <w:t>Integration event</w:t>
            </w:r>
          </w:p>
        </w:tc>
        <w:tc>
          <w:tcPr>
            <w:tcW w:type="dxa" w:w="3744"/>
            <w:tcMar>
              <w:top w:w="90" w:type="dxa"/>
              <w:start w:w="90" w:type="dxa"/>
              <w:bottom w:w="90" w:type="dxa"/>
              <w:end w:w="90" w:type="dxa"/>
            </w:tcMar>
            <w:vAlign w:val="top"/>
          </w:tcPr>
          <w:p>
            <w:r>
              <w:rPr>
                <w:sz w:val="17"/>
              </w:rPr>
              <w:t>Stable fact published for another deployable component.</w:t>
            </w:r>
          </w:p>
        </w:tc>
        <w:tc>
          <w:tcPr>
            <w:tcW w:type="dxa" w:w="4104"/>
            <w:tcMar>
              <w:top w:w="90" w:type="dxa"/>
              <w:start w:w="90" w:type="dxa"/>
              <w:bottom w:w="90" w:type="dxa"/>
              <w:end w:w="90" w:type="dxa"/>
            </w:tcMar>
            <w:vAlign w:val="top"/>
          </w:tcPr>
          <w:p>
            <w:r>
              <w:rPr>
                <w:sz w:val="17"/>
              </w:rPr>
              <w:t>PaymentCompletedV1, ReconciliationCompletedV1</w:t>
            </w:r>
          </w:p>
        </w:tc>
      </w:tr>
      <w:tr>
        <w:trPr>
          <w:cantSplit/>
        </w:trPr>
        <w:tc>
          <w:tcPr>
            <w:tcW w:type="dxa" w:w="1944"/>
            <w:tcMar>
              <w:top w:w="90" w:type="dxa"/>
              <w:start w:w="90" w:type="dxa"/>
              <w:bottom w:w="90" w:type="dxa"/>
              <w:end w:w="90" w:type="dxa"/>
            </w:tcMar>
            <w:vAlign w:val="top"/>
          </w:tcPr>
          <w:p>
            <w:r>
              <w:rPr>
                <w:sz w:val="17"/>
              </w:rPr>
              <w:t>Command</w:t>
            </w:r>
          </w:p>
        </w:tc>
        <w:tc>
          <w:tcPr>
            <w:tcW w:type="dxa" w:w="3744"/>
            <w:tcMar>
              <w:top w:w="90" w:type="dxa"/>
              <w:start w:w="90" w:type="dxa"/>
              <w:bottom w:w="90" w:type="dxa"/>
              <w:end w:w="90" w:type="dxa"/>
            </w:tcMar>
            <w:vAlign w:val="top"/>
          </w:tcPr>
          <w:p>
            <w:r>
              <w:rPr>
                <w:sz w:val="17"/>
              </w:rPr>
              <w:t>Request for another component to perform work.</w:t>
            </w:r>
          </w:p>
        </w:tc>
        <w:tc>
          <w:tcPr>
            <w:tcW w:type="dxa" w:w="4104"/>
            <w:tcMar>
              <w:top w:w="90" w:type="dxa"/>
              <w:start w:w="90" w:type="dxa"/>
              <w:bottom w:w="90" w:type="dxa"/>
              <w:end w:w="90" w:type="dxa"/>
            </w:tcMar>
            <w:vAlign w:val="top"/>
          </w:tcPr>
          <w:p>
            <w:r>
              <w:rPr>
                <w:sz w:val="17"/>
              </w:rPr>
              <w:t>SubmitPaymentToProvider, RunReconciliation</w:t>
            </w:r>
          </w:p>
        </w:tc>
      </w:tr>
    </w:tbl>
    <w:p>
      <w:pPr>
        <w:widowControl/>
      </w:pPr>
    </w:p>
    <w:p>
      <w:pPr>
        <w:pStyle w:val="Heading2"/>
        <w:keepNext/>
        <w:widowControl/>
      </w:pPr>
      <w:r>
        <w:t>7.2 Topic topology</w:t>
      </w:r>
    </w:p>
    <w:p>
      <w:pPr>
        <w:pStyle w:val="CodeBlock"/>
        <w:keepLines/>
        <w:widowControl/>
      </w:pPr>
      <w:r>
        <w:t>ledgerops.payment.lifecycle.v1</w:t>
        <w:br/>
        <w:t>ledgerops.provider.commands.v1</w:t>
        <w:br/>
        <w:t>ledgerops.provider.results.v1</w:t>
        <w:br/>
        <w:t>ledgerops.ledger.lifecycle.v1</w:t>
        <w:br/>
        <w:t>ledgerops.reversal.lifecycle.v1</w:t>
        <w:br/>
        <w:t>ledgerops.reconciliation.commands.v1</w:t>
        <w:br/>
        <w:t>ledgerops.reconciliation.results.v1</w:t>
        <w:br/>
        <w:t>ledgerops.casework.lifecycle.v1</w:t>
        <w:br/>
        <w:t>ledgerops.notifications.commands.v1</w:t>
        <w:br/>
        <w:t>ledgerops.audit.lifecycle.v1</w:t>
      </w:r>
    </w:p>
    <w:p>
      <w:pPr>
        <w:widowControl/>
        <w:spacing w:after="120"/>
      </w:pPr>
      <w:r>
        <w:t>Topics are organized by business capability rather than by Java class. Aggregate IDs are the default partition keys, preserving ordering only within one aggregate. Tenant ID is not used as the default partition key because a large tenant could create a hot partition.</w:t>
      </w:r>
    </w:p>
    <w:p>
      <w:pPr>
        <w:pStyle w:val="Heading2"/>
        <w:keepNext/>
        <w:widowControl/>
      </w:pPr>
      <w:r>
        <w:t>7.3 Message envelope</w:t>
      </w:r>
    </w:p>
    <w:p>
      <w:pPr>
        <w:pStyle w:val="CodeBlock"/>
        <w:keepLines/>
        <w:widowControl/>
      </w:pPr>
      <w:r>
        <w:t>{</w:t>
        <w:br/>
        <w:t xml:space="preserve">  "messageId": "evt_01J...",</w:t>
        <w:br/>
        <w:t xml:space="preserve">  "messageType": "PaymentCompleted",</w:t>
        <w:br/>
        <w:t xml:space="preserve">  "schemaVersion": 1,</w:t>
        <w:br/>
        <w:t xml:space="preserve">  "aggregateId": "pay_01J...",</w:t>
        <w:br/>
        <w:t xml:space="preserve">  "tenantId": "tenant_01J...",</w:t>
        <w:br/>
        <w:t xml:space="preserve">  "correlationId": "corr_01J...",</w:t>
        <w:br/>
        <w:t xml:space="preserve">  "causationId": "evt_01J...",</w:t>
        <w:br/>
        <w:t xml:space="preserve">  "occurredAt": "2026-07-13T12:00:00Z",</w:t>
        <w:br/>
        <w:t xml:space="preserve">  "payload": { ... }</w:t>
        <w:br/>
        <w:t>}</w:t>
      </w:r>
    </w:p>
    <w:p>
      <w:pPr>
        <w:pStyle w:val="Heading2"/>
        <w:keepNext/>
        <w:widowControl/>
      </w:pPr>
      <w:r>
        <w:t>7.4 Delivery model</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Guarantee: </w:t>
            </w:r>
            <w:r>
              <w:t>At-least-once delivery with idempotent consumers. LedgerOps makes no unsupported end-to-end exactly-once claim.</w:t>
            </w:r>
          </w:p>
        </w:tc>
      </w:tr>
    </w:tbl>
    <w:p>
      <w:pPr>
        <w:widowControl/>
      </w:pPr>
    </w:p>
    <w:p>
      <w:pPr>
        <w:pStyle w:val="Heading2"/>
        <w:keepNext/>
        <w:widowControl/>
      </w:pPr>
      <w:r>
        <w:t>7.5 Transactional outbox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1F4E78"/>
            <w:vAlign w:val="center"/>
            <w:tcMar>
              <w:top w:w="90" w:type="dxa"/>
              <w:start w:w="90" w:type="dxa"/>
              <w:bottom w:w="90" w:type="dxa"/>
              <w:end w:w="90" w:type="dxa"/>
            </w:tcMar>
          </w:tcPr>
          <w:p>
            <w:pPr>
              <w:jc w:val="left"/>
            </w:pPr>
            <w:r>
              <w:rPr>
                <w:b/>
                <w:color w:val="FFFFFF"/>
                <w:sz w:val="17"/>
              </w:rPr>
              <w:t>Column group</w:t>
            </w:r>
          </w:p>
        </w:tc>
        <w:tc>
          <w:tcPr>
            <w:tcW w:type="dxa" w:w="7632"/>
            <w:shd w:fill="1F4E78"/>
            <w:vAlign w:val="center"/>
            <w:tcMar>
              <w:top w:w="90" w:type="dxa"/>
              <w:start w:w="90" w:type="dxa"/>
              <w:bottom w:w="90" w:type="dxa"/>
              <w:end w:w="90" w:type="dxa"/>
            </w:tcMar>
          </w:tcPr>
          <w:p>
            <w:pPr>
              <w:jc w:val="left"/>
            </w:pPr>
            <w:r>
              <w:rPr>
                <w:b/>
                <w:color w:val="FFFFFF"/>
                <w:sz w:val="17"/>
              </w:rPr>
              <w:t>Fields</w:t>
            </w:r>
          </w:p>
        </w:tc>
      </w:tr>
      <w:tr>
        <w:trPr>
          <w:cantSplit/>
        </w:trPr>
        <w:tc>
          <w:tcPr>
            <w:tcW w:type="dxa" w:w="2160"/>
            <w:tcMar>
              <w:top w:w="90" w:type="dxa"/>
              <w:start w:w="90" w:type="dxa"/>
              <w:bottom w:w="90" w:type="dxa"/>
              <w:end w:w="90" w:type="dxa"/>
            </w:tcMar>
            <w:vAlign w:val="top"/>
          </w:tcPr>
          <w:p>
            <w:r>
              <w:rPr>
                <w:sz w:val="17"/>
              </w:rPr>
              <w:t>Identity</w:t>
            </w:r>
          </w:p>
        </w:tc>
        <w:tc>
          <w:tcPr>
            <w:tcW w:type="dxa" w:w="7632"/>
            <w:tcMar>
              <w:top w:w="90" w:type="dxa"/>
              <w:start w:w="90" w:type="dxa"/>
              <w:bottom w:w="90" w:type="dxa"/>
              <w:end w:w="90" w:type="dxa"/>
            </w:tcMar>
            <w:vAlign w:val="top"/>
          </w:tcPr>
          <w:p>
            <w:r>
              <w:rPr>
                <w:sz w:val="17"/>
              </w:rPr>
              <w:t>id, aggregate_type, aggregate_id, message_type, schema_version</w:t>
            </w:r>
          </w:p>
        </w:tc>
      </w:tr>
      <w:tr>
        <w:trPr>
          <w:cantSplit/>
        </w:trPr>
        <w:tc>
          <w:tcPr>
            <w:tcW w:type="dxa" w:w="2160"/>
            <w:tcMar>
              <w:top w:w="90" w:type="dxa"/>
              <w:start w:w="90" w:type="dxa"/>
              <w:bottom w:w="90" w:type="dxa"/>
              <w:end w:w="90" w:type="dxa"/>
            </w:tcMar>
            <w:vAlign w:val="top"/>
          </w:tcPr>
          <w:p>
            <w:r>
              <w:rPr>
                <w:sz w:val="17"/>
              </w:rPr>
              <w:t>Routing</w:t>
            </w:r>
          </w:p>
        </w:tc>
        <w:tc>
          <w:tcPr>
            <w:tcW w:type="dxa" w:w="7632"/>
            <w:tcMar>
              <w:top w:w="90" w:type="dxa"/>
              <w:start w:w="90" w:type="dxa"/>
              <w:bottom w:w="90" w:type="dxa"/>
              <w:end w:w="90" w:type="dxa"/>
            </w:tcMar>
            <w:vAlign w:val="top"/>
          </w:tcPr>
          <w:p>
            <w:r>
              <w:rPr>
                <w:sz w:val="17"/>
              </w:rPr>
              <w:t>topic, partition_key, headers</w:t>
            </w:r>
          </w:p>
        </w:tc>
      </w:tr>
      <w:tr>
        <w:trPr>
          <w:cantSplit/>
        </w:trPr>
        <w:tc>
          <w:tcPr>
            <w:tcW w:type="dxa" w:w="2160"/>
            <w:tcMar>
              <w:top w:w="90" w:type="dxa"/>
              <w:start w:w="90" w:type="dxa"/>
              <w:bottom w:w="90" w:type="dxa"/>
              <w:end w:w="90" w:type="dxa"/>
            </w:tcMar>
            <w:vAlign w:val="top"/>
          </w:tcPr>
          <w:p>
            <w:r>
              <w:rPr>
                <w:sz w:val="17"/>
              </w:rPr>
              <w:t>Payload</w:t>
            </w:r>
          </w:p>
        </w:tc>
        <w:tc>
          <w:tcPr>
            <w:tcW w:type="dxa" w:w="7632"/>
            <w:tcMar>
              <w:top w:w="90" w:type="dxa"/>
              <w:start w:w="90" w:type="dxa"/>
              <w:bottom w:w="90" w:type="dxa"/>
              <w:end w:w="90" w:type="dxa"/>
            </w:tcMar>
            <w:vAlign w:val="top"/>
          </w:tcPr>
          <w:p>
            <w:r>
              <w:rPr>
                <w:sz w:val="17"/>
              </w:rPr>
              <w:t>serialized payload</w:t>
            </w:r>
          </w:p>
        </w:tc>
      </w:tr>
      <w:tr>
        <w:trPr>
          <w:cantSplit/>
        </w:trPr>
        <w:tc>
          <w:tcPr>
            <w:tcW w:type="dxa" w:w="2160"/>
            <w:tcMar>
              <w:top w:w="90" w:type="dxa"/>
              <w:start w:w="90" w:type="dxa"/>
              <w:bottom w:w="90" w:type="dxa"/>
              <w:end w:w="90" w:type="dxa"/>
            </w:tcMar>
            <w:vAlign w:val="top"/>
          </w:tcPr>
          <w:p>
            <w:r>
              <w:rPr>
                <w:sz w:val="17"/>
              </w:rPr>
              <w:t>Lifecycle</w:t>
            </w:r>
          </w:p>
        </w:tc>
        <w:tc>
          <w:tcPr>
            <w:tcW w:type="dxa" w:w="7632"/>
            <w:tcMar>
              <w:top w:w="90" w:type="dxa"/>
              <w:start w:w="90" w:type="dxa"/>
              <w:bottom w:w="90" w:type="dxa"/>
              <w:end w:w="90" w:type="dxa"/>
            </w:tcMar>
            <w:vAlign w:val="top"/>
          </w:tcPr>
          <w:p>
            <w:r>
              <w:rPr>
                <w:sz w:val="17"/>
              </w:rPr>
              <w:t>status, attempt_count, created_at, published_at, next_attempt_at, last_error</w:t>
            </w:r>
          </w:p>
        </w:tc>
      </w:tr>
    </w:tbl>
    <w:p>
      <w:pPr>
        <w:widowControl/>
      </w:pPr>
    </w:p>
    <w:p>
      <w:pPr>
        <w:widowControl/>
        <w:spacing w:after="120"/>
      </w:pPr>
      <w:r>
        <w:t>Business state and its outbox record commit in the same PostgreSQL transaction. A polling publisher claims rows using FOR UPDATE SKIP LOCKED. Multiple publisher instances may run safely. If Kafka accepts a message and the publisher crashes before marking the row published, the message may be sent again; consumer idempotency prevents duplicate effects.</w:t>
      </w:r>
    </w:p>
    <w:p>
      <w:pPr>
        <w:pStyle w:val="Heading2"/>
        <w:keepNext/>
        <w:widowControl/>
      </w:pPr>
      <w:r>
        <w:t>7.6 Consumer inbox</w:t>
      </w:r>
    </w:p>
    <w:p>
      <w:pPr>
        <w:pStyle w:val="ListNumber"/>
        <w:widowControl/>
        <w:numPr>
          <w:ilvl w:val="0"/>
          <w:numId w:val="11"/>
        </w:numPr>
        <w:spacing w:after="40"/>
      </w:pPr>
      <w:r>
        <w:t>Begin a database transaction.</w:t>
      </w:r>
    </w:p>
    <w:p>
      <w:pPr>
        <w:pStyle w:val="ListNumber"/>
        <w:widowControl/>
        <w:numPr>
          <w:ilvl w:val="0"/>
          <w:numId w:val="11"/>
        </w:numPr>
        <w:spacing w:after="40"/>
      </w:pPr>
      <w:r>
        <w:t>Insert consumer_name + message_id into a uniquely constrained inbox table.</w:t>
      </w:r>
    </w:p>
    <w:p>
      <w:pPr>
        <w:pStyle w:val="ListNumber"/>
        <w:widowControl/>
        <w:numPr>
          <w:ilvl w:val="0"/>
          <w:numId w:val="11"/>
        </w:numPr>
        <w:spacing w:after="40"/>
      </w:pPr>
      <w:r>
        <w:t>If the record already exists, acknowledge without repeating business work.</w:t>
      </w:r>
    </w:p>
    <w:p>
      <w:pPr>
        <w:pStyle w:val="ListNumber"/>
        <w:widowControl/>
        <w:numPr>
          <w:ilvl w:val="0"/>
          <w:numId w:val="11"/>
        </w:numPr>
        <w:spacing w:after="40"/>
      </w:pPr>
      <w:r>
        <w:t>Execute the business operation.</w:t>
      </w:r>
    </w:p>
    <w:p>
      <w:pPr>
        <w:pStyle w:val="ListNumber"/>
        <w:widowControl/>
        <w:numPr>
          <w:ilvl w:val="0"/>
          <w:numId w:val="11"/>
        </w:numPr>
        <w:spacing w:after="40"/>
      </w:pPr>
      <w:r>
        <w:t>Commit the inbox record and business changes together.</w:t>
      </w:r>
    </w:p>
    <w:p>
      <w:pPr>
        <w:pStyle w:val="ListNumber"/>
        <w:widowControl/>
        <w:numPr>
          <w:ilvl w:val="0"/>
          <w:numId w:val="11"/>
        </w:numPr>
        <w:spacing w:after="40"/>
      </w:pPr>
      <w:r>
        <w:t>Acknowledge the Kafka message.</w:t>
      </w:r>
    </w:p>
    <w:p>
      <w:pPr>
        <w:pStyle w:val="Heading2"/>
        <w:keepNext/>
        <w:widowControl/>
      </w:pPr>
      <w:r>
        <w:t>7.7 Retry and dead-letter handling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shd w:fill="1F4E78"/>
            <w:vAlign w:val="center"/>
            <w:tcMar>
              <w:top w:w="90" w:type="dxa"/>
              <w:start w:w="90" w:type="dxa"/>
              <w:bottom w:w="90" w:type="dxa"/>
              <w:end w:w="90" w:type="dxa"/>
            </w:tcMar>
          </w:tcPr>
          <w:p>
            <w:pPr>
              <w:jc w:val="left"/>
            </w:pPr>
            <w:r>
              <w:rPr>
                <w:b/>
                <w:color w:val="FFFFFF"/>
                <w:sz w:val="17"/>
              </w:rPr>
              <w:t>Failure class</w:t>
            </w:r>
          </w:p>
        </w:tc>
        <w:tc>
          <w:tcPr>
            <w:tcW w:type="dxa" w:w="7560"/>
            <w:shd w:fill="1F4E78"/>
            <w:vAlign w:val="center"/>
            <w:tcMar>
              <w:top w:w="90" w:type="dxa"/>
              <w:start w:w="90" w:type="dxa"/>
              <w:bottom w:w="90" w:type="dxa"/>
              <w:end w:w="90" w:type="dxa"/>
            </w:tcMar>
          </w:tcPr>
          <w:p>
            <w:pPr>
              <w:jc w:val="left"/>
            </w:pPr>
            <w:r>
              <w:rPr>
                <w:b/>
                <w:color w:val="FFFFFF"/>
                <w:sz w:val="17"/>
              </w:rPr>
              <w:t>Behaviour</w:t>
            </w:r>
          </w:p>
        </w:tc>
      </w:tr>
      <w:tr>
        <w:trPr>
          <w:cantSplit/>
        </w:trPr>
        <w:tc>
          <w:tcPr>
            <w:tcW w:type="dxa" w:w="2232"/>
            <w:tcMar>
              <w:top w:w="90" w:type="dxa"/>
              <w:start w:w="90" w:type="dxa"/>
              <w:bottom w:w="90" w:type="dxa"/>
              <w:end w:w="90" w:type="dxa"/>
            </w:tcMar>
            <w:vAlign w:val="top"/>
          </w:tcPr>
          <w:p>
            <w:r>
              <w:rPr>
                <w:sz w:val="17"/>
              </w:rPr>
              <w:t>Transient</w:t>
            </w:r>
          </w:p>
        </w:tc>
        <w:tc>
          <w:tcPr>
            <w:tcW w:type="dxa" w:w="7560"/>
            <w:tcMar>
              <w:top w:w="90" w:type="dxa"/>
              <w:start w:w="90" w:type="dxa"/>
              <w:bottom w:w="90" w:type="dxa"/>
              <w:end w:w="90" w:type="dxa"/>
            </w:tcMar>
            <w:vAlign w:val="top"/>
          </w:tcPr>
          <w:p>
            <w:r>
              <w:rPr>
                <w:sz w:val="17"/>
              </w:rPr>
              <w:t>Retry with exponential backoff and jitter.</w:t>
            </w:r>
          </w:p>
        </w:tc>
      </w:tr>
      <w:tr>
        <w:trPr>
          <w:cantSplit/>
        </w:trPr>
        <w:tc>
          <w:tcPr>
            <w:tcW w:type="dxa" w:w="2232"/>
            <w:tcMar>
              <w:top w:w="90" w:type="dxa"/>
              <w:start w:w="90" w:type="dxa"/>
              <w:bottom w:w="90" w:type="dxa"/>
              <w:end w:w="90" w:type="dxa"/>
            </w:tcMar>
            <w:vAlign w:val="top"/>
          </w:tcPr>
          <w:p>
            <w:r>
              <w:rPr>
                <w:sz w:val="17"/>
              </w:rPr>
              <w:t>Permanent</w:t>
            </w:r>
          </w:p>
        </w:tc>
        <w:tc>
          <w:tcPr>
            <w:tcW w:type="dxa" w:w="7560"/>
            <w:tcMar>
              <w:top w:w="90" w:type="dxa"/>
              <w:start w:w="90" w:type="dxa"/>
              <w:bottom w:w="90" w:type="dxa"/>
              <w:end w:w="90" w:type="dxa"/>
            </w:tcMar>
            <w:vAlign w:val="top"/>
          </w:tcPr>
          <w:p>
            <w:r>
              <w:rPr>
                <w:sz w:val="17"/>
              </w:rPr>
              <w:t>Do not retry indefinitely; route to dead-letter handling and create an operational signal.</w:t>
            </w:r>
          </w:p>
        </w:tc>
      </w:tr>
      <w:tr>
        <w:trPr>
          <w:cantSplit/>
        </w:trPr>
        <w:tc>
          <w:tcPr>
            <w:tcW w:type="dxa" w:w="2232"/>
            <w:tcMar>
              <w:top w:w="90" w:type="dxa"/>
              <w:start w:w="90" w:type="dxa"/>
              <w:bottom w:w="90" w:type="dxa"/>
              <w:end w:w="90" w:type="dxa"/>
            </w:tcMar>
            <w:vAlign w:val="top"/>
          </w:tcPr>
          <w:p>
            <w:r>
              <w:rPr>
                <w:sz w:val="17"/>
              </w:rPr>
              <w:t>Poison message</w:t>
            </w:r>
          </w:p>
        </w:tc>
        <w:tc>
          <w:tcPr>
            <w:tcW w:type="dxa" w:w="7560"/>
            <w:tcMar>
              <w:top w:w="90" w:type="dxa"/>
              <w:start w:w="90" w:type="dxa"/>
              <w:bottom w:w="90" w:type="dxa"/>
              <w:end w:w="90" w:type="dxa"/>
            </w:tcMar>
            <w:vAlign w:val="top"/>
          </w:tcPr>
          <w:p>
            <w:r>
              <w:rPr>
                <w:sz w:val="17"/>
              </w:rPr>
              <w:t>Move after threshold, preserve metadata, continue partition processing.</w:t>
            </w:r>
          </w:p>
        </w:tc>
      </w:tr>
      <w:tr>
        <w:trPr>
          <w:cantSplit/>
        </w:trPr>
        <w:tc>
          <w:tcPr>
            <w:tcW w:type="dxa" w:w="2232"/>
            <w:tcMar>
              <w:top w:w="90" w:type="dxa"/>
              <w:start w:w="90" w:type="dxa"/>
              <w:bottom w:w="90" w:type="dxa"/>
              <w:end w:w="90" w:type="dxa"/>
            </w:tcMar>
            <w:vAlign w:val="top"/>
          </w:tcPr>
          <w:p>
            <w:r>
              <w:rPr>
                <w:sz w:val="17"/>
              </w:rPr>
              <w:t>Unsupported version</w:t>
            </w:r>
          </w:p>
        </w:tc>
        <w:tc>
          <w:tcPr>
            <w:tcW w:type="dxa" w:w="7560"/>
            <w:tcMar>
              <w:top w:w="90" w:type="dxa"/>
              <w:start w:w="90" w:type="dxa"/>
              <w:bottom w:w="90" w:type="dxa"/>
              <w:end w:w="90" w:type="dxa"/>
            </w:tcMar>
            <w:vAlign w:val="top"/>
          </w:tcPr>
          <w:p>
            <w:r>
              <w:rPr>
                <w:sz w:val="17"/>
              </w:rPr>
              <w:t>Dead-letter immediately with explicit schema-version failure.</w:t>
            </w:r>
          </w:p>
        </w:tc>
      </w:tr>
      <w:tr>
        <w:trPr>
          <w:cantSplit/>
        </w:trPr>
        <w:tc>
          <w:tcPr>
            <w:tcW w:type="dxa" w:w="2232"/>
            <w:tcMar>
              <w:top w:w="90" w:type="dxa"/>
              <w:start w:w="90" w:type="dxa"/>
              <w:bottom w:w="90" w:type="dxa"/>
              <w:end w:w="90" w:type="dxa"/>
            </w:tcMar>
            <w:vAlign w:val="top"/>
          </w:tcPr>
          <w:p>
            <w:r>
              <w:rPr>
                <w:sz w:val="17"/>
              </w:rPr>
              <w:t>Financial side effect</w:t>
            </w:r>
          </w:p>
        </w:tc>
        <w:tc>
          <w:tcPr>
            <w:tcW w:type="dxa" w:w="7560"/>
            <w:tcMar>
              <w:top w:w="90" w:type="dxa"/>
              <w:start w:w="90" w:type="dxa"/>
              <w:bottom w:w="90" w:type="dxa"/>
              <w:end w:w="90" w:type="dxa"/>
            </w:tcMar>
            <w:vAlign w:val="top"/>
          </w:tcPr>
          <w:p>
            <w:r>
              <w:rPr>
                <w:sz w:val="17"/>
              </w:rPr>
              <w:t>Manual replay requires current-state validation, permission, reason, and audit.</w:t>
            </w:r>
          </w:p>
        </w:tc>
      </w:tr>
    </w:tbl>
    <w:p>
      <w:pPr>
        <w:widowControl/>
      </w:pPr>
    </w:p>
    <w:p>
      <w:pPr>
        <w:pStyle w:val="Heading2"/>
        <w:keepNext/>
        <w:widowControl/>
      </w:pPr>
      <w:r>
        <w:t>7.8 Event versioning</w:t>
      </w:r>
    </w:p>
    <w:p>
      <w:pPr>
        <w:pStyle w:val="ListBullet"/>
        <w:widowControl/>
        <w:spacing w:after="40"/>
      </w:pPr>
      <w:r>
        <w:t>JSON and JSON Schema are used initially for inspectability and lower operational overhead.</w:t>
      </w:r>
    </w:p>
    <w:p>
      <w:pPr>
        <w:pStyle w:val="ListBullet"/>
        <w:widowControl/>
        <w:spacing w:after="40"/>
      </w:pPr>
      <w:r>
        <w:t>Adding optional fields is backward compatible; removing or changing required meanings requires a new version.</w:t>
      </w:r>
    </w:p>
    <w:p>
      <w:pPr>
        <w:pStyle w:val="ListBullet"/>
        <w:widowControl/>
        <w:spacing w:after="40"/>
      </w:pPr>
      <w:r>
        <w:t>Consumers explicitly declare supported versions.</w:t>
      </w:r>
    </w:p>
    <w:p>
      <w:pPr>
        <w:pStyle w:val="ListBullet"/>
        <w:widowControl/>
        <w:spacing w:after="40"/>
      </w:pPr>
      <w:r>
        <w:t>Avro and Schema Registry are a documented future option, not a first-release requirement.</w:t>
      </w:r>
    </w:p>
    <w:p>
      <w:pPr>
        <w:pStyle w:val="ListBullet"/>
        <w:widowControl/>
        <w:spacing w:after="40"/>
      </w:pPr>
      <w:r>
        <w:t>JPA entities and domain aggregates never become shared event contracts.</w:t>
      </w:r>
    </w:p>
    <w:p>
      <w:pPr>
        <w:pStyle w:val="Heading1"/>
        <w:keepNext/>
        <w:widowControl/>
      </w:pPr>
      <w:r>
        <w:t>8. Identity, multi-tenancy, authorization, and security</w:t>
      </w:r>
    </w:p>
    <w:p>
      <w:pPr>
        <w:pStyle w:val="Heading2"/>
        <w:keepNext/>
        <w:widowControl/>
      </w:pPr>
      <w:r>
        <w:t>8.1 Authentication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Client</w:t>
            </w:r>
          </w:p>
        </w:tc>
        <w:tc>
          <w:tcPr>
            <w:tcW w:type="dxa" w:w="7344"/>
            <w:shd w:fill="1F4E78"/>
            <w:vAlign w:val="center"/>
            <w:tcMar>
              <w:top w:w="90" w:type="dxa"/>
              <w:start w:w="90" w:type="dxa"/>
              <w:bottom w:w="90" w:type="dxa"/>
              <w:end w:w="90" w:type="dxa"/>
            </w:tcMar>
          </w:tcPr>
          <w:p>
            <w:pPr>
              <w:jc w:val="left"/>
            </w:pPr>
            <w:r>
              <w:rPr>
                <w:b/>
                <w:color w:val="FFFFFF"/>
                <w:sz w:val="17"/>
              </w:rPr>
              <w:t>Flow</w:t>
            </w:r>
          </w:p>
        </w:tc>
      </w:tr>
      <w:tr>
        <w:trPr>
          <w:cantSplit/>
        </w:trPr>
        <w:tc>
          <w:tcPr>
            <w:tcW w:type="dxa" w:w="2448"/>
            <w:tcMar>
              <w:top w:w="90" w:type="dxa"/>
              <w:start w:w="90" w:type="dxa"/>
              <w:bottom w:w="90" w:type="dxa"/>
              <w:end w:w="90" w:type="dxa"/>
            </w:tcMar>
            <w:vAlign w:val="top"/>
          </w:tcPr>
          <w:p>
            <w:r>
              <w:rPr>
                <w:sz w:val="17"/>
              </w:rPr>
              <w:t>Operations Web</w:t>
            </w:r>
          </w:p>
        </w:tc>
        <w:tc>
          <w:tcPr>
            <w:tcW w:type="dxa" w:w="7344"/>
            <w:tcMar>
              <w:top w:w="90" w:type="dxa"/>
              <w:start w:w="90" w:type="dxa"/>
              <w:bottom w:w="90" w:type="dxa"/>
              <w:end w:w="90" w:type="dxa"/>
            </w:tcMar>
            <w:vAlign w:val="top"/>
          </w:tcPr>
          <w:p>
            <w:r>
              <w:rPr>
                <w:sz w:val="17"/>
              </w:rPr>
              <w:t>OIDC Authorization Code Flow with PKCE; secure HTTP-only cookies through a backend-for-frontend pattern where practical.</w:t>
            </w:r>
          </w:p>
        </w:tc>
      </w:tr>
      <w:tr>
        <w:trPr>
          <w:cantSplit/>
        </w:trPr>
        <w:tc>
          <w:tcPr>
            <w:tcW w:type="dxa" w:w="2448"/>
            <w:tcMar>
              <w:top w:w="90" w:type="dxa"/>
              <w:start w:w="90" w:type="dxa"/>
              <w:bottom w:w="90" w:type="dxa"/>
              <w:end w:w="90" w:type="dxa"/>
            </w:tcMar>
            <w:vAlign w:val="top"/>
          </w:tcPr>
          <w:p>
            <w:r>
              <w:rPr>
                <w:sz w:val="17"/>
              </w:rPr>
              <w:t>Service accounts</w:t>
            </w:r>
          </w:p>
        </w:tc>
        <w:tc>
          <w:tcPr>
            <w:tcW w:type="dxa" w:w="7344"/>
            <w:tcMar>
              <w:top w:w="90" w:type="dxa"/>
              <w:start w:w="90" w:type="dxa"/>
              <w:bottom w:w="90" w:type="dxa"/>
              <w:end w:w="90" w:type="dxa"/>
            </w:tcMar>
            <w:vAlign w:val="top"/>
          </w:tcPr>
          <w:p>
            <w:r>
              <w:rPr>
                <w:sz w:val="17"/>
              </w:rPr>
              <w:t>OAuth 2.0 Client Credentials with a distinct client identity for each service.</w:t>
            </w:r>
          </w:p>
        </w:tc>
      </w:tr>
      <w:tr>
        <w:trPr>
          <w:cantSplit/>
        </w:trPr>
        <w:tc>
          <w:tcPr>
            <w:tcW w:type="dxa" w:w="2448"/>
            <w:tcMar>
              <w:top w:w="90" w:type="dxa"/>
              <w:start w:w="90" w:type="dxa"/>
              <w:bottom w:w="90" w:type="dxa"/>
              <w:end w:w="90" w:type="dxa"/>
            </w:tcMar>
            <w:vAlign w:val="top"/>
          </w:tcPr>
          <w:p>
            <w:r>
              <w:rPr>
                <w:sz w:val="17"/>
              </w:rPr>
              <w:t>Provider Simulator</w:t>
            </w:r>
          </w:p>
        </w:tc>
        <w:tc>
          <w:tcPr>
            <w:tcW w:type="dxa" w:w="7344"/>
            <w:tcMar>
              <w:top w:w="90" w:type="dxa"/>
              <w:start w:w="90" w:type="dxa"/>
              <w:bottom w:w="90" w:type="dxa"/>
              <w:end w:w="90" w:type="dxa"/>
            </w:tcMar>
            <w:vAlign w:val="top"/>
          </w:tcPr>
          <w:p>
            <w:r>
              <w:rPr>
                <w:sz w:val="17"/>
              </w:rPr>
              <w:t>HMAC-signed API requests and signed webhooks for the simulated provider boundary.</w:t>
            </w:r>
          </w:p>
        </w:tc>
      </w:tr>
    </w:tbl>
    <w:p>
      <w:pPr>
        <w:widowControl/>
      </w:pPr>
    </w:p>
    <w:p>
      <w:pPr>
        <w:widowControl/>
        <w:spacing w:after="120"/>
      </w:pPr>
      <w:r>
        <w:t>LedgerOps stores no passwords. Access tokens are short-lived. The frontend does not persist bearer tokens in localStorage.</w:t>
      </w:r>
    </w:p>
    <w:p>
      <w:pPr>
        <w:pStyle w:val="Heading2"/>
        <w:keepNext/>
        <w:widowControl/>
      </w:pPr>
      <w:r>
        <w:t>8.2 Tenant and membership model</w:t>
      </w:r>
    </w:p>
    <w:p>
      <w:pPr>
        <w:pStyle w:val="CodeBlock"/>
        <w:keepLines/>
        <w:widowControl/>
      </w:pPr>
      <w:r>
        <w:t>User -&gt; TenantMembership -&gt; RoleAssignment -&gt; optional MerchantScope</w:t>
      </w:r>
    </w:p>
    <w:p>
      <w:pPr>
        <w:pStyle w:val="ListBullet"/>
        <w:widowControl/>
        <w:spacing w:after="40"/>
      </w:pPr>
      <w:r>
        <w:t>A user may belong to multiple tenants.</w:t>
      </w:r>
    </w:p>
    <w:p>
      <w:pPr>
        <w:pStyle w:val="ListBullet"/>
        <w:widowControl/>
        <w:spacing w:after="40"/>
      </w:pPr>
      <w:r>
        <w:t>Membership states are INVITED, ACTIVE, SUSPENDED, and REVOKED.</w:t>
      </w:r>
    </w:p>
    <w:p>
      <w:pPr>
        <w:pStyle w:val="ListBullet"/>
        <w:widowControl/>
        <w:spacing w:after="40"/>
      </w:pPr>
      <w:r>
        <w:t>Suspended or revoked membership blocks access even when the Keycloak account remains active.</w:t>
      </w:r>
    </w:p>
    <w:p>
      <w:pPr>
        <w:pStyle w:val="ListBullet"/>
        <w:widowControl/>
        <w:spacing w:after="40"/>
      </w:pPr>
      <w:r>
        <w:t>Tenant context comes from verified identity and validated selection, never an arbitrary client header.</w:t>
      </w:r>
    </w:p>
    <w:p>
      <w:pPr>
        <w:pStyle w:val="ListBullet"/>
        <w:widowControl/>
        <w:spacing w:after="40"/>
      </w:pPr>
      <w:r>
        <w:t>Platform administrators enter tenant support mode explicitly, with a reason, time limit, UI indicator, and complete audit trail.</w:t>
      </w:r>
    </w:p>
    <w:p>
      <w:pPr>
        <w:pStyle w:val="Heading2"/>
        <w:keepNext/>
        <w:widowControl/>
      </w:pPr>
      <w:r>
        <w:t>8.3 Roles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Role</w:t>
            </w:r>
          </w:p>
        </w:tc>
        <w:tc>
          <w:tcPr>
            <w:tcW w:type="dxa" w:w="4896"/>
            <w:shd w:fill="1F4E78"/>
            <w:vAlign w:val="center"/>
            <w:tcMar>
              <w:top w:w="90" w:type="dxa"/>
              <w:start w:w="90" w:type="dxa"/>
              <w:bottom w:w="90" w:type="dxa"/>
              <w:end w:w="90" w:type="dxa"/>
            </w:tcMar>
          </w:tcPr>
          <w:p>
            <w:pPr>
              <w:jc w:val="left"/>
            </w:pPr>
            <w:r>
              <w:rPr>
                <w:b/>
                <w:color w:val="FFFFFF"/>
                <w:sz w:val="17"/>
              </w:rPr>
              <w:t>Primary capabilities</w:t>
            </w:r>
          </w:p>
        </w:tc>
        <w:tc>
          <w:tcPr>
            <w:tcW w:type="dxa" w:w="3024"/>
            <w:shd w:fill="1F4E78"/>
            <w:vAlign w:val="center"/>
            <w:tcMar>
              <w:top w:w="90" w:type="dxa"/>
              <w:start w:w="90" w:type="dxa"/>
              <w:bottom w:w="90" w:type="dxa"/>
              <w:end w:w="90" w:type="dxa"/>
            </w:tcMar>
          </w:tcPr>
          <w:p>
            <w:pPr>
              <w:jc w:val="left"/>
            </w:pPr>
            <w:r>
              <w:rPr>
                <w:b/>
                <w:color w:val="FFFFFF"/>
                <w:sz w:val="17"/>
              </w:rPr>
              <w:t>Important restriction</w:t>
            </w:r>
          </w:p>
        </w:tc>
      </w:tr>
      <w:tr>
        <w:trPr>
          <w:cantSplit/>
        </w:trPr>
        <w:tc>
          <w:tcPr>
            <w:tcW w:type="dxa" w:w="1872"/>
            <w:tcMar>
              <w:top w:w="90" w:type="dxa"/>
              <w:start w:w="90" w:type="dxa"/>
              <w:bottom w:w="90" w:type="dxa"/>
              <w:end w:w="90" w:type="dxa"/>
            </w:tcMar>
            <w:vAlign w:val="top"/>
          </w:tcPr>
          <w:p>
            <w:r>
              <w:rPr>
                <w:sz w:val="17"/>
              </w:rPr>
              <w:t>PLATFORM_ADMIN</w:t>
            </w:r>
          </w:p>
        </w:tc>
        <w:tc>
          <w:tcPr>
            <w:tcW w:type="dxa" w:w="4896"/>
            <w:tcMar>
              <w:top w:w="90" w:type="dxa"/>
              <w:start w:w="90" w:type="dxa"/>
              <w:bottom w:w="90" w:type="dxa"/>
              <w:end w:w="90" w:type="dxa"/>
            </w:tcMar>
            <w:vAlign w:val="top"/>
          </w:tcPr>
          <w:p>
            <w:r>
              <w:rPr>
                <w:sz w:val="17"/>
              </w:rPr>
              <w:t>Tenant lifecycle, platform health, controlled support sessions.</w:t>
            </w:r>
          </w:p>
        </w:tc>
        <w:tc>
          <w:tcPr>
            <w:tcW w:type="dxa" w:w="3024"/>
            <w:tcMar>
              <w:top w:w="90" w:type="dxa"/>
              <w:start w:w="90" w:type="dxa"/>
              <w:bottom w:w="90" w:type="dxa"/>
              <w:end w:w="90" w:type="dxa"/>
            </w:tcMar>
            <w:vAlign w:val="top"/>
          </w:tcPr>
          <w:p>
            <w:r>
              <w:rPr>
                <w:sz w:val="17"/>
              </w:rPr>
              <w:t>Tenant support sessions are explicit, time-limited, read-only, and audited; no tenant business mutations.</w:t>
            </w:r>
          </w:p>
        </w:tc>
      </w:tr>
      <w:tr>
        <w:trPr>
          <w:cantSplit/>
        </w:trPr>
        <w:tc>
          <w:tcPr>
            <w:tcW w:type="dxa" w:w="1872"/>
            <w:tcMar>
              <w:top w:w="90" w:type="dxa"/>
              <w:start w:w="90" w:type="dxa"/>
              <w:bottom w:w="90" w:type="dxa"/>
              <w:end w:w="90" w:type="dxa"/>
            </w:tcMar>
            <w:vAlign w:val="top"/>
          </w:tcPr>
          <w:p>
            <w:r>
              <w:rPr>
                <w:sz w:val="17"/>
              </w:rPr>
              <w:t>TENANT_ADMIN</w:t>
            </w:r>
          </w:p>
        </w:tc>
        <w:tc>
          <w:tcPr>
            <w:tcW w:type="dxa" w:w="4896"/>
            <w:tcMar>
              <w:top w:w="90" w:type="dxa"/>
              <w:start w:w="90" w:type="dxa"/>
              <w:bottom w:w="90" w:type="dxa"/>
              <w:end w:w="90" w:type="dxa"/>
            </w:tcMar>
            <w:vAlign w:val="top"/>
          </w:tcPr>
          <w:p>
            <w:r>
              <w:rPr>
                <w:sz w:val="17"/>
              </w:rPr>
              <w:t>Tenant users, roles, limits, tenant-wide reporting.</w:t>
            </w:r>
          </w:p>
        </w:tc>
        <w:tc>
          <w:tcPr>
            <w:tcW w:type="dxa" w:w="3024"/>
            <w:tcMar>
              <w:top w:w="90" w:type="dxa"/>
              <w:start w:w="90" w:type="dxa"/>
              <w:bottom w:w="90" w:type="dxa"/>
              <w:end w:w="90" w:type="dxa"/>
            </w:tcMar>
            <w:vAlign w:val="top"/>
          </w:tcPr>
          <w:p>
            <w:r>
              <w:rPr>
                <w:sz w:val="17"/>
              </w:rPr>
              <w:t>Cannot mutate immutable ledger/audit history.</w:t>
            </w:r>
          </w:p>
        </w:tc>
      </w:tr>
      <w:tr>
        <w:trPr>
          <w:cantSplit/>
        </w:trPr>
        <w:tc>
          <w:tcPr>
            <w:tcW w:type="dxa" w:w="1872"/>
            <w:tcMar>
              <w:top w:w="90" w:type="dxa"/>
              <w:start w:w="90" w:type="dxa"/>
              <w:bottom w:w="90" w:type="dxa"/>
              <w:end w:w="90" w:type="dxa"/>
            </w:tcMar>
            <w:vAlign w:val="top"/>
          </w:tcPr>
          <w:p>
            <w:r>
              <w:rPr>
                <w:sz w:val="17"/>
              </w:rPr>
              <w:t>MERCHANT_ADMIN</w:t>
            </w:r>
          </w:p>
        </w:tc>
        <w:tc>
          <w:tcPr>
            <w:tcW w:type="dxa" w:w="4896"/>
            <w:tcMar>
              <w:top w:w="90" w:type="dxa"/>
              <w:start w:w="90" w:type="dxa"/>
              <w:bottom w:w="90" w:type="dxa"/>
              <w:end w:w="90" w:type="dxa"/>
            </w:tcMar>
            <w:vAlign w:val="top"/>
          </w:tcPr>
          <w:p>
            <w:r>
              <w:rPr>
                <w:sz w:val="17"/>
              </w:rPr>
              <w:t>Assigned merchant configuration, payment views, reports, permitted reversal requests.</w:t>
            </w:r>
          </w:p>
        </w:tc>
        <w:tc>
          <w:tcPr>
            <w:tcW w:type="dxa" w:w="3024"/>
            <w:tcMar>
              <w:top w:w="90" w:type="dxa"/>
              <w:start w:w="90" w:type="dxa"/>
              <w:bottom w:w="90" w:type="dxa"/>
              <w:end w:w="90" w:type="dxa"/>
            </w:tcMar>
            <w:vAlign w:val="top"/>
          </w:tcPr>
          <w:p>
            <w:r>
              <w:rPr>
                <w:sz w:val="17"/>
              </w:rPr>
              <w:t>Cannot access unassigned merchants.</w:t>
            </w:r>
          </w:p>
        </w:tc>
      </w:tr>
      <w:tr>
        <w:trPr>
          <w:cantSplit/>
        </w:trPr>
        <w:tc>
          <w:tcPr>
            <w:tcW w:type="dxa" w:w="1872"/>
            <w:tcMar>
              <w:top w:w="90" w:type="dxa"/>
              <w:start w:w="90" w:type="dxa"/>
              <w:bottom w:w="90" w:type="dxa"/>
              <w:end w:w="90" w:type="dxa"/>
            </w:tcMar>
            <w:vAlign w:val="top"/>
          </w:tcPr>
          <w:p>
            <w:r>
              <w:rPr>
                <w:sz w:val="17"/>
              </w:rPr>
              <w:t>OPERATIONS_AGENT</w:t>
            </w:r>
          </w:p>
        </w:tc>
        <w:tc>
          <w:tcPr>
            <w:tcW w:type="dxa" w:w="4896"/>
            <w:tcMar>
              <w:top w:w="90" w:type="dxa"/>
              <w:start w:w="90" w:type="dxa"/>
              <w:bottom w:w="90" w:type="dxa"/>
              <w:end w:w="90" w:type="dxa"/>
            </w:tcMar>
            <w:vAlign w:val="top"/>
          </w:tcPr>
          <w:p>
            <w:r>
              <w:rPr>
                <w:sz w:val="17"/>
              </w:rPr>
              <w:t>Investigate failures, cases, controlled retries.</w:t>
            </w:r>
          </w:p>
        </w:tc>
        <w:tc>
          <w:tcPr>
            <w:tcW w:type="dxa" w:w="3024"/>
            <w:tcMar>
              <w:top w:w="90" w:type="dxa"/>
              <w:start w:w="90" w:type="dxa"/>
              <w:bottom w:w="90" w:type="dxa"/>
              <w:end w:w="90" w:type="dxa"/>
            </w:tcMar>
            <w:vAlign w:val="top"/>
          </w:tcPr>
          <w:p>
            <w:r>
              <w:rPr>
                <w:sz w:val="17"/>
              </w:rPr>
              <w:t>Cannot change risk rules or ledger history.</w:t>
            </w:r>
          </w:p>
        </w:tc>
      </w:tr>
      <w:tr>
        <w:trPr>
          <w:cantSplit/>
        </w:trPr>
        <w:tc>
          <w:tcPr>
            <w:tcW w:type="dxa" w:w="1872"/>
            <w:tcMar>
              <w:top w:w="90" w:type="dxa"/>
              <w:start w:w="90" w:type="dxa"/>
              <w:bottom w:w="90" w:type="dxa"/>
              <w:end w:w="90" w:type="dxa"/>
            </w:tcMar>
            <w:vAlign w:val="top"/>
          </w:tcPr>
          <w:p>
            <w:r>
              <w:rPr>
                <w:sz w:val="17"/>
              </w:rPr>
              <w:t>RISK_ANALYST</w:t>
            </w:r>
          </w:p>
        </w:tc>
        <w:tc>
          <w:tcPr>
            <w:tcW w:type="dxa" w:w="4896"/>
            <w:tcMar>
              <w:top w:w="90" w:type="dxa"/>
              <w:start w:w="90" w:type="dxa"/>
              <w:bottom w:w="90" w:type="dxa"/>
              <w:end w:w="90" w:type="dxa"/>
            </w:tcMar>
            <w:vAlign w:val="top"/>
          </w:tcPr>
          <w:p>
            <w:r>
              <w:rPr>
                <w:sz w:val="17"/>
              </w:rPr>
              <w:t>Review risk cases and authorized rules.</w:t>
            </w:r>
          </w:p>
        </w:tc>
        <w:tc>
          <w:tcPr>
            <w:tcW w:type="dxa" w:w="3024"/>
            <w:tcMar>
              <w:top w:w="90" w:type="dxa"/>
              <w:start w:w="90" w:type="dxa"/>
              <w:bottom w:w="90" w:type="dxa"/>
              <w:end w:w="90" w:type="dxa"/>
            </w:tcMar>
            <w:vAlign w:val="top"/>
          </w:tcPr>
          <w:p>
            <w:r>
              <w:rPr>
                <w:sz w:val="17"/>
              </w:rPr>
              <w:t>Cannot administer users or unrelated reconciliation.</w:t>
            </w:r>
          </w:p>
        </w:tc>
      </w:tr>
      <w:tr>
        <w:trPr>
          <w:cantSplit/>
        </w:trPr>
        <w:tc>
          <w:tcPr>
            <w:tcW w:type="dxa" w:w="1872"/>
            <w:tcMar>
              <w:top w:w="90" w:type="dxa"/>
              <w:start w:w="90" w:type="dxa"/>
              <w:bottom w:w="90" w:type="dxa"/>
              <w:end w:w="90" w:type="dxa"/>
            </w:tcMar>
            <w:vAlign w:val="top"/>
          </w:tcPr>
          <w:p>
            <w:r>
              <w:rPr>
                <w:sz w:val="17"/>
              </w:rPr>
              <w:t>AUDITOR</w:t>
            </w:r>
          </w:p>
        </w:tc>
        <w:tc>
          <w:tcPr>
            <w:tcW w:type="dxa" w:w="4896"/>
            <w:tcMar>
              <w:top w:w="90" w:type="dxa"/>
              <w:start w:w="90" w:type="dxa"/>
              <w:bottom w:w="90" w:type="dxa"/>
              <w:end w:w="90" w:type="dxa"/>
            </w:tcMar>
            <w:vAlign w:val="top"/>
          </w:tcPr>
          <w:p>
            <w:r>
              <w:rPr>
                <w:sz w:val="17"/>
              </w:rPr>
              <w:t>Read payments, ledger, audit, reconciliation, and approved exports.</w:t>
            </w:r>
          </w:p>
        </w:tc>
        <w:tc>
          <w:tcPr>
            <w:tcW w:type="dxa" w:w="3024"/>
            <w:tcMar>
              <w:top w:w="90" w:type="dxa"/>
              <w:start w:w="90" w:type="dxa"/>
              <w:bottom w:w="90" w:type="dxa"/>
              <w:end w:w="90" w:type="dxa"/>
            </w:tcMar>
            <w:vAlign w:val="top"/>
          </w:tcPr>
          <w:p>
            <w:r>
              <w:rPr>
                <w:sz w:val="17"/>
              </w:rPr>
              <w:t>No mutations.</w:t>
            </w:r>
          </w:p>
        </w:tc>
      </w:tr>
      <w:tr>
        <w:trPr>
          <w:cantSplit/>
        </w:trPr>
        <w:tc>
          <w:tcPr>
            <w:tcW w:type="dxa" w:w="1872"/>
            <w:tcMar>
              <w:top w:w="90" w:type="dxa"/>
              <w:start w:w="90" w:type="dxa"/>
              <w:bottom w:w="90" w:type="dxa"/>
              <w:end w:w="90" w:type="dxa"/>
            </w:tcMar>
            <w:vAlign w:val="top"/>
          </w:tcPr>
          <w:p>
            <w:r>
              <w:rPr>
                <w:sz w:val="17"/>
              </w:rPr>
              <w:t>VIEWER</w:t>
            </w:r>
          </w:p>
        </w:tc>
        <w:tc>
          <w:tcPr>
            <w:tcW w:type="dxa" w:w="4896"/>
            <w:tcMar>
              <w:top w:w="90" w:type="dxa"/>
              <w:start w:w="90" w:type="dxa"/>
              <w:bottom w:w="90" w:type="dxa"/>
              <w:end w:w="90" w:type="dxa"/>
            </w:tcMar>
            <w:vAlign w:val="top"/>
          </w:tcPr>
          <w:p>
            <w:r>
              <w:rPr>
                <w:sz w:val="17"/>
              </w:rPr>
              <w:t>Scoped read-only dashboards and records.</w:t>
            </w:r>
          </w:p>
        </w:tc>
        <w:tc>
          <w:tcPr>
            <w:tcW w:type="dxa" w:w="3024"/>
            <w:tcMar>
              <w:top w:w="90" w:type="dxa"/>
              <w:start w:w="90" w:type="dxa"/>
              <w:bottom w:w="90" w:type="dxa"/>
              <w:end w:w="90" w:type="dxa"/>
            </w:tcMar>
            <w:vAlign w:val="top"/>
          </w:tcPr>
          <w:p>
            <w:r>
              <w:rPr>
                <w:sz w:val="17"/>
              </w:rPr>
              <w:t>No operational actions.</w:t>
            </w:r>
          </w:p>
        </w:tc>
      </w:tr>
      <w:tr>
        <w:trPr>
          <w:cantSplit/>
        </w:trPr>
        <w:tc>
          <w:tcPr>
            <w:tcW w:type="dxa" w:w="1872"/>
            <w:tcMar>
              <w:top w:w="90" w:type="dxa"/>
              <w:start w:w="90" w:type="dxa"/>
              <w:bottom w:w="90" w:type="dxa"/>
              <w:end w:w="90" w:type="dxa"/>
            </w:tcMar>
            <w:vAlign w:val="top"/>
          </w:tcPr>
          <w:p>
            <w:r>
              <w:rPr>
                <w:sz w:val="17"/>
              </w:rPr>
              <w:t>SERVICE_ACCOUNT</w:t>
            </w:r>
          </w:p>
        </w:tc>
        <w:tc>
          <w:tcPr>
            <w:tcW w:type="dxa" w:w="4896"/>
            <w:tcMar>
              <w:top w:w="90" w:type="dxa"/>
              <w:start w:w="90" w:type="dxa"/>
              <w:bottom w:w="90" w:type="dxa"/>
              <w:end w:w="90" w:type="dxa"/>
            </w:tcMar>
            <w:vAlign w:val="top"/>
          </w:tcPr>
          <w:p>
            <w:r>
              <w:rPr>
                <w:sz w:val="17"/>
              </w:rPr>
              <w:t>Only explicitly assigned machine operations.</w:t>
            </w:r>
          </w:p>
        </w:tc>
        <w:tc>
          <w:tcPr>
            <w:tcW w:type="dxa" w:w="3024"/>
            <w:tcMar>
              <w:top w:w="90" w:type="dxa"/>
              <w:start w:w="90" w:type="dxa"/>
              <w:bottom w:w="90" w:type="dxa"/>
              <w:end w:w="90" w:type="dxa"/>
            </w:tcMar>
            <w:vAlign w:val="top"/>
          </w:tcPr>
          <w:p>
            <w:r>
              <w:rPr>
                <w:sz w:val="17"/>
              </w:rPr>
              <w:t>No shared universal service identity.</w:t>
            </w:r>
          </w:p>
        </w:tc>
      </w:tr>
    </w:tbl>
    <w:p>
      <w:pPr>
        <w:widowControl/>
      </w:pPr>
    </w:p>
    <w:p>
      <w:pPr>
        <w:widowControl/>
        <w:spacing w:after="120"/>
      </w:pPr>
      <w:r>
        <w:t>Application code authorizes explicit tenant-scoped permissions such as payment:read, reversal:request, reconciliation:resolve, and support:tenant-read. Role names are not hard-coded throughout use cases.</w:t>
      </w:r>
    </w:p>
    <w:p>
      <w:pPr>
        <w:pStyle w:val="Heading2"/>
        <w:keepNext/>
        <w:widowControl/>
      </w:pPr>
      <w:r>
        <w:t>8.4 Authorization layers</w:t>
      </w:r>
    </w:p>
    <w:p>
      <w:pPr>
        <w:pStyle w:val="ListNumber"/>
        <w:widowControl/>
        <w:numPr>
          <w:ilvl w:val="0"/>
          <w:numId w:val="12"/>
        </w:numPr>
        <w:spacing w:after="40"/>
      </w:pPr>
      <w:r>
        <w:t>API layer rejects obviously unauthorized endpoints.</w:t>
      </w:r>
    </w:p>
    <w:p>
      <w:pPr>
        <w:pStyle w:val="ListNumber"/>
        <w:widowControl/>
        <w:numPr>
          <w:ilvl w:val="0"/>
          <w:numId w:val="12"/>
        </w:numPr>
        <w:spacing w:after="40"/>
      </w:pPr>
      <w:r>
        <w:t>Application layer checks the required permission, resource tenant, merchant scope, and business-state rules.</w:t>
      </w:r>
    </w:p>
    <w:p>
      <w:pPr>
        <w:pStyle w:val="ListNumber"/>
        <w:widowControl/>
        <w:numPr>
          <w:ilvl w:val="0"/>
          <w:numId w:val="12"/>
        </w:numPr>
        <w:spacing w:after="40"/>
      </w:pPr>
      <w:r>
        <w:t>Repositories require tenant-scoped query methods.</w:t>
      </w:r>
    </w:p>
    <w:p>
      <w:pPr>
        <w:pStyle w:val="ListNumber"/>
        <w:widowControl/>
        <w:numPr>
          <w:ilvl w:val="0"/>
          <w:numId w:val="12"/>
        </w:numPr>
        <w:spacing w:after="40"/>
      </w:pPr>
      <w:r>
        <w:t>Optional PostgreSQL RLS adds database-level defence in depth.</w:t>
      </w:r>
    </w:p>
    <w:p>
      <w:pPr>
        <w:pStyle w:val="ListNumber"/>
        <w:widowControl/>
        <w:numPr>
          <w:ilvl w:val="0"/>
          <w:numId w:val="12"/>
        </w:numPr>
        <w:spacing w:after="40"/>
      </w:pPr>
      <w:r>
        <w:t>Frontend visibility is usability only and never the security boundary.</w:t>
      </w:r>
    </w:p>
    <w:p>
      <w:pPr>
        <w:pStyle w:val="Heading2"/>
        <w:keepNext/>
        <w:widowControl/>
      </w:pPr>
      <w:r>
        <w:t>8.5 Sensitive operations and confirmation</w:t>
      </w:r>
    </w:p>
    <w:p>
      <w:pPr>
        <w:pStyle w:val="ListBullet"/>
        <w:widowControl/>
        <w:spacing w:after="40"/>
      </w:pPr>
      <w:r>
        <w:t>Sensitive actions require explicit tenant-scoped capability authorization, explicit confirmation identifying the affected record and expected consequence, a reason where applicable, and immutable audit evidence.</w:t>
      </w:r>
    </w:p>
    <w:p>
      <w:pPr>
        <w:pStyle w:val="ListBullet"/>
        <w:widowControl/>
        <w:spacing w:after="40"/>
      </w:pPr>
      <w:r>
        <w:t>Recent re-authentication or MFA may be required for elevated actions.</w:t>
      </w:r>
    </w:p>
    <w:p>
      <w:pPr>
        <w:pStyle w:val="ListBullet"/>
        <w:widowControl/>
        <w:spacing w:after="40"/>
      </w:pPr>
      <w:r>
        <w:t>Formal approval-chain aggregates, self-approval workflow rules, and approval-state machines are not part of the baseline.</w:t>
      </w:r>
    </w:p>
    <w:p>
      <w:pPr>
        <w:pStyle w:val="ListBullet"/>
        <w:widowControl/>
        <w:spacing w:after="40"/>
      </w:pPr>
      <w:r>
        <w:t>Formal approval chains for large reversals or financial adjustments remain deferred beyond the baseline.</w:t>
      </w:r>
    </w:p>
    <w:p>
      <w:pPr>
        <w:pStyle w:val="Heading2"/>
        <w:keepNext/>
        <w:widowControl/>
      </w:pPr>
      <w:r>
        <w:t>8.6 Data and API security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F4E78"/>
            <w:vAlign w:val="center"/>
            <w:tcMar>
              <w:top w:w="90" w:type="dxa"/>
              <w:start w:w="90" w:type="dxa"/>
              <w:bottom w:w="90" w:type="dxa"/>
              <w:end w:w="90" w:type="dxa"/>
            </w:tcMar>
          </w:tcPr>
          <w:p>
            <w:pPr>
              <w:jc w:val="left"/>
            </w:pPr>
            <w:r>
              <w:rPr>
                <w:b/>
                <w:color w:val="FFFFFF"/>
                <w:sz w:val="17"/>
              </w:rPr>
              <w:t>Control</w:t>
            </w:r>
          </w:p>
        </w:tc>
        <w:tc>
          <w:tcPr>
            <w:tcW w:type="dxa" w:w="7776"/>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016"/>
            <w:tcMar>
              <w:top w:w="90" w:type="dxa"/>
              <w:start w:w="90" w:type="dxa"/>
              <w:bottom w:w="90" w:type="dxa"/>
              <w:end w:w="90" w:type="dxa"/>
            </w:tcMar>
            <w:vAlign w:val="top"/>
          </w:tcPr>
          <w:p>
            <w:r>
              <w:rPr>
                <w:sz w:val="17"/>
              </w:rPr>
              <w:t>Data minimization</w:t>
            </w:r>
          </w:p>
        </w:tc>
        <w:tc>
          <w:tcPr>
            <w:tcW w:type="dxa" w:w="7776"/>
            <w:tcMar>
              <w:top w:w="90" w:type="dxa"/>
              <w:start w:w="90" w:type="dxa"/>
              <w:bottom w:w="90" w:type="dxa"/>
              <w:end w:w="90" w:type="dxa"/>
            </w:tcMar>
            <w:vAlign w:val="top"/>
          </w:tcPr>
          <w:p>
            <w:r>
              <w:rPr>
                <w:sz w:val="17"/>
              </w:rPr>
              <w:t>No real card numbers, CVV, government identifiers, or unnecessary personal profiles.</w:t>
            </w:r>
          </w:p>
        </w:tc>
      </w:tr>
      <w:tr>
        <w:trPr>
          <w:cantSplit/>
        </w:trPr>
        <w:tc>
          <w:tcPr>
            <w:tcW w:type="dxa" w:w="2016"/>
            <w:tcMar>
              <w:top w:w="90" w:type="dxa"/>
              <w:start w:w="90" w:type="dxa"/>
              <w:bottom w:w="90" w:type="dxa"/>
              <w:end w:w="90" w:type="dxa"/>
            </w:tcMar>
            <w:vAlign w:val="top"/>
          </w:tcPr>
          <w:p>
            <w:r>
              <w:rPr>
                <w:sz w:val="17"/>
              </w:rPr>
              <w:t>Encryption</w:t>
            </w:r>
          </w:p>
        </w:tc>
        <w:tc>
          <w:tcPr>
            <w:tcW w:type="dxa" w:w="7776"/>
            <w:tcMar>
              <w:top w:w="90" w:type="dxa"/>
              <w:start w:w="90" w:type="dxa"/>
              <w:bottom w:w="90" w:type="dxa"/>
              <w:end w:w="90" w:type="dxa"/>
            </w:tcMar>
            <w:vAlign w:val="top"/>
          </w:tcPr>
          <w:p>
            <w:r>
              <w:rPr>
                <w:sz w:val="17"/>
              </w:rPr>
              <w:t>TLS in transit, managed encryption at rest, encrypted backups, external secret management.</w:t>
            </w:r>
          </w:p>
        </w:tc>
      </w:tr>
      <w:tr>
        <w:trPr>
          <w:cantSplit/>
        </w:trPr>
        <w:tc>
          <w:tcPr>
            <w:tcW w:type="dxa" w:w="2016"/>
            <w:tcMar>
              <w:top w:w="90" w:type="dxa"/>
              <w:start w:w="90" w:type="dxa"/>
              <w:bottom w:w="90" w:type="dxa"/>
              <w:end w:w="90" w:type="dxa"/>
            </w:tcMar>
            <w:vAlign w:val="top"/>
          </w:tcPr>
          <w:p>
            <w:r>
              <w:rPr>
                <w:sz w:val="17"/>
              </w:rPr>
              <w:t>Webhooks</w:t>
            </w:r>
          </w:p>
        </w:tc>
        <w:tc>
          <w:tcPr>
            <w:tcW w:type="dxa" w:w="7776"/>
            <w:tcMar>
              <w:top w:w="90" w:type="dxa"/>
              <w:start w:w="90" w:type="dxa"/>
              <w:bottom w:w="90" w:type="dxa"/>
              <w:end w:w="90" w:type="dxa"/>
            </w:tcMar>
            <w:vAlign w:val="top"/>
          </w:tcPr>
          <w:p>
            <w:r>
              <w:rPr>
                <w:sz w:val="17"/>
              </w:rPr>
              <w:t>Signature verification, timestamp validation, replay window, deduplication, size limits.</w:t>
            </w:r>
          </w:p>
        </w:tc>
      </w:tr>
      <w:tr>
        <w:trPr>
          <w:cantSplit/>
        </w:trPr>
        <w:tc>
          <w:tcPr>
            <w:tcW w:type="dxa" w:w="2016"/>
            <w:tcMar>
              <w:top w:w="90" w:type="dxa"/>
              <w:start w:w="90" w:type="dxa"/>
              <w:bottom w:w="90" w:type="dxa"/>
              <w:end w:w="90" w:type="dxa"/>
            </w:tcMar>
            <w:vAlign w:val="top"/>
          </w:tcPr>
          <w:p>
            <w:r>
              <w:rPr>
                <w:sz w:val="17"/>
              </w:rPr>
              <w:t>Rate limiting</w:t>
            </w:r>
          </w:p>
        </w:tc>
        <w:tc>
          <w:tcPr>
            <w:tcW w:type="dxa" w:w="7776"/>
            <w:tcMar>
              <w:top w:w="90" w:type="dxa"/>
              <w:start w:w="90" w:type="dxa"/>
              <w:bottom w:w="90" w:type="dxa"/>
              <w:end w:w="90" w:type="dxa"/>
            </w:tcMar>
            <w:vAlign w:val="top"/>
          </w:tcPr>
          <w:p>
            <w:r>
              <w:rPr>
                <w:sz w:val="17"/>
              </w:rPr>
              <w:t>Tenant, merchant, client, endpoint, and IP where appropriate; Redis may support counters.</w:t>
            </w:r>
          </w:p>
        </w:tc>
      </w:tr>
      <w:tr>
        <w:trPr>
          <w:cantSplit/>
        </w:trPr>
        <w:tc>
          <w:tcPr>
            <w:tcW w:type="dxa" w:w="2016"/>
            <w:tcMar>
              <w:top w:w="90" w:type="dxa"/>
              <w:start w:w="90" w:type="dxa"/>
              <w:bottom w:w="90" w:type="dxa"/>
              <w:end w:w="90" w:type="dxa"/>
            </w:tcMar>
            <w:vAlign w:val="top"/>
          </w:tcPr>
          <w:p>
            <w:r>
              <w:rPr>
                <w:sz w:val="17"/>
              </w:rPr>
              <w:t>Logging</w:t>
            </w:r>
          </w:p>
        </w:tc>
        <w:tc>
          <w:tcPr>
            <w:tcW w:type="dxa" w:w="7776"/>
            <w:tcMar>
              <w:top w:w="90" w:type="dxa"/>
              <w:start w:w="90" w:type="dxa"/>
              <w:bottom w:w="90" w:type="dxa"/>
              <w:end w:w="90" w:type="dxa"/>
            </w:tcMar>
            <w:vAlign w:val="top"/>
          </w:tcPr>
          <w:p>
            <w:r>
              <w:rPr>
                <w:sz w:val="17"/>
              </w:rPr>
              <w:t>Never log passwords, tokens, secrets, full signatures, or complete sensitive payloads.</w:t>
            </w:r>
          </w:p>
        </w:tc>
      </w:tr>
      <w:tr>
        <w:trPr>
          <w:cantSplit/>
        </w:trPr>
        <w:tc>
          <w:tcPr>
            <w:tcW w:type="dxa" w:w="2016"/>
            <w:tcMar>
              <w:top w:w="90" w:type="dxa"/>
              <w:start w:w="90" w:type="dxa"/>
              <w:bottom w:w="90" w:type="dxa"/>
              <w:end w:w="90" w:type="dxa"/>
            </w:tcMar>
            <w:vAlign w:val="top"/>
          </w:tcPr>
          <w:p>
            <w:r>
              <w:rPr>
                <w:sz w:val="17"/>
              </w:rPr>
              <w:t>Browser</w:t>
            </w:r>
          </w:p>
        </w:tc>
        <w:tc>
          <w:tcPr>
            <w:tcW w:type="dxa" w:w="7776"/>
            <w:tcMar>
              <w:top w:w="90" w:type="dxa"/>
              <w:start w:w="90" w:type="dxa"/>
              <w:bottom w:w="90" w:type="dxa"/>
              <w:end w:w="90" w:type="dxa"/>
            </w:tcMar>
            <w:vAlign w:val="top"/>
          </w:tcPr>
          <w:p>
            <w:r>
              <w:rPr>
                <w:sz w:val="17"/>
              </w:rPr>
              <w:t>Strict CORS, CSP, CSRF protection where cookie auth is used, secure cookies, frame restrictions.</w:t>
            </w:r>
          </w:p>
        </w:tc>
      </w:tr>
      <w:tr>
        <w:trPr>
          <w:cantSplit/>
        </w:trPr>
        <w:tc>
          <w:tcPr>
            <w:tcW w:type="dxa" w:w="2016"/>
            <w:tcMar>
              <w:top w:w="90" w:type="dxa"/>
              <w:start w:w="90" w:type="dxa"/>
              <w:bottom w:w="90" w:type="dxa"/>
              <w:end w:w="90" w:type="dxa"/>
            </w:tcMar>
            <w:vAlign w:val="top"/>
          </w:tcPr>
          <w:p>
            <w:r>
              <w:rPr>
                <w:sz w:val="17"/>
              </w:rPr>
              <w:t>Claims</w:t>
            </w:r>
          </w:p>
        </w:tc>
        <w:tc>
          <w:tcPr>
            <w:tcW w:type="dxa" w:w="7776"/>
            <w:tcMar>
              <w:top w:w="90" w:type="dxa"/>
              <w:start w:w="90" w:type="dxa"/>
              <w:bottom w:w="90" w:type="dxa"/>
              <w:end w:w="90" w:type="dxa"/>
            </w:tcMar>
            <w:vAlign w:val="top"/>
          </w:tcPr>
          <w:p>
            <w:r>
              <w:rPr>
                <w:sz w:val="17"/>
              </w:rPr>
              <w:t>No PCI DSS, SAMA approval, or production banking-compliance claim.</w:t>
            </w:r>
          </w:p>
        </w:tc>
      </w:tr>
    </w:tbl>
    <w:p>
      <w:pPr>
        <w:widowControl/>
      </w:pPr>
    </w:p>
    <w:p>
      <w:pPr>
        <w:pStyle w:val="Heading1"/>
        <w:keepNext/>
        <w:widowControl/>
      </w:pPr>
      <w:r>
        <w:t>9. Provider integration and Payment orchestration</w:t>
      </w:r>
    </w:p>
    <w:p>
      <w:pPr>
        <w:pStyle w:val="Heading2"/>
        <w:keepNext/>
        <w:widowControl/>
      </w:pPr>
      <w:r>
        <w:t>9.1 Provider abstraction</w:t>
      </w:r>
    </w:p>
    <w:p>
      <w:pPr>
        <w:pStyle w:val="CodeBlock"/>
        <w:keepLines/>
        <w:widowControl/>
      </w:pPr>
      <w:r>
        <w:t>public interface PaymentProviderGateway {</w:t>
        <w:br/>
        <w:t xml:space="preserve">    ProviderSubmissionResult submitPayment(ProviderPaymentRequest request);</w:t>
        <w:br/>
        <w:t xml:space="preserve">    ProviderReversalResult submitReversal(ProviderReversalRequest request);</w:t>
        <w:br/>
        <w:t xml:space="preserve">    ProviderStatusResult queryPaymentStatus(ProviderStatusRequest request);</w:t>
        <w:br/>
        <w:t>}</w:t>
      </w:r>
    </w:p>
    <w:p>
      <w:pPr>
        <w:widowControl/>
        <w:spacing w:after="120"/>
      </w:pPr>
      <w:r>
        <w:t>Provider-specific adapters map internal requests to provider contracts and translate provider results into internal categories. They never mutate the Payment aggregate directly.</w:t>
      </w:r>
    </w:p>
    <w:p>
      <w:pPr>
        <w:pStyle w:val="Heading2"/>
        <w:keepNext/>
        <w:widowControl/>
      </w:pPr>
      <w:r>
        <w:t>9.2 Submission workflow</w:t>
      </w:r>
    </w:p>
    <w:p>
      <w:pPr>
        <w:pStyle w:val="ListNumber"/>
        <w:widowControl/>
        <w:numPr>
          <w:ilvl w:val="0"/>
          <w:numId w:val="13"/>
        </w:numPr>
        <w:spacing w:after="40"/>
      </w:pPr>
      <w:r>
        <w:t>Payment passes validation and risk evaluation and becomes APPROVED.</w:t>
      </w:r>
    </w:p>
    <w:p>
      <w:pPr>
        <w:pStyle w:val="ListNumber"/>
        <w:widowControl/>
        <w:numPr>
          <w:ilvl w:val="0"/>
          <w:numId w:val="13"/>
        </w:numPr>
        <w:spacing w:after="40"/>
      </w:pPr>
      <w:r>
        <w:t>In one short PostgreSQL transaction, the application creates an immutable Payment Attempt business record, links it to the Payment, changes Payment from APPROVED to PROCESSING, and writes SubmitPaymentToProvider to the outbox.</w:t>
      </w:r>
    </w:p>
    <w:p>
      <w:pPr>
        <w:pStyle w:val="ListNumber"/>
        <w:widowControl/>
        <w:numPr>
          <w:ilvl w:val="0"/>
          <w:numId w:val="13"/>
        </w:numPr>
        <w:spacing w:after="40"/>
      </w:pPr>
      <w:r>
        <w:t>The Payment module owns the Payment Attempt business record. The Provider module records adapter evidence, webhook receipts, retry scheduling, provider communication state, ambiguity, and status-recovery orchestration without creating another PaymentStatus.</w:t>
      </w:r>
    </w:p>
    <w:p>
      <w:pPr>
        <w:pStyle w:val="ListNumber"/>
        <w:widowControl/>
        <w:numPr>
          <w:ilvl w:val="0"/>
          <w:numId w:val="13"/>
        </w:numPr>
        <w:spacing w:after="40"/>
      </w:pPr>
      <w:r>
        <w:t>Kafka delivers the command to the provider-integration consumer, which validates current state and calls the Provider Simulator outside a database transaction.</w:t>
      </w:r>
    </w:p>
    <w:p>
      <w:pPr>
        <w:pStyle w:val="ListNumber"/>
        <w:widowControl/>
        <w:numPr>
          <w:ilvl w:val="0"/>
          <w:numId w:val="13"/>
        </w:numPr>
        <w:spacing w:after="40"/>
      </w:pPr>
      <w:r>
        <w:t>Provider results append Provider-owned immutable result and orchestration evidence that references, but never mutates, the immutable Payment Attempt. ACCEPTED, PENDING, TEMPORARY_FAILURE, and UNKNOWN leave Payment PROCESSING; UNKNOWN enters status recovery without blind resubmission.</w:t>
      </w:r>
    </w:p>
    <w:p>
      <w:pPr>
        <w:pStyle w:val="ListNumber"/>
        <w:widowControl/>
        <w:numPr>
          <w:ilvl w:val="0"/>
          <w:numId w:val="13"/>
        </w:numPr>
        <w:spacing w:after="40"/>
      </w:pPr>
      <w:r>
        <w:t>A later signed webhook or status query may supply the final result. DECLINED and definitive PERMANENT_FAILURE may change Payment to FAILED according to the workflow.</w:t>
      </w:r>
    </w:p>
    <w:p>
      <w:pPr>
        <w:pStyle w:val="ListNumber"/>
        <w:widowControl/>
        <w:numPr>
          <w:ilvl w:val="0"/>
          <w:numId w:val="13"/>
        </w:numPr>
        <w:spacing w:after="40"/>
      </w:pPr>
      <w:r>
        <w:t>SUCCESS atomically commits exactly one corresponding balanced ledger transaction and changes Payment from PROCESSING to COMPLETED.</w:t>
      </w:r>
    </w:p>
    <w:p>
      <w:pPr>
        <w:pStyle w:val="ListNumber"/>
        <w:widowControl/>
        <w:numPr>
          <w:ilvl w:val="0"/>
          <w:numId w:val="13"/>
        </w:numPr>
        <w:spacing w:after="40"/>
      </w:pPr>
      <w:r>
        <w:t>PaymentCompleted or PaymentFailed is published through the outbox after the state change commits.</w:t>
      </w:r>
    </w:p>
    <w:p>
      <w:pPr>
        <w:pStyle w:val="Heading2"/>
        <w:keepNext/>
        <w:widowControl/>
      </w:pPr>
      <w:r>
        <w:t>9.3 Provider result categories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3672"/>
            <w:shd w:fill="1F4E78"/>
            <w:vAlign w:val="center"/>
            <w:tcMar>
              <w:top w:w="90" w:type="dxa"/>
              <w:start w:w="90" w:type="dxa"/>
              <w:bottom w:w="90" w:type="dxa"/>
              <w:end w:w="90" w:type="dxa"/>
            </w:tcMar>
          </w:tcPr>
          <w:p>
            <w:pPr>
              <w:jc w:val="left"/>
            </w:pPr>
            <w:r>
              <w:rPr>
                <w:b/>
                <w:color w:val="FFFFFF"/>
                <w:sz w:val="17"/>
              </w:rPr>
              <w:t>Meaning</w:t>
            </w:r>
          </w:p>
        </w:tc>
        <w:tc>
          <w:tcPr>
            <w:tcW w:type="dxa" w:w="4032"/>
            <w:shd w:fill="1F4E78"/>
            <w:vAlign w:val="center"/>
            <w:tcMar>
              <w:top w:w="90" w:type="dxa"/>
              <w:start w:w="90" w:type="dxa"/>
              <w:bottom w:w="90" w:type="dxa"/>
              <w:end w:w="90" w:type="dxa"/>
            </w:tcMar>
          </w:tcPr>
          <w:p>
            <w:pPr>
              <w:jc w:val="left"/>
            </w:pPr>
            <w:r>
              <w:rPr>
                <w:b/>
                <w:color w:val="FFFFFF"/>
                <w:sz w:val="17"/>
              </w:rPr>
              <w:t>System response</w:t>
            </w:r>
          </w:p>
        </w:tc>
      </w:tr>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SUCCESS</w:t>
            </w:r>
          </w:p>
        </w:tc>
        <w:tc>
          <w:tcPr>
            <w:tcW w:type="dxa" w:w="3672"/>
            <w:shd w:fill="1F4E78"/>
            <w:vAlign w:val="center"/>
            <w:tcMar>
              <w:top w:w="90" w:type="dxa"/>
              <w:start w:w="90" w:type="dxa"/>
              <w:bottom w:w="90" w:type="dxa"/>
              <w:end w:w="90" w:type="dxa"/>
            </w:tcMar>
          </w:tcPr>
          <w:p>
            <w:pPr>
              <w:jc w:val="left"/>
            </w:pPr>
            <w:r>
              <w:rPr>
                <w:b/>
                <w:color w:val="FFFFFF"/>
                <w:sz w:val="17"/>
              </w:rPr>
              <w:t>Definitive provider success.</w:t>
            </w:r>
          </w:p>
        </w:tc>
        <w:tc>
          <w:tcPr>
            <w:tcW w:type="dxa" w:w="4032"/>
            <w:shd w:fill="1F4E78"/>
            <w:vAlign w:val="center"/>
            <w:tcMar>
              <w:top w:w="90" w:type="dxa"/>
              <w:start w:w="90" w:type="dxa"/>
              <w:bottom w:w="90" w:type="dxa"/>
              <w:end w:w="90" w:type="dxa"/>
            </w:tcMar>
          </w:tcPr>
          <w:p>
            <w:pPr>
              <w:jc w:val="left"/>
            </w:pPr>
            <w:r>
              <w:rPr>
                <w:b/>
                <w:color w:val="FFFFFF"/>
                <w:sz w:val="17"/>
              </w:rPr>
              <w:t>Atomically post exactly one corresponding balanced ledger transaction and change Payment from PROCESSING to COMPLETED.</w:t>
            </w:r>
          </w:p>
        </w:tc>
      </w:tr>
      <w:tr>
        <w:trPr>
          <w:cantSplit/>
        </w:trPr>
        <w:tc>
          <w:tcPr>
            <w:tcW w:type="dxa" w:w="2088"/>
            <w:tcMar>
              <w:top w:w="90" w:type="dxa"/>
              <w:start w:w="90" w:type="dxa"/>
              <w:bottom w:w="90" w:type="dxa"/>
              <w:end w:w="90" w:type="dxa"/>
            </w:tcMar>
            <w:vAlign w:val="top"/>
          </w:tcPr>
          <w:p>
            <w:r>
              <w:rPr>
                <w:sz w:val="17"/>
              </w:rPr>
              <w:t>ACCEPTED</w:t>
            </w:r>
          </w:p>
        </w:tc>
        <w:tc>
          <w:tcPr>
            <w:tcW w:type="dxa" w:w="3672"/>
            <w:tcMar>
              <w:top w:w="90" w:type="dxa"/>
              <w:start w:w="90" w:type="dxa"/>
              <w:bottom w:w="90" w:type="dxa"/>
              <w:end w:w="90" w:type="dxa"/>
            </w:tcMar>
            <w:vAlign w:val="top"/>
          </w:tcPr>
          <w:p>
            <w:r>
              <w:rPr>
                <w:sz w:val="17"/>
              </w:rPr>
              <w:t>Provider accepted the request and may complete asynchronously.</w:t>
            </w:r>
          </w:p>
        </w:tc>
        <w:tc>
          <w:tcPr>
            <w:tcW w:type="dxa" w:w="4032"/>
            <w:tcMar>
              <w:top w:w="90" w:type="dxa"/>
              <w:start w:w="90" w:type="dxa"/>
              <w:bottom w:w="90" w:type="dxa"/>
              <w:end w:w="90" w:type="dxa"/>
            </w:tcMar>
            <w:vAlign w:val="top"/>
          </w:tcPr>
          <w:p>
            <w:r>
              <w:rPr>
                <w:sz w:val="17"/>
              </w:rPr>
              <w:t>Record acceptance; Payment remains PROCESSING while awaiting a final result.</w:t>
            </w:r>
          </w:p>
        </w:tc>
      </w:tr>
      <w:tr>
        <w:trPr>
          <w:cantSplit/>
        </w:trPr>
        <w:tc>
          <w:tcPr>
            <w:tcW w:type="dxa" w:w="2088"/>
            <w:tcMar>
              <w:top w:w="90" w:type="dxa"/>
              <w:start w:w="90" w:type="dxa"/>
              <w:bottom w:w="90" w:type="dxa"/>
              <w:end w:w="90" w:type="dxa"/>
            </w:tcMar>
            <w:vAlign w:val="top"/>
          </w:tcPr>
          <w:p>
            <w:r>
              <w:rPr>
                <w:sz w:val="17"/>
              </w:rPr>
              <w:t>DECLINED</w:t>
            </w:r>
          </w:p>
        </w:tc>
        <w:tc>
          <w:tcPr>
            <w:tcW w:type="dxa" w:w="3672"/>
            <w:tcMar>
              <w:top w:w="90" w:type="dxa"/>
              <w:start w:w="90" w:type="dxa"/>
              <w:bottom w:w="90" w:type="dxa"/>
              <w:end w:w="90" w:type="dxa"/>
            </w:tcMar>
            <w:vAlign w:val="top"/>
          </w:tcPr>
          <w:p>
            <w:r>
              <w:rPr>
                <w:sz w:val="17"/>
              </w:rPr>
              <w:t>Definitive business rejection.</w:t>
            </w:r>
          </w:p>
        </w:tc>
        <w:tc>
          <w:tcPr>
            <w:tcW w:type="dxa" w:w="4032"/>
            <w:tcMar>
              <w:top w:w="90" w:type="dxa"/>
              <w:start w:w="90" w:type="dxa"/>
              <w:bottom w:w="90" w:type="dxa"/>
              <w:end w:w="90" w:type="dxa"/>
            </w:tcMar>
            <w:vAlign w:val="top"/>
          </w:tcPr>
          <w:p>
            <w:r>
              <w:rPr>
                <w:sz w:val="17"/>
              </w:rPr>
              <w:t>Payment may become FAILED; no automatic retry.</w:t>
            </w:r>
          </w:p>
        </w:tc>
      </w:tr>
      <w:tr>
        <w:trPr>
          <w:cantSplit/>
        </w:trPr>
        <w:tc>
          <w:tcPr>
            <w:tcW w:type="dxa" w:w="2088"/>
            <w:tcMar>
              <w:top w:w="90" w:type="dxa"/>
              <w:start w:w="90" w:type="dxa"/>
              <w:bottom w:w="90" w:type="dxa"/>
              <w:end w:w="90" w:type="dxa"/>
            </w:tcMar>
            <w:vAlign w:val="top"/>
          </w:tcPr>
          <w:p>
            <w:r>
              <w:rPr>
                <w:sz w:val="17"/>
              </w:rPr>
              <w:t>PENDING</w:t>
            </w:r>
          </w:p>
        </w:tc>
        <w:tc>
          <w:tcPr>
            <w:tcW w:type="dxa" w:w="3672"/>
            <w:tcMar>
              <w:top w:w="90" w:type="dxa"/>
              <w:start w:w="90" w:type="dxa"/>
              <w:bottom w:w="90" w:type="dxa"/>
              <w:end w:w="90" w:type="dxa"/>
            </w:tcMar>
            <w:vAlign w:val="top"/>
          </w:tcPr>
          <w:p>
            <w:r>
              <w:rPr>
                <w:sz w:val="17"/>
              </w:rPr>
              <w:t>No final decision yet.</w:t>
            </w:r>
          </w:p>
        </w:tc>
        <w:tc>
          <w:tcPr>
            <w:tcW w:type="dxa" w:w="4032"/>
            <w:tcMar>
              <w:top w:w="90" w:type="dxa"/>
              <w:start w:w="90" w:type="dxa"/>
              <w:bottom w:w="90" w:type="dxa"/>
              <w:end w:w="90" w:type="dxa"/>
            </w:tcMar>
            <w:vAlign w:val="top"/>
          </w:tcPr>
          <w:p>
            <w:r>
              <w:rPr>
                <w:sz w:val="17"/>
              </w:rPr>
              <w:t>Payment remains PROCESSING; await webhook or status query.</w:t>
            </w:r>
          </w:p>
        </w:tc>
      </w:tr>
      <w:tr>
        <w:trPr>
          <w:cantSplit/>
        </w:trPr>
        <w:tc>
          <w:tcPr>
            <w:tcW w:type="dxa" w:w="2088"/>
            <w:tcMar>
              <w:top w:w="90" w:type="dxa"/>
              <w:start w:w="90" w:type="dxa"/>
              <w:bottom w:w="90" w:type="dxa"/>
              <w:end w:w="90" w:type="dxa"/>
            </w:tcMar>
            <w:vAlign w:val="top"/>
          </w:tcPr>
          <w:p>
            <w:r>
              <w:rPr>
                <w:sz w:val="17"/>
              </w:rPr>
              <w:t>TEMPORARY_FAILURE</w:t>
            </w:r>
          </w:p>
        </w:tc>
        <w:tc>
          <w:tcPr>
            <w:tcW w:type="dxa" w:w="3672"/>
            <w:tcMar>
              <w:top w:w="90" w:type="dxa"/>
              <w:start w:w="90" w:type="dxa"/>
              <w:bottom w:w="90" w:type="dxa"/>
              <w:end w:w="90" w:type="dxa"/>
            </w:tcMar>
            <w:vAlign w:val="top"/>
          </w:tcPr>
          <w:p>
            <w:r>
              <w:rPr>
                <w:sz w:val="17"/>
              </w:rPr>
              <w:t>Transient network or provider problem.</w:t>
            </w:r>
          </w:p>
        </w:tc>
        <w:tc>
          <w:tcPr>
            <w:tcW w:type="dxa" w:w="4032"/>
            <w:tcMar>
              <w:top w:w="90" w:type="dxa"/>
              <w:start w:w="90" w:type="dxa"/>
              <w:bottom w:w="90" w:type="dxa"/>
              <w:end w:w="90" w:type="dxa"/>
            </w:tcMar>
            <w:vAlign w:val="top"/>
          </w:tcPr>
          <w:p>
            <w:r>
              <w:rPr>
                <w:sz w:val="17"/>
              </w:rPr>
              <w:t>Payment remains PROCESSING; record and schedule only policy-permitted retry.</w:t>
            </w:r>
          </w:p>
        </w:tc>
      </w:tr>
      <w:tr>
        <w:trPr>
          <w:cantSplit/>
        </w:trPr>
        <w:tc>
          <w:tcPr>
            <w:tcW w:type="dxa" w:w="2088"/>
            <w:tcMar>
              <w:top w:w="90" w:type="dxa"/>
              <w:start w:w="90" w:type="dxa"/>
              <w:bottom w:w="90" w:type="dxa"/>
              <w:end w:w="90" w:type="dxa"/>
            </w:tcMar>
            <w:vAlign w:val="top"/>
          </w:tcPr>
          <w:p>
            <w:r>
              <w:rPr>
                <w:sz w:val="17"/>
              </w:rPr>
              <w:t>PERMANENT_FAILURE</w:t>
            </w:r>
          </w:p>
        </w:tc>
        <w:tc>
          <w:tcPr>
            <w:tcW w:type="dxa" w:w="3672"/>
            <w:tcMar>
              <w:top w:w="90" w:type="dxa"/>
              <w:start w:w="90" w:type="dxa"/>
              <w:bottom w:w="90" w:type="dxa"/>
              <w:end w:w="90" w:type="dxa"/>
            </w:tcMar>
            <w:vAlign w:val="top"/>
          </w:tcPr>
          <w:p>
            <w:r>
              <w:rPr>
                <w:sz w:val="17"/>
              </w:rPr>
              <w:t>Invalid configuration or request that retry cannot fix.</w:t>
            </w:r>
          </w:p>
        </w:tc>
        <w:tc>
          <w:tcPr>
            <w:tcW w:type="dxa" w:w="4032"/>
            <w:tcMar>
              <w:top w:w="90" w:type="dxa"/>
              <w:start w:w="90" w:type="dxa"/>
              <w:bottom w:w="90" w:type="dxa"/>
              <w:end w:w="90" w:type="dxa"/>
            </w:tcMar>
            <w:vAlign w:val="top"/>
          </w:tcPr>
          <w:p>
            <w:r>
              <w:rPr>
                <w:sz w:val="17"/>
              </w:rPr>
              <w:t>A definitive permanent failure may change Payment to FAILED; open an operational case where required.</w:t>
            </w:r>
          </w:p>
        </w:tc>
      </w:tr>
      <w:tr>
        <w:trPr>
          <w:cantSplit/>
        </w:trPr>
        <w:tc>
          <w:tcPr>
            <w:tcW w:type="dxa" w:w="2088"/>
            <w:tcMar>
              <w:top w:w="90" w:type="dxa"/>
              <w:start w:w="90" w:type="dxa"/>
              <w:bottom w:w="90" w:type="dxa"/>
              <w:end w:w="90" w:type="dxa"/>
            </w:tcMar>
            <w:vAlign w:val="top"/>
          </w:tcPr>
          <w:p>
            <w:r>
              <w:rPr>
                <w:sz w:val="17"/>
              </w:rPr>
              <w:t>UNKNOWN</w:t>
            </w:r>
          </w:p>
        </w:tc>
        <w:tc>
          <w:tcPr>
            <w:tcW w:type="dxa" w:w="3672"/>
            <w:tcMar>
              <w:top w:w="90" w:type="dxa"/>
              <w:start w:w="90" w:type="dxa"/>
              <w:bottom w:w="90" w:type="dxa"/>
              <w:end w:w="90" w:type="dxa"/>
            </w:tcMar>
            <w:vAlign w:val="top"/>
          </w:tcPr>
          <w:p>
            <w:r>
              <w:rPr>
                <w:sz w:val="17"/>
              </w:rPr>
              <w:t>Outcome cannot be determined.</w:t>
            </w:r>
          </w:p>
        </w:tc>
        <w:tc>
          <w:tcPr>
            <w:tcW w:type="dxa" w:w="4032"/>
            <w:tcMar>
              <w:top w:w="90" w:type="dxa"/>
              <w:start w:w="90" w:type="dxa"/>
              <w:bottom w:w="90" w:type="dxa"/>
              <w:end w:w="90" w:type="dxa"/>
            </w:tcMar>
            <w:vAlign w:val="top"/>
          </w:tcPr>
          <w:p>
            <w:r>
              <w:rPr>
                <w:sz w:val="17"/>
              </w:rPr>
              <w:t>Payment remains PROCESSING; enter status recovery and do not blindly resubmit.</w:t>
            </w:r>
          </w:p>
        </w:tc>
      </w:tr>
    </w:tbl>
    <w:p>
      <w:pPr>
        <w:widowControl/>
      </w:pPr>
    </w:p>
    <w:p>
      <w:pPr>
        <w:pStyle w:val="Heading2"/>
        <w:keepNext/>
        <w:widowControl/>
      </w:pPr>
      <w:r>
        <w:t>9.4 Resilience policies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Pattern</w:t>
            </w:r>
          </w:p>
        </w:tc>
        <w:tc>
          <w:tcPr>
            <w:tcW w:type="dxa" w:w="7704"/>
            <w:shd w:fill="1F4E78"/>
            <w:vAlign w:val="center"/>
            <w:tcMar>
              <w:top w:w="90" w:type="dxa"/>
              <w:start w:w="90" w:type="dxa"/>
              <w:bottom w:w="90" w:type="dxa"/>
              <w:end w:w="90" w:type="dxa"/>
            </w:tcMar>
          </w:tcPr>
          <w:p>
            <w:pPr>
              <w:jc w:val="left"/>
            </w:pPr>
            <w:r>
              <w:rPr>
                <w:b/>
                <w:color w:val="FFFFFF"/>
                <w:sz w:val="17"/>
              </w:rPr>
              <w:t>Policy</w:t>
            </w:r>
          </w:p>
        </w:tc>
      </w:tr>
      <w:tr>
        <w:trPr>
          <w:cantSplit/>
        </w:trPr>
        <w:tc>
          <w:tcPr>
            <w:tcW w:type="dxa" w:w="2088"/>
            <w:tcMar>
              <w:top w:w="90" w:type="dxa"/>
              <w:start w:w="90" w:type="dxa"/>
              <w:bottom w:w="90" w:type="dxa"/>
              <w:end w:w="90" w:type="dxa"/>
            </w:tcMar>
            <w:vAlign w:val="top"/>
          </w:tcPr>
          <w:p>
            <w:r>
              <w:rPr>
                <w:sz w:val="17"/>
              </w:rPr>
              <w:t>Idempotency</w:t>
            </w:r>
          </w:p>
        </w:tc>
        <w:tc>
          <w:tcPr>
            <w:tcW w:type="dxa" w:w="7704"/>
            <w:tcMar>
              <w:top w:w="90" w:type="dxa"/>
              <w:start w:w="90" w:type="dxa"/>
              <w:bottom w:w="90" w:type="dxa"/>
              <w:end w:w="90" w:type="dxa"/>
            </w:tcMar>
            <w:vAlign w:val="top"/>
          </w:tcPr>
          <w:p>
            <w:r>
              <w:rPr>
                <w:sz w:val="17"/>
              </w:rPr>
              <w:t>All retries reuse the same provider idempotency key derived from the internal payment or reversal ID.</w:t>
            </w:r>
          </w:p>
        </w:tc>
      </w:tr>
      <w:tr>
        <w:trPr>
          <w:cantSplit/>
        </w:trPr>
        <w:tc>
          <w:tcPr>
            <w:tcW w:type="dxa" w:w="2088"/>
            <w:tcMar>
              <w:top w:w="90" w:type="dxa"/>
              <w:start w:w="90" w:type="dxa"/>
              <w:bottom w:w="90" w:type="dxa"/>
              <w:end w:w="90" w:type="dxa"/>
            </w:tcMar>
            <w:vAlign w:val="top"/>
          </w:tcPr>
          <w:p>
            <w:r>
              <w:rPr>
                <w:sz w:val="17"/>
              </w:rPr>
              <w:t>Timeouts</w:t>
            </w:r>
          </w:p>
        </w:tc>
        <w:tc>
          <w:tcPr>
            <w:tcW w:type="dxa" w:w="7704"/>
            <w:tcMar>
              <w:top w:w="90" w:type="dxa"/>
              <w:start w:w="90" w:type="dxa"/>
              <w:bottom w:w="90" w:type="dxa"/>
              <w:end w:w="90" w:type="dxa"/>
            </w:tcMar>
            <w:vAlign w:val="top"/>
          </w:tcPr>
          <w:p>
            <w:r>
              <w:rPr>
                <w:sz w:val="17"/>
              </w:rPr>
              <w:t>Explicit connection, read, and total timeouts; no unlimited network calls.</w:t>
            </w:r>
          </w:p>
        </w:tc>
      </w:tr>
      <w:tr>
        <w:trPr>
          <w:cantSplit/>
        </w:trPr>
        <w:tc>
          <w:tcPr>
            <w:tcW w:type="dxa" w:w="2088"/>
            <w:tcMar>
              <w:top w:w="90" w:type="dxa"/>
              <w:start w:w="90" w:type="dxa"/>
              <w:bottom w:w="90" w:type="dxa"/>
              <w:end w:w="90" w:type="dxa"/>
            </w:tcMar>
            <w:vAlign w:val="top"/>
          </w:tcPr>
          <w:p>
            <w:r>
              <w:rPr>
                <w:sz w:val="17"/>
              </w:rPr>
              <w:t>Retries</w:t>
            </w:r>
          </w:p>
        </w:tc>
        <w:tc>
          <w:tcPr>
            <w:tcW w:type="dxa" w:w="7704"/>
            <w:tcMar>
              <w:top w:w="90" w:type="dxa"/>
              <w:start w:w="90" w:type="dxa"/>
              <w:bottom w:w="90" w:type="dxa"/>
              <w:end w:w="90" w:type="dxa"/>
            </w:tcMar>
            <w:vAlign w:val="top"/>
          </w:tcPr>
          <w:p>
            <w:r>
              <w:rPr>
                <w:sz w:val="17"/>
              </w:rPr>
              <w:t>Only transient failures; brief synchronous retries followed by scheduled asynchronous retries.</w:t>
            </w:r>
          </w:p>
        </w:tc>
      </w:tr>
      <w:tr>
        <w:trPr>
          <w:cantSplit/>
        </w:trPr>
        <w:tc>
          <w:tcPr>
            <w:tcW w:type="dxa" w:w="2088"/>
            <w:tcMar>
              <w:top w:w="90" w:type="dxa"/>
              <w:start w:w="90" w:type="dxa"/>
              <w:bottom w:w="90" w:type="dxa"/>
              <w:end w:w="90" w:type="dxa"/>
            </w:tcMar>
            <w:vAlign w:val="top"/>
          </w:tcPr>
          <w:p>
            <w:r>
              <w:rPr>
                <w:sz w:val="17"/>
              </w:rPr>
              <w:t>Circuit breaker</w:t>
            </w:r>
          </w:p>
        </w:tc>
        <w:tc>
          <w:tcPr>
            <w:tcW w:type="dxa" w:w="7704"/>
            <w:tcMar>
              <w:top w:w="90" w:type="dxa"/>
              <w:start w:w="90" w:type="dxa"/>
              <w:bottom w:w="90" w:type="dxa"/>
              <w:end w:w="90" w:type="dxa"/>
            </w:tcMar>
            <w:vAlign w:val="top"/>
          </w:tcPr>
          <w:p>
            <w:r>
              <w:rPr>
                <w:sz w:val="17"/>
              </w:rPr>
              <w:t>Prevents repeated calls to an unavailable provider without falsely failing queued payments.</w:t>
            </w:r>
          </w:p>
        </w:tc>
      </w:tr>
      <w:tr>
        <w:trPr>
          <w:cantSplit/>
        </w:trPr>
        <w:tc>
          <w:tcPr>
            <w:tcW w:type="dxa" w:w="2088"/>
            <w:tcMar>
              <w:top w:w="90" w:type="dxa"/>
              <w:start w:w="90" w:type="dxa"/>
              <w:bottom w:w="90" w:type="dxa"/>
              <w:end w:w="90" w:type="dxa"/>
            </w:tcMar>
            <w:vAlign w:val="top"/>
          </w:tcPr>
          <w:p>
            <w:r>
              <w:rPr>
                <w:sz w:val="17"/>
              </w:rPr>
              <w:t>Bulkhead</w:t>
            </w:r>
          </w:p>
        </w:tc>
        <w:tc>
          <w:tcPr>
            <w:tcW w:type="dxa" w:w="7704"/>
            <w:tcMar>
              <w:top w:w="90" w:type="dxa"/>
              <w:start w:w="90" w:type="dxa"/>
              <w:bottom w:w="90" w:type="dxa"/>
              <w:end w:w="90" w:type="dxa"/>
            </w:tcMar>
            <w:vAlign w:val="top"/>
          </w:tcPr>
          <w:p>
            <w:r>
              <w:rPr>
                <w:sz w:val="17"/>
              </w:rPr>
              <w:t>Provider execution uses bounded, isolated resources.</w:t>
            </w:r>
          </w:p>
        </w:tc>
      </w:tr>
      <w:tr>
        <w:trPr>
          <w:cantSplit/>
        </w:trPr>
        <w:tc>
          <w:tcPr>
            <w:tcW w:type="dxa" w:w="2088"/>
            <w:tcMar>
              <w:top w:w="90" w:type="dxa"/>
              <w:start w:w="90" w:type="dxa"/>
              <w:bottom w:w="90" w:type="dxa"/>
              <w:end w:w="90" w:type="dxa"/>
            </w:tcMar>
            <w:vAlign w:val="top"/>
          </w:tcPr>
          <w:p>
            <w:r>
              <w:rPr>
                <w:sz w:val="17"/>
              </w:rPr>
              <w:t>Status recovery</w:t>
            </w:r>
          </w:p>
        </w:tc>
        <w:tc>
          <w:tcPr>
            <w:tcW w:type="dxa" w:w="7704"/>
            <w:tcMar>
              <w:top w:w="90" w:type="dxa"/>
              <w:start w:w="90" w:type="dxa"/>
              <w:bottom w:w="90" w:type="dxa"/>
              <w:end w:w="90" w:type="dxa"/>
            </w:tcMar>
            <w:vAlign w:val="top"/>
          </w:tcPr>
          <w:p>
            <w:r>
              <w:rPr>
                <w:sz w:val="17"/>
              </w:rPr>
              <w:t>Ambiguous outcomes are queried on a schedule before opening an unresolved-outcome case.</w:t>
            </w:r>
          </w:p>
        </w:tc>
      </w:tr>
      <w:tr>
        <w:trPr>
          <w:cantSplit/>
        </w:trPr>
        <w:tc>
          <w:tcPr>
            <w:tcW w:type="dxa" w:w="2088"/>
            <w:tcMar>
              <w:top w:w="90" w:type="dxa"/>
              <w:start w:w="90" w:type="dxa"/>
              <w:bottom w:w="90" w:type="dxa"/>
              <w:end w:w="90" w:type="dxa"/>
            </w:tcMar>
            <w:vAlign w:val="top"/>
          </w:tcPr>
          <w:p>
            <w:r>
              <w:rPr>
                <w:sz w:val="17"/>
              </w:rPr>
              <w:t>Dead-letter replay</w:t>
            </w:r>
          </w:p>
        </w:tc>
        <w:tc>
          <w:tcPr>
            <w:tcW w:type="dxa" w:w="7704"/>
            <w:tcMar>
              <w:top w:w="90" w:type="dxa"/>
              <w:start w:w="90" w:type="dxa"/>
              <w:bottom w:w="90" w:type="dxa"/>
              <w:end w:w="90" w:type="dxa"/>
            </w:tcMar>
            <w:vAlign w:val="top"/>
          </w:tcPr>
          <w:p>
            <w:r>
              <w:rPr>
                <w:sz w:val="17"/>
              </w:rPr>
              <w:t>Controlled, state-validated, permissioned, reasoned, and audited.</w:t>
            </w:r>
          </w:p>
        </w:tc>
      </w:tr>
    </w:tbl>
    <w:p>
      <w:pPr>
        <w:widowControl/>
      </w:pPr>
    </w:p>
    <w:p>
      <w:pPr>
        <w:pStyle w:val="Heading2"/>
        <w:keepNext/>
        <w:widowControl/>
      </w:pPr>
      <w:r>
        <w:t>9.5 Webhook reception and processing</w:t>
      </w:r>
    </w:p>
    <w:p>
      <w:pPr>
        <w:pStyle w:val="CodeBlock"/>
        <w:keepLines/>
        <w:widowControl/>
      </w:pPr>
      <w:r>
        <w:t>Stage 1 - reception</w:t>
        <w:br/>
        <w:t>validate size -&gt; verify signature/timestamp -&gt; hash payload -&gt; durably store receipt -&gt; 202</w:t>
        <w:br/>
        <w:br/>
        <w:t>Stage 2 - asynchronous processing</w:t>
        <w:br/>
        <w:t>load receipt -&gt; parse -&gt; resolve aggregate -&gt; deduplicate -&gt; apply state machine</w:t>
        <w:br/>
        <w:t>-&gt; complete/fail payment or reversal -&gt; publish resulting events</w:t>
      </w:r>
    </w:p>
    <w:p>
      <w:pPr>
        <w:pStyle w:val="ListBullet"/>
        <w:widowControl/>
        <w:spacing w:after="40"/>
      </w:pPr>
      <w:r>
        <w:t>Provider webhooks may be duplicated, delayed, missing, out of order, or contradictory.</w:t>
      </w:r>
    </w:p>
    <w:p>
      <w:pPr>
        <w:pStyle w:val="ListBullet"/>
        <w:widowControl/>
        <w:spacing w:after="40"/>
      </w:pPr>
      <w:r>
        <w:t>A terminal Payment state cannot regress to PROCESSING. Reversal FAILED is not terminal and may return to PROCESSING only when an authorised safe retry begins inside the same Reversal workflow.</w:t>
      </w:r>
    </w:p>
    <w:p>
      <w:pPr>
        <w:pStyle w:val="ListBullet"/>
        <w:widowControl/>
        <w:spacing w:after="40"/>
      </w:pPr>
      <w:r>
        <w:t>Conflicting terminal outcomes are preserved and generate an investigation; they are never silently resolved.</w:t>
      </w:r>
    </w:p>
    <w:p>
      <w:pPr>
        <w:pStyle w:val="ListBullet"/>
        <w:widowControl/>
        <w:spacing w:after="40"/>
      </w:pPr>
      <w:r>
        <w:t>Success is returned to the provider only after durable receipt storage.</w:t>
      </w:r>
    </w:p>
    <w:p>
      <w:pPr>
        <w:pStyle w:val="Heading2"/>
        <w:keepNext/>
        <w:widowControl/>
      </w:pPr>
      <w:r>
        <w:t>9.6 Provider Simulator scenarios</w:t>
      </w:r>
    </w:p>
    <w:p>
      <w:pPr>
        <w:pStyle w:val="ListBullet"/>
        <w:widowControl/>
        <w:spacing w:after="40"/>
      </w:pPr>
      <w:r>
        <w:t>SUCCESS</w:t>
      </w:r>
    </w:p>
    <w:p>
      <w:pPr>
        <w:pStyle w:val="ListBullet"/>
        <w:widowControl/>
        <w:spacing w:after="40"/>
      </w:pPr>
      <w:r>
        <w:t>DECLINE</w:t>
      </w:r>
    </w:p>
    <w:p>
      <w:pPr>
        <w:pStyle w:val="ListBullet"/>
        <w:widowControl/>
        <w:spacing w:after="40"/>
      </w:pPr>
      <w:r>
        <w:t>TIMEOUT</w:t>
      </w:r>
    </w:p>
    <w:p>
      <w:pPr>
        <w:pStyle w:val="ListBullet"/>
        <w:widowControl/>
        <w:spacing w:after="40"/>
      </w:pPr>
      <w:r>
        <w:t>HTTP_500</w:t>
      </w:r>
    </w:p>
    <w:p>
      <w:pPr>
        <w:pStyle w:val="ListBullet"/>
        <w:widowControl/>
        <w:spacing w:after="40"/>
      </w:pPr>
      <w:r>
        <w:t>HTTP_503</w:t>
      </w:r>
    </w:p>
    <w:p>
      <w:pPr>
        <w:pStyle w:val="ListBullet"/>
        <w:widowControl/>
        <w:spacing w:after="40"/>
      </w:pPr>
      <w:r>
        <w:t>SLOW_RESPONSE</w:t>
      </w:r>
    </w:p>
    <w:p>
      <w:pPr>
        <w:pStyle w:val="ListBullet"/>
        <w:widowControl/>
        <w:spacing w:after="40"/>
      </w:pPr>
      <w:r>
        <w:t>DUPLICATE_WEBHOOK</w:t>
      </w:r>
    </w:p>
    <w:p>
      <w:pPr>
        <w:pStyle w:val="ListBullet"/>
        <w:widowControl/>
        <w:spacing w:after="40"/>
      </w:pPr>
      <w:r>
        <w:t>OUT_OF_ORDER_WEBHOOK</w:t>
      </w:r>
    </w:p>
    <w:p>
      <w:pPr>
        <w:pStyle w:val="ListBullet"/>
        <w:widowControl/>
        <w:spacing w:after="40"/>
      </w:pPr>
      <w:r>
        <w:t>MISSING_WEBHOOK</w:t>
      </w:r>
    </w:p>
    <w:p>
      <w:pPr>
        <w:pStyle w:val="ListBullet"/>
        <w:widowControl/>
        <w:spacing w:after="40"/>
      </w:pPr>
      <w:r>
        <w:t>INVALID_SIGNATURE</w:t>
      </w:r>
    </w:p>
    <w:p>
      <w:pPr>
        <w:pStyle w:val="ListBullet"/>
        <w:widowControl/>
        <w:spacing w:after="40"/>
      </w:pPr>
      <w:r>
        <w:t>CONFLICTING_FINAL_STATUS</w:t>
      </w:r>
    </w:p>
    <w:p>
      <w:pPr>
        <w:pStyle w:val="ListBullet"/>
        <w:widowControl/>
        <w:spacing w:after="40"/>
      </w:pPr>
      <w:r>
        <w:t>DELAYED_SETTLEMENT</w:t>
      </w:r>
    </w:p>
    <w:p>
      <w:pPr>
        <w:pStyle w:val="ListBullet"/>
        <w:widowControl/>
        <w:spacing w:after="40"/>
      </w:pPr>
      <w:r>
        <w:t>SETTLEMENT_AMOUNT_MISMATCH</w:t>
      </w:r>
    </w:p>
    <w:p>
      <w:pPr>
        <w:widowControl/>
        <w:spacing w:after="120"/>
      </w:pPr>
      <w:r>
        <w:t>A deterministic test mode allows explicit scenarios such as TIMEOUT_THEN_SUCCESS. Failure-injection controls are restricted to test or authenticated demonstration environments.</w:t>
      </w:r>
    </w:p>
    <w:p>
      <w:pPr>
        <w:pStyle w:val="Heading1"/>
        <w:keepNext/>
        <w:widowControl/>
      </w:pPr>
      <w:r>
        <w:t>10. Reconciliation and correction workflows</w:t>
      </w:r>
    </w:p>
    <w:p>
      <w:pPr>
        <w:pStyle w:val="Heading2"/>
        <w:keepNext/>
        <w:widowControl/>
      </w:pPr>
      <w:r>
        <w:t>10.1 Settlement ingestion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Stage</w:t>
            </w:r>
          </w:p>
        </w:tc>
        <w:tc>
          <w:tcPr>
            <w:tcW w:type="dxa" w:w="7704"/>
            <w:shd w:fill="1F4E78"/>
            <w:vAlign w:val="center"/>
            <w:tcMar>
              <w:top w:w="90" w:type="dxa"/>
              <w:start w:w="90" w:type="dxa"/>
              <w:bottom w:w="90" w:type="dxa"/>
              <w:end w:w="90" w:type="dxa"/>
            </w:tcMar>
          </w:tcPr>
          <w:p>
            <w:pPr>
              <w:jc w:val="left"/>
            </w:pPr>
            <w:r>
              <w:rPr>
                <w:b/>
                <w:color w:val="FFFFFF"/>
                <w:sz w:val="17"/>
              </w:rPr>
              <w:t>Checks</w:t>
            </w:r>
          </w:p>
        </w:tc>
      </w:tr>
      <w:tr>
        <w:trPr>
          <w:cantSplit/>
        </w:trPr>
        <w:tc>
          <w:tcPr>
            <w:tcW w:type="dxa" w:w="2088"/>
            <w:tcMar>
              <w:top w:w="90" w:type="dxa"/>
              <w:start w:w="90" w:type="dxa"/>
              <w:bottom w:w="90" w:type="dxa"/>
              <w:end w:w="90" w:type="dxa"/>
            </w:tcMar>
            <w:vAlign w:val="top"/>
          </w:tcPr>
          <w:p>
            <w:r>
              <w:rPr>
                <w:sz w:val="17"/>
              </w:rPr>
              <w:t>File identity</w:t>
            </w:r>
          </w:p>
        </w:tc>
        <w:tc>
          <w:tcPr>
            <w:tcW w:type="dxa" w:w="7704"/>
            <w:tcMar>
              <w:top w:w="90" w:type="dxa"/>
              <w:start w:w="90" w:type="dxa"/>
              <w:bottom w:w="90" w:type="dxa"/>
              <w:end w:w="90" w:type="dxa"/>
            </w:tcMar>
            <w:vAlign w:val="top"/>
          </w:tcPr>
          <w:p>
            <w:r>
              <w:rPr>
                <w:sz w:val="17"/>
              </w:rPr>
              <w:t>Tenant, provider, settlement date, file hash, duplicate/supersession rules.</w:t>
            </w:r>
          </w:p>
        </w:tc>
      </w:tr>
      <w:tr>
        <w:trPr>
          <w:cantSplit/>
        </w:trPr>
        <w:tc>
          <w:tcPr>
            <w:tcW w:type="dxa" w:w="2088"/>
            <w:tcMar>
              <w:top w:w="90" w:type="dxa"/>
              <w:start w:w="90" w:type="dxa"/>
              <w:bottom w:w="90" w:type="dxa"/>
              <w:end w:w="90" w:type="dxa"/>
            </w:tcMar>
            <w:vAlign w:val="top"/>
          </w:tcPr>
          <w:p>
            <w:r>
              <w:rPr>
                <w:sz w:val="17"/>
              </w:rPr>
              <w:t>Structural validation</w:t>
            </w:r>
          </w:p>
        </w:tc>
        <w:tc>
          <w:tcPr>
            <w:tcW w:type="dxa" w:w="7704"/>
            <w:tcMar>
              <w:top w:w="90" w:type="dxa"/>
              <w:start w:w="90" w:type="dxa"/>
              <w:bottom w:w="90" w:type="dxa"/>
              <w:end w:w="90" w:type="dxa"/>
            </w:tcMar>
            <w:vAlign w:val="top"/>
          </w:tcPr>
          <w:p>
            <w:r>
              <w:rPr>
                <w:sz w:val="17"/>
              </w:rPr>
              <w:t>Required columns, encoding, schema version, parseability.</w:t>
            </w:r>
          </w:p>
        </w:tc>
      </w:tr>
      <w:tr>
        <w:trPr>
          <w:cantSplit/>
        </w:trPr>
        <w:tc>
          <w:tcPr>
            <w:tcW w:type="dxa" w:w="2088"/>
            <w:tcMar>
              <w:top w:w="90" w:type="dxa"/>
              <w:start w:w="90" w:type="dxa"/>
              <w:bottom w:w="90" w:type="dxa"/>
              <w:end w:w="90" w:type="dxa"/>
            </w:tcMar>
            <w:vAlign w:val="top"/>
          </w:tcPr>
          <w:p>
            <w:r>
              <w:rPr>
                <w:sz w:val="17"/>
              </w:rPr>
              <w:t>Record validation</w:t>
            </w:r>
          </w:p>
        </w:tc>
        <w:tc>
          <w:tcPr>
            <w:tcW w:type="dxa" w:w="7704"/>
            <w:tcMar>
              <w:top w:w="90" w:type="dxa"/>
              <w:start w:w="90" w:type="dxa"/>
              <w:bottom w:w="90" w:type="dxa"/>
              <w:end w:w="90" w:type="dxa"/>
            </w:tcMar>
            <w:vAlign w:val="top"/>
          </w:tcPr>
          <w:p>
            <w:r>
              <w:rPr>
                <w:sz w:val="17"/>
              </w:rPr>
              <w:t>Identifiers, amount, currency, transaction type, status, dates, duplicate record IDs.</w:t>
            </w:r>
          </w:p>
        </w:tc>
      </w:tr>
      <w:tr>
        <w:trPr>
          <w:cantSplit/>
        </w:trPr>
        <w:tc>
          <w:tcPr>
            <w:tcW w:type="dxa" w:w="2088"/>
            <w:tcMar>
              <w:top w:w="90" w:type="dxa"/>
              <w:start w:w="90" w:type="dxa"/>
              <w:bottom w:w="90" w:type="dxa"/>
              <w:end w:w="90" w:type="dxa"/>
            </w:tcMar>
            <w:vAlign w:val="top"/>
          </w:tcPr>
          <w:p>
            <w:r>
              <w:rPr>
                <w:sz w:val="17"/>
              </w:rPr>
              <w:t>Batch validation</w:t>
            </w:r>
          </w:p>
        </w:tc>
        <w:tc>
          <w:tcPr>
            <w:tcW w:type="dxa" w:w="7704"/>
            <w:tcMar>
              <w:top w:w="90" w:type="dxa"/>
              <w:start w:w="90" w:type="dxa"/>
              <w:bottom w:w="90" w:type="dxa"/>
              <w:end w:w="90" w:type="dxa"/>
            </w:tcMar>
            <w:vAlign w:val="top"/>
          </w:tcPr>
          <w:p>
            <w:r>
              <w:rPr>
                <w:sz w:val="17"/>
              </w:rPr>
              <w:t>Provider/date consistency, currency, control totals and counts where supplied.</w:t>
            </w:r>
          </w:p>
        </w:tc>
      </w:tr>
      <w:tr>
        <w:trPr>
          <w:cantSplit/>
        </w:trPr>
        <w:tc>
          <w:tcPr>
            <w:tcW w:type="dxa" w:w="2088"/>
            <w:tcMar>
              <w:top w:w="90" w:type="dxa"/>
              <w:start w:w="90" w:type="dxa"/>
              <w:bottom w:w="90" w:type="dxa"/>
              <w:end w:w="90" w:type="dxa"/>
            </w:tcMar>
            <w:vAlign w:val="top"/>
          </w:tcPr>
          <w:p>
            <w:r>
              <w:rPr>
                <w:sz w:val="17"/>
              </w:rPr>
              <w:t>Storage</w:t>
            </w:r>
          </w:p>
        </w:tc>
        <w:tc>
          <w:tcPr>
            <w:tcW w:type="dxa" w:w="7704"/>
            <w:tcMar>
              <w:top w:w="90" w:type="dxa"/>
              <w:start w:w="90" w:type="dxa"/>
              <w:bottom w:w="90" w:type="dxa"/>
              <w:end w:w="90" w:type="dxa"/>
            </w:tcMar>
            <w:vAlign w:val="top"/>
          </w:tcPr>
          <w:p>
            <w:r>
              <w:rPr>
                <w:sz w:val="17"/>
              </w:rPr>
              <w:t>Raw file in S3-compatible object storage; metadata and hash in PostgreSQL.</w:t>
            </w:r>
          </w:p>
        </w:tc>
      </w:tr>
    </w:tbl>
    <w:p>
      <w:pPr>
        <w:widowControl/>
      </w:pPr>
    </w:p>
    <w:p>
      <w:pPr>
        <w:pStyle w:val="Heading2"/>
        <w:keepNext/>
        <w:widowControl/>
      </w:pPr>
      <w:r>
        <w:t>10.2 Batch and run lifecycles</w:t>
      </w:r>
    </w:p>
    <w:p>
      <w:pPr>
        <w:pStyle w:val="CodeBlock"/>
        <w:keepLines/>
        <w:widowControl/>
      </w:pPr>
      <w:r>
        <w:t>Settlement Batch: RECEIVED -&gt; VALIDATING -&gt; READY -&gt; PROCESSING -&gt; COMPLETED | COMPLETED_WITH_DISCREPANCIES | FAILED</w:t>
        <w:br/>
        <w:br/>
        <w:t>Reconciliation Run: QUEUED -&gt; RUNNING -&gt; COMPLETED | COMPLETED_WITH_DISCREPANCIES | FAILED | CANCELLED</w:t>
      </w:r>
    </w:p>
    <w:p>
      <w:pPr>
        <w:widowControl/>
        <w:spacing w:after="120"/>
      </w:pPr>
      <w:r>
        <w:t>A batch may have multiple immutable reconciliation runs. A rerun records a new run number and matching-rules version. Historical results are never overwritten.</w:t>
      </w:r>
    </w:p>
    <w:p>
      <w:pPr>
        <w:pStyle w:val="Heading2"/>
        <w:keepNext/>
        <w:widowControl/>
      </w:pPr>
      <w:r>
        <w:t>10.3 Matching strategy</w:t>
      </w:r>
    </w:p>
    <w:p>
      <w:pPr>
        <w:pStyle w:val="ListNumber"/>
        <w:widowControl/>
        <w:numPr>
          <w:ilvl w:val="0"/>
          <w:numId w:val="14"/>
        </w:numPr>
        <w:spacing w:after="40"/>
      </w:pPr>
      <w:r>
        <w:t>Exact provider transaction identifier.</w:t>
      </w:r>
    </w:p>
    <w:p>
      <w:pPr>
        <w:pStyle w:val="ListNumber"/>
        <w:widowControl/>
        <w:numPr>
          <w:ilvl w:val="0"/>
          <w:numId w:val="14"/>
        </w:numPr>
        <w:spacing w:after="40"/>
      </w:pPr>
      <w:r>
        <w:t>Exact merchant reference and transaction type.</w:t>
      </w:r>
    </w:p>
    <w:p>
      <w:pPr>
        <w:pStyle w:val="ListNumber"/>
        <w:widowControl/>
        <w:numPr>
          <w:ilvl w:val="0"/>
          <w:numId w:val="14"/>
        </w:numPr>
        <w:spacing w:after="40"/>
      </w:pPr>
      <w:r>
        <w:t>Amount and currency.</w:t>
      </w:r>
    </w:p>
    <w:p>
      <w:pPr>
        <w:pStyle w:val="ListNumber"/>
        <w:widowControl/>
        <w:numPr>
          <w:ilvl w:val="0"/>
          <w:numId w:val="14"/>
        </w:numPr>
        <w:spacing w:after="40"/>
      </w:pPr>
      <w:r>
        <w:t>Provider date within an explicitly configured tolerance.</w:t>
      </w:r>
    </w:p>
    <w:p>
      <w:pPr>
        <w:pStyle w:val="ListNumber"/>
        <w:widowControl/>
        <w:numPr>
          <w:ilvl w:val="0"/>
          <w:numId w:val="14"/>
        </w:numPr>
        <w:spacing w:after="40"/>
      </w:pPr>
      <w:r>
        <w:t>Internal status compatibility.</w:t>
      </w:r>
    </w:p>
    <w:p>
      <w:pPr>
        <w:pStyle w:val="ListNumber"/>
        <w:widowControl/>
        <w:numPr>
          <w:ilvl w:val="0"/>
          <w:numId w:val="14"/>
        </w:numPr>
        <w:spacing w:after="40"/>
      </w:pPr>
      <w:r>
        <w:t>Ledger posting evidence.</w:t>
      </w:r>
    </w:p>
    <w:p>
      <w:pPr>
        <w:widowControl/>
        <w:spacing w:after="120"/>
      </w:pPr>
      <w:r>
        <w:t>Fuzzy matching is excluded from the first release because financial reconciliation must be deterministic and explainable.</w:t>
      </w:r>
    </w:p>
    <w:p>
      <w:pPr>
        <w:pStyle w:val="Heading2"/>
        <w:keepNext/>
        <w:widowControl/>
      </w:pPr>
      <w:r>
        <w:t>10.4 Discrepancy catalogue</w:t>
      </w:r>
    </w:p>
    <w:p>
      <w:pPr>
        <w:pStyle w:val="ListBullet"/>
        <w:widowControl/>
        <w:spacing w:after="40"/>
      </w:pPr>
      <w:r>
        <w:t>MISSING_INTERNAL_PAYMENT</w:t>
      </w:r>
    </w:p>
    <w:p>
      <w:pPr>
        <w:pStyle w:val="ListBullet"/>
        <w:widowControl/>
        <w:spacing w:after="40"/>
      </w:pPr>
      <w:r>
        <w:t>MISSING_PROVIDER_RECORD</w:t>
      </w:r>
    </w:p>
    <w:p>
      <w:pPr>
        <w:pStyle w:val="ListBullet"/>
        <w:widowControl/>
        <w:spacing w:after="40"/>
      </w:pPr>
      <w:r>
        <w:t>MISSING_INTERNAL_REVERSAL</w:t>
      </w:r>
    </w:p>
    <w:p>
      <w:pPr>
        <w:pStyle w:val="ListBullet"/>
        <w:widowControl/>
        <w:spacing w:after="40"/>
      </w:pPr>
      <w:r>
        <w:t>MISSING_PROVIDER_REVERSAL</w:t>
      </w:r>
    </w:p>
    <w:p>
      <w:pPr>
        <w:pStyle w:val="ListBullet"/>
        <w:widowControl/>
        <w:spacing w:after="40"/>
      </w:pPr>
      <w:r>
        <w:t>AMOUNT_MISMATCH</w:t>
      </w:r>
    </w:p>
    <w:p>
      <w:pPr>
        <w:pStyle w:val="ListBullet"/>
        <w:widowControl/>
        <w:spacing w:after="40"/>
      </w:pPr>
      <w:r>
        <w:t>CURRENCY_MISMATCH</w:t>
      </w:r>
    </w:p>
    <w:p>
      <w:pPr>
        <w:pStyle w:val="ListBullet"/>
        <w:widowControl/>
        <w:spacing w:after="40"/>
      </w:pPr>
      <w:r>
        <w:t>STATUS_MISMATCH</w:t>
      </w:r>
    </w:p>
    <w:p>
      <w:pPr>
        <w:pStyle w:val="ListBullet"/>
        <w:widowControl/>
        <w:spacing w:after="40"/>
      </w:pPr>
      <w:r>
        <w:t>DUPLICATE_PROVIDER_RECORD</w:t>
      </w:r>
    </w:p>
    <w:p>
      <w:pPr>
        <w:pStyle w:val="ListBullet"/>
        <w:widowControl/>
        <w:spacing w:after="40"/>
      </w:pPr>
      <w:r>
        <w:t>DUPLICATE_INTERNAL_REFERENCE</w:t>
      </w:r>
    </w:p>
    <w:p>
      <w:pPr>
        <w:pStyle w:val="ListBullet"/>
        <w:widowControl/>
        <w:spacing w:after="40"/>
      </w:pPr>
      <w:r>
        <w:t>LEDGER_TRANSACTION_MISSING</w:t>
      </w:r>
    </w:p>
    <w:p>
      <w:pPr>
        <w:pStyle w:val="ListBullet"/>
        <w:widowControl/>
        <w:spacing w:after="40"/>
      </w:pPr>
      <w:r>
        <w:t>LEDGER_AMOUNT_MISMATCH</w:t>
      </w:r>
    </w:p>
    <w:p>
      <w:pPr>
        <w:pStyle w:val="ListBullet"/>
        <w:widowControl/>
        <w:spacing w:after="40"/>
      </w:pPr>
      <w:r>
        <w:t>SETTLEMENT_DATE_MISMATCH</w:t>
      </w:r>
    </w:p>
    <w:p>
      <w:pPr>
        <w:pStyle w:val="ListBullet"/>
        <w:widowControl/>
        <w:spacing w:after="40"/>
      </w:pPr>
      <w:r>
        <w:t>UNRESOLVED_PROVIDER_REFERENCE</w:t>
      </w:r>
    </w:p>
    <w:p>
      <w:pPr>
        <w:pStyle w:val="ListBullet"/>
        <w:widowControl/>
        <w:spacing w:after="40"/>
      </w:pPr>
      <w:r>
        <w:t>INVALID_PROVIDER_RECORD</w:t>
      </w:r>
    </w:p>
    <w:p>
      <w:pPr>
        <w:pStyle w:val="Heading2"/>
        <w:keepNext/>
        <w:widowControl/>
      </w:pPr>
      <w:r>
        <w:t>10.5 Correction boundary</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Ownership rule: Reconciliation detects evidence and requests corrective actions. Payment owns Payment-state recovery; Ledger owns compensating postings; Casework owns investigation, controlled resolution, evidence, and reasons. Reconciliation never writes those modules' tables directly.</w:t>
            </w:r>
          </w:p>
        </w:tc>
      </w:tr>
    </w:tbl>
    <w:p>
      <w:pPr>
        <w:widowControl/>
      </w:pPr>
    </w:p>
    <w:p>
      <w:pPr>
        <w:pStyle w:val="Heading2"/>
        <w:keepNext/>
        <w:widowControl/>
      </w:pPr>
      <w:r>
        <w:t>10.6 Correction examples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Finding</w:t>
            </w:r>
          </w:p>
        </w:tc>
        <w:tc>
          <w:tcPr>
            <w:tcW w:type="dxa" w:w="6480"/>
            <w:shd w:fill="1F4E78"/>
            <w:vAlign w:val="center"/>
            <w:tcMar>
              <w:top w:w="90" w:type="dxa"/>
              <w:start w:w="90" w:type="dxa"/>
              <w:bottom w:w="90" w:type="dxa"/>
              <w:end w:w="90" w:type="dxa"/>
            </w:tcMar>
          </w:tcPr>
          <w:p>
            <w:pPr>
              <w:jc w:val="left"/>
            </w:pPr>
            <w:r>
              <w:rPr>
                <w:b/>
                <w:color w:val="FFFFFF"/>
                <w:sz w:val="17"/>
              </w:rPr>
              <w:t>Safe correction path</w:t>
            </w:r>
          </w:p>
        </w:tc>
      </w:tr>
      <w:tr>
        <w:trPr>
          <w:cantSplit/>
        </w:trPr>
        <w:tc>
          <w:tcPr>
            <w:tcW w:type="dxa" w:w="3312"/>
            <w:tcMar>
              <w:top w:w="90" w:type="dxa"/>
              <w:start w:w="90" w:type="dxa"/>
              <w:bottom w:w="90" w:type="dxa"/>
              <w:end w:w="90" w:type="dxa"/>
            </w:tcMar>
            <w:vAlign w:val="top"/>
          </w:tcPr>
          <w:p>
            <w:r>
              <w:rPr>
                <w:sz w:val="17"/>
              </w:rPr>
              <w:t>Provider proves success; Payment remains PROCESSING</w:t>
            </w:r>
          </w:p>
        </w:tc>
        <w:tc>
          <w:tcPr>
            <w:tcW w:type="dxa" w:w="6480"/>
            <w:tcMar>
              <w:top w:w="90" w:type="dxa"/>
              <w:start w:w="90" w:type="dxa"/>
              <w:bottom w:w="90" w:type="dxa"/>
              <w:end w:w="90" w:type="dxa"/>
            </w:tcMar>
            <w:vAlign w:val="top"/>
          </w:tcPr>
          <w:p>
            <w:r>
              <w:rPr>
                <w:sz w:val="17"/>
              </w:rPr>
              <w:t>Provider-status recovery validates evidence; Payment module completes and posts ledger atomically.</w:t>
            </w:r>
          </w:p>
        </w:tc>
      </w:tr>
      <w:tr>
        <w:trPr>
          <w:cantSplit/>
        </w:trPr>
        <w:tc>
          <w:tcPr>
            <w:tcW w:type="dxa" w:w="3312"/>
            <w:tcMar>
              <w:top w:w="90" w:type="dxa"/>
              <w:start w:w="90" w:type="dxa"/>
              <w:bottom w:w="90" w:type="dxa"/>
              <w:end w:w="90" w:type="dxa"/>
            </w:tcMar>
            <w:vAlign w:val="top"/>
          </w:tcPr>
          <w:p>
            <w:r>
              <w:rPr>
                <w:sz w:val="17"/>
              </w:rPr>
              <w:t>Ledger amount mismatch</w:t>
            </w:r>
          </w:p>
        </w:tc>
        <w:tc>
          <w:tcPr>
            <w:tcW w:type="dxa" w:w="6480"/>
            <w:tcMar>
              <w:top w:w="90" w:type="dxa"/>
              <w:start w:w="90" w:type="dxa"/>
              <w:bottom w:w="90" w:type="dxa"/>
              <w:end w:w="90" w:type="dxa"/>
            </w:tcMar>
            <w:vAlign w:val="top"/>
          </w:tcPr>
          <w:p>
            <w:r>
              <w:rPr>
                <w:sz w:val="17"/>
              </w:rPr>
              <w:t>An authorised correction request with explicit confirmation, reason, and audit evidence causes Ledger to post a compensating transaction referencing the discrepancy.</w:t>
            </w:r>
          </w:p>
        </w:tc>
      </w:tr>
      <w:tr>
        <w:trPr>
          <w:cantSplit/>
        </w:trPr>
        <w:tc>
          <w:tcPr>
            <w:tcW w:type="dxa" w:w="3312"/>
            <w:tcMar>
              <w:top w:w="90" w:type="dxa"/>
              <w:start w:w="90" w:type="dxa"/>
              <w:bottom w:w="90" w:type="dxa"/>
              <w:end w:w="90" w:type="dxa"/>
            </w:tcMar>
            <w:vAlign w:val="top"/>
          </w:tcPr>
          <w:p>
            <w:r>
              <w:rPr>
                <w:sz w:val="17"/>
              </w:rPr>
              <w:t>Internal completed payment missing from settlement</w:t>
            </w:r>
          </w:p>
        </w:tc>
        <w:tc>
          <w:tcPr>
            <w:tcW w:type="dxa" w:w="6480"/>
            <w:tcMar>
              <w:top w:w="90" w:type="dxa"/>
              <w:start w:w="90" w:type="dxa"/>
              <w:bottom w:w="90" w:type="dxa"/>
              <w:end w:w="90" w:type="dxa"/>
            </w:tcMar>
            <w:vAlign w:val="top"/>
          </w:tcPr>
          <w:p>
            <w:r>
              <w:rPr>
                <w:sz w:val="17"/>
              </w:rPr>
              <w:t>Query provider and adjacent settlement dates; open high-severity case if unresolved; never reverse automatically.</w:t>
            </w:r>
          </w:p>
        </w:tc>
      </w:tr>
      <w:tr>
        <w:trPr>
          <w:cantSplit/>
        </w:trPr>
        <w:tc>
          <w:tcPr>
            <w:tcW w:type="dxa" w:w="3312"/>
            <w:tcMar>
              <w:top w:w="90" w:type="dxa"/>
              <w:start w:w="90" w:type="dxa"/>
              <w:bottom w:w="90" w:type="dxa"/>
              <w:end w:w="90" w:type="dxa"/>
            </w:tcMar>
            <w:vAlign w:val="top"/>
          </w:tcPr>
          <w:p>
            <w:r>
              <w:rPr>
                <w:sz w:val="17"/>
              </w:rPr>
              <w:t>Provider success with no internal payment</w:t>
            </w:r>
          </w:p>
        </w:tc>
        <w:tc>
          <w:tcPr>
            <w:tcW w:type="dxa" w:w="6480"/>
            <w:tcMar>
              <w:top w:w="90" w:type="dxa"/>
              <w:start w:w="90" w:type="dxa"/>
              <w:bottom w:w="90" w:type="dxa"/>
              <w:end w:w="90" w:type="dxa"/>
            </w:tcMar>
            <w:vAlign w:val="top"/>
          </w:tcPr>
          <w:p>
            <w:r>
              <w:rPr>
                <w:sz w:val="17"/>
              </w:rPr>
              <w:t>Create critical investigation; preserve evidence; never fabricate a Payment automatically.</w:t>
            </w:r>
          </w:p>
        </w:tc>
      </w:tr>
      <w:tr>
        <w:trPr>
          <w:cantSplit/>
        </w:trPr>
        <w:tc>
          <w:tcPr>
            <w:tcW w:type="dxa" w:w="3312"/>
            <w:tcMar>
              <w:top w:w="90" w:type="dxa"/>
              <w:start w:w="90" w:type="dxa"/>
              <w:bottom w:w="90" w:type="dxa"/>
              <w:end w:w="90" w:type="dxa"/>
            </w:tcMar>
            <w:vAlign w:val="top"/>
          </w:tcPr>
          <w:p>
            <w:r>
              <w:rPr>
                <w:sz w:val="17"/>
              </w:rPr>
              <w:t>Duplicate provider record</w:t>
            </w:r>
          </w:p>
        </w:tc>
        <w:tc>
          <w:tcPr>
            <w:tcW w:type="dxa" w:w="6480"/>
            <w:tcMar>
              <w:top w:w="90" w:type="dxa"/>
              <w:start w:w="90" w:type="dxa"/>
              <w:bottom w:w="90" w:type="dxa"/>
              <w:end w:w="90" w:type="dxa"/>
            </w:tcMar>
            <w:vAlign w:val="top"/>
          </w:tcPr>
          <w:p>
            <w:r>
              <w:rPr>
                <w:sz w:val="17"/>
              </w:rPr>
              <w:t>Preserve duplicate, classify discrepancy, and resolve through provider evidence without duplicate financial posting.</w:t>
            </w:r>
          </w:p>
        </w:tc>
      </w:tr>
    </w:tbl>
    <w:p>
      <w:pPr>
        <w:widowControl/>
      </w:pPr>
    </w:p>
    <w:p>
      <w:pPr>
        <w:pStyle w:val="Heading2"/>
        <w:keepNext/>
        <w:widowControl/>
      </w:pPr>
      <w:r>
        <w:t>10.7 Extraction strategy</w:t>
      </w:r>
    </w:p>
    <w:p>
      <w:pPr>
        <w:widowControl/>
        <w:spacing w:after="120"/>
      </w:pPr>
      <w:r>
        <w:t>Reconciliation starts as an internal module to simplify transactional learning and product completion. Extraction occurs only after its APIs, events, batch data, and case relationships are stable. After extraction, Reconciliation owns settlement batches, normalized records, runs, discrepancies, and Spring Batch metadata in its own PostgreSQL database. It communicates through versioned APIs and Kafka contracts and never queries the core database directly.</w:t>
      </w:r>
    </w:p>
    <w:p>
      <w:pPr>
        <w:pStyle w:val="Heading1"/>
        <w:keepNext/>
        <w:widowControl/>
      </w:pPr>
      <w:r>
        <w:t>11. Observability, reliability, and performance</w:t>
      </w:r>
    </w:p>
    <w:p>
      <w:pPr>
        <w:pStyle w:val="Heading2"/>
        <w:keepNext/>
        <w:widowControl/>
      </w:pPr>
      <w:r>
        <w:t>11.1 Telemetry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Signal</w:t>
            </w:r>
          </w:p>
        </w:tc>
        <w:tc>
          <w:tcPr>
            <w:tcW w:type="dxa" w:w="2304"/>
            <w:shd w:fill="1F4E78"/>
            <w:vAlign w:val="center"/>
            <w:tcMar>
              <w:top w:w="90" w:type="dxa"/>
              <w:start w:w="90" w:type="dxa"/>
              <w:bottom w:w="90" w:type="dxa"/>
              <w:end w:w="90" w:type="dxa"/>
            </w:tcMar>
          </w:tcPr>
          <w:p>
            <w:pPr>
              <w:jc w:val="left"/>
            </w:pPr>
            <w:r>
              <w:rPr>
                <w:b/>
                <w:color w:val="FFFFFF"/>
                <w:sz w:val="17"/>
              </w:rPr>
              <w:t>Technology</w:t>
            </w:r>
          </w:p>
        </w:tc>
        <w:tc>
          <w:tcPr>
            <w:tcW w:type="dxa" w:w="5616"/>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1872"/>
            <w:tcMar>
              <w:top w:w="90" w:type="dxa"/>
              <w:start w:w="90" w:type="dxa"/>
              <w:bottom w:w="90" w:type="dxa"/>
              <w:end w:w="90" w:type="dxa"/>
            </w:tcMar>
            <w:vAlign w:val="top"/>
          </w:tcPr>
          <w:p>
            <w:r>
              <w:rPr>
                <w:sz w:val="17"/>
              </w:rPr>
              <w:t>Instrumentation</w:t>
            </w:r>
          </w:p>
        </w:tc>
        <w:tc>
          <w:tcPr>
            <w:tcW w:type="dxa" w:w="2304"/>
            <w:tcMar>
              <w:top w:w="90" w:type="dxa"/>
              <w:start w:w="90" w:type="dxa"/>
              <w:bottom w:w="90" w:type="dxa"/>
              <w:end w:w="90" w:type="dxa"/>
            </w:tcMar>
            <w:vAlign w:val="top"/>
          </w:tcPr>
          <w:p>
            <w:r>
              <w:rPr>
                <w:sz w:val="17"/>
              </w:rPr>
              <w:t>OpenTelemetry</w:t>
            </w:r>
          </w:p>
        </w:tc>
        <w:tc>
          <w:tcPr>
            <w:tcW w:type="dxa" w:w="5616"/>
            <w:tcMar>
              <w:top w:w="90" w:type="dxa"/>
              <w:start w:w="90" w:type="dxa"/>
              <w:bottom w:w="90" w:type="dxa"/>
              <w:end w:w="90" w:type="dxa"/>
            </w:tcMar>
            <w:vAlign w:val="top"/>
          </w:tcPr>
          <w:p>
            <w:r>
              <w:rPr>
                <w:sz w:val="17"/>
              </w:rPr>
              <w:t>Consistent tracing and metrics instrumentation.</w:t>
            </w:r>
          </w:p>
        </w:tc>
      </w:tr>
      <w:tr>
        <w:trPr>
          <w:cantSplit/>
        </w:trPr>
        <w:tc>
          <w:tcPr>
            <w:tcW w:type="dxa" w:w="1872"/>
            <w:tcMar>
              <w:top w:w="90" w:type="dxa"/>
              <w:start w:w="90" w:type="dxa"/>
              <w:bottom w:w="90" w:type="dxa"/>
              <w:end w:w="90" w:type="dxa"/>
            </w:tcMar>
            <w:vAlign w:val="top"/>
          </w:tcPr>
          <w:p>
            <w:r>
              <w:rPr>
                <w:sz w:val="17"/>
              </w:rPr>
              <w:t>Metrics</w:t>
            </w:r>
          </w:p>
        </w:tc>
        <w:tc>
          <w:tcPr>
            <w:tcW w:type="dxa" w:w="2304"/>
            <w:tcMar>
              <w:top w:w="90" w:type="dxa"/>
              <w:start w:w="90" w:type="dxa"/>
              <w:bottom w:w="90" w:type="dxa"/>
              <w:end w:w="90" w:type="dxa"/>
            </w:tcMar>
            <w:vAlign w:val="top"/>
          </w:tcPr>
          <w:p>
            <w:r>
              <w:rPr>
                <w:sz w:val="17"/>
              </w:rPr>
              <w:t>Prometheus</w:t>
            </w:r>
          </w:p>
        </w:tc>
        <w:tc>
          <w:tcPr>
            <w:tcW w:type="dxa" w:w="5616"/>
            <w:tcMar>
              <w:top w:w="90" w:type="dxa"/>
              <w:start w:w="90" w:type="dxa"/>
              <w:bottom w:w="90" w:type="dxa"/>
              <w:end w:w="90" w:type="dxa"/>
            </w:tcMar>
            <w:vAlign w:val="top"/>
          </w:tcPr>
          <w:p>
            <w:r>
              <w:rPr>
                <w:sz w:val="17"/>
              </w:rPr>
              <w:t>Time-series health, business, messaging, and infrastructure metrics.</w:t>
            </w:r>
          </w:p>
        </w:tc>
      </w:tr>
      <w:tr>
        <w:trPr>
          <w:cantSplit/>
        </w:trPr>
        <w:tc>
          <w:tcPr>
            <w:tcW w:type="dxa" w:w="1872"/>
            <w:tcMar>
              <w:top w:w="90" w:type="dxa"/>
              <w:start w:w="90" w:type="dxa"/>
              <w:bottom w:w="90" w:type="dxa"/>
              <w:end w:w="90" w:type="dxa"/>
            </w:tcMar>
            <w:vAlign w:val="top"/>
          </w:tcPr>
          <w:p>
            <w:r>
              <w:rPr>
                <w:sz w:val="17"/>
              </w:rPr>
              <w:t>Dashboards/alerts</w:t>
            </w:r>
          </w:p>
        </w:tc>
        <w:tc>
          <w:tcPr>
            <w:tcW w:type="dxa" w:w="2304"/>
            <w:tcMar>
              <w:top w:w="90" w:type="dxa"/>
              <w:start w:w="90" w:type="dxa"/>
              <w:bottom w:w="90" w:type="dxa"/>
              <w:end w:w="90" w:type="dxa"/>
            </w:tcMar>
            <w:vAlign w:val="top"/>
          </w:tcPr>
          <w:p>
            <w:r>
              <w:rPr>
                <w:sz w:val="17"/>
              </w:rPr>
              <w:t>Grafana</w:t>
            </w:r>
          </w:p>
        </w:tc>
        <w:tc>
          <w:tcPr>
            <w:tcW w:type="dxa" w:w="5616"/>
            <w:tcMar>
              <w:top w:w="90" w:type="dxa"/>
              <w:start w:w="90" w:type="dxa"/>
              <w:bottom w:w="90" w:type="dxa"/>
              <w:end w:w="90" w:type="dxa"/>
            </w:tcMar>
            <w:vAlign w:val="top"/>
          </w:tcPr>
          <w:p>
            <w:r>
              <w:rPr>
                <w:sz w:val="17"/>
              </w:rPr>
              <w:t>Operational visualization and actionable alerts.</w:t>
            </w:r>
          </w:p>
        </w:tc>
      </w:tr>
      <w:tr>
        <w:trPr>
          <w:cantSplit/>
        </w:trPr>
        <w:tc>
          <w:tcPr>
            <w:tcW w:type="dxa" w:w="1872"/>
            <w:tcMar>
              <w:top w:w="90" w:type="dxa"/>
              <w:start w:w="90" w:type="dxa"/>
              <w:bottom w:w="90" w:type="dxa"/>
              <w:end w:w="90" w:type="dxa"/>
            </w:tcMar>
            <w:vAlign w:val="top"/>
          </w:tcPr>
          <w:p>
            <w:r>
              <w:rPr>
                <w:sz w:val="17"/>
              </w:rPr>
              <w:t>Logs</w:t>
            </w:r>
          </w:p>
        </w:tc>
        <w:tc>
          <w:tcPr>
            <w:tcW w:type="dxa" w:w="2304"/>
            <w:tcMar>
              <w:top w:w="90" w:type="dxa"/>
              <w:start w:w="90" w:type="dxa"/>
              <w:bottom w:w="90" w:type="dxa"/>
              <w:end w:w="90" w:type="dxa"/>
            </w:tcMar>
            <w:vAlign w:val="top"/>
          </w:tcPr>
          <w:p>
            <w:r>
              <w:rPr>
                <w:sz w:val="17"/>
              </w:rPr>
              <w:t>Loki</w:t>
            </w:r>
          </w:p>
        </w:tc>
        <w:tc>
          <w:tcPr>
            <w:tcW w:type="dxa" w:w="5616"/>
            <w:tcMar>
              <w:top w:w="90" w:type="dxa"/>
              <w:start w:w="90" w:type="dxa"/>
              <w:bottom w:w="90" w:type="dxa"/>
              <w:end w:w="90" w:type="dxa"/>
            </w:tcMar>
            <w:vAlign w:val="top"/>
          </w:tcPr>
          <w:p>
            <w:r>
              <w:rPr>
                <w:sz w:val="17"/>
              </w:rPr>
              <w:t>Centralized structured application logs.</w:t>
            </w:r>
          </w:p>
        </w:tc>
      </w:tr>
      <w:tr>
        <w:trPr>
          <w:cantSplit/>
        </w:trPr>
        <w:tc>
          <w:tcPr>
            <w:tcW w:type="dxa" w:w="1872"/>
            <w:tcMar>
              <w:top w:w="90" w:type="dxa"/>
              <w:start w:w="90" w:type="dxa"/>
              <w:bottom w:w="90" w:type="dxa"/>
              <w:end w:w="90" w:type="dxa"/>
            </w:tcMar>
            <w:vAlign w:val="top"/>
          </w:tcPr>
          <w:p>
            <w:r>
              <w:rPr>
                <w:sz w:val="17"/>
              </w:rPr>
              <w:t>Traces</w:t>
            </w:r>
          </w:p>
        </w:tc>
        <w:tc>
          <w:tcPr>
            <w:tcW w:type="dxa" w:w="2304"/>
            <w:tcMar>
              <w:top w:w="90" w:type="dxa"/>
              <w:start w:w="90" w:type="dxa"/>
              <w:bottom w:w="90" w:type="dxa"/>
              <w:end w:w="90" w:type="dxa"/>
            </w:tcMar>
            <w:vAlign w:val="top"/>
          </w:tcPr>
          <w:p>
            <w:r>
              <w:rPr>
                <w:sz w:val="17"/>
              </w:rPr>
              <w:t>Tempo</w:t>
            </w:r>
          </w:p>
        </w:tc>
        <w:tc>
          <w:tcPr>
            <w:tcW w:type="dxa" w:w="5616"/>
            <w:tcMar>
              <w:top w:w="90" w:type="dxa"/>
              <w:start w:w="90" w:type="dxa"/>
              <w:bottom w:w="90" w:type="dxa"/>
              <w:end w:w="90" w:type="dxa"/>
            </w:tcMar>
            <w:vAlign w:val="top"/>
          </w:tcPr>
          <w:p>
            <w:r>
              <w:rPr>
                <w:sz w:val="17"/>
              </w:rPr>
              <w:t>Distributed traces across HTTP, Kafka, database, and provider flows.</w:t>
            </w:r>
          </w:p>
        </w:tc>
      </w:tr>
    </w:tbl>
    <w:p>
      <w:pPr>
        <w:widowControl/>
      </w:pPr>
    </w:p>
    <w:p>
      <w:pPr>
        <w:pStyle w:val="Heading2"/>
        <w:keepNext/>
        <w:widowControl/>
      </w:pPr>
      <w:r>
        <w:t>11.2 Context propagation</w:t>
      </w:r>
    </w:p>
    <w:p>
      <w:pPr>
        <w:widowControl/>
        <w:spacing w:after="120"/>
      </w:pPr>
      <w:r>
        <w:t>Logs, metrics where cardinality permits, and traces share correlation identifiers. Kafka headers propagate traceparent, tracestate, correlationId, and causationId across asynchronous boundaries. High-cardinality identifiers such as paymentId and traceId belong in logs and traces, not Prometheus labels.</w:t>
      </w:r>
    </w:p>
    <w:p>
      <w:pPr>
        <w:pStyle w:val="Heading2"/>
        <w:keepNext/>
        <w:widowControl/>
      </w:pPr>
      <w:r>
        <w:t>11.3 Core service-level objectives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Area</w:t>
            </w:r>
          </w:p>
        </w:tc>
        <w:tc>
          <w:tcPr>
            <w:tcW w:type="dxa" w:w="6912"/>
            <w:shd w:fill="1F4E78"/>
            <w:vAlign w:val="center"/>
            <w:tcMar>
              <w:top w:w="90" w:type="dxa"/>
              <w:start w:w="90" w:type="dxa"/>
              <w:bottom w:w="90" w:type="dxa"/>
              <w:end w:w="90" w:type="dxa"/>
            </w:tcMar>
          </w:tcPr>
          <w:p>
            <w:pPr>
              <w:jc w:val="left"/>
            </w:pPr>
            <w:r>
              <w:rPr>
                <w:b/>
                <w:color w:val="FFFFFF"/>
                <w:sz w:val="17"/>
              </w:rPr>
              <w:t>Initial objective</w:t>
            </w:r>
          </w:p>
        </w:tc>
      </w:tr>
      <w:tr>
        <w:trPr>
          <w:cantSplit/>
        </w:trPr>
        <w:tc>
          <w:tcPr>
            <w:tcW w:type="dxa" w:w="2880"/>
            <w:tcMar>
              <w:top w:w="90" w:type="dxa"/>
              <w:start w:w="90" w:type="dxa"/>
              <w:bottom w:w="90" w:type="dxa"/>
              <w:end w:w="90" w:type="dxa"/>
            </w:tcMar>
            <w:vAlign w:val="top"/>
          </w:tcPr>
          <w:p>
            <w:r>
              <w:rPr>
                <w:sz w:val="17"/>
              </w:rPr>
              <w:t>Core API availability</w:t>
            </w:r>
          </w:p>
        </w:tc>
        <w:tc>
          <w:tcPr>
            <w:tcW w:type="dxa" w:w="6912"/>
            <w:tcMar>
              <w:top w:w="90" w:type="dxa"/>
              <w:start w:w="90" w:type="dxa"/>
              <w:bottom w:w="90" w:type="dxa"/>
              <w:end w:w="90" w:type="dxa"/>
            </w:tcMar>
            <w:vAlign w:val="top"/>
          </w:tcPr>
          <w:p>
            <w:r>
              <w:rPr>
                <w:sz w:val="17"/>
              </w:rPr>
              <w:t>99.9% monthly engineering target.</w:t>
            </w:r>
          </w:p>
        </w:tc>
      </w:tr>
      <w:tr>
        <w:trPr>
          <w:cantSplit/>
        </w:trPr>
        <w:tc>
          <w:tcPr>
            <w:tcW w:type="dxa" w:w="2880"/>
            <w:tcMar>
              <w:top w:w="90" w:type="dxa"/>
              <w:start w:w="90" w:type="dxa"/>
              <w:bottom w:w="90" w:type="dxa"/>
              <w:end w:w="90" w:type="dxa"/>
            </w:tcMar>
            <w:vAlign w:val="top"/>
          </w:tcPr>
          <w:p>
            <w:r>
              <w:rPr>
                <w:sz w:val="17"/>
              </w:rPr>
              <w:t>Payment creation</w:t>
            </w:r>
          </w:p>
        </w:tc>
        <w:tc>
          <w:tcPr>
            <w:tcW w:type="dxa" w:w="6912"/>
            <w:tcMar>
              <w:top w:w="90" w:type="dxa"/>
              <w:start w:w="90" w:type="dxa"/>
              <w:bottom w:w="90" w:type="dxa"/>
              <w:end w:w="90" w:type="dxa"/>
            </w:tcMar>
            <w:vAlign w:val="top"/>
          </w:tcPr>
          <w:p>
            <w:r>
              <w:rPr>
                <w:sz w:val="17"/>
              </w:rPr>
              <w:t>P95 under 500 ms for acceptance under the defined demonstration load.</w:t>
            </w:r>
          </w:p>
        </w:tc>
      </w:tr>
      <w:tr>
        <w:trPr>
          <w:cantSplit/>
        </w:trPr>
        <w:tc>
          <w:tcPr>
            <w:tcW w:type="dxa" w:w="2880"/>
            <w:tcMar>
              <w:top w:w="90" w:type="dxa"/>
              <w:start w:w="90" w:type="dxa"/>
              <w:bottom w:w="90" w:type="dxa"/>
              <w:end w:w="90" w:type="dxa"/>
            </w:tcMar>
            <w:vAlign w:val="top"/>
          </w:tcPr>
          <w:p>
            <w:r>
              <w:rPr>
                <w:sz w:val="17"/>
              </w:rPr>
              <w:t>Read APIs</w:t>
            </w:r>
          </w:p>
        </w:tc>
        <w:tc>
          <w:tcPr>
            <w:tcW w:type="dxa" w:w="6912"/>
            <w:tcMar>
              <w:top w:w="90" w:type="dxa"/>
              <w:start w:w="90" w:type="dxa"/>
              <w:bottom w:w="90" w:type="dxa"/>
              <w:end w:w="90" w:type="dxa"/>
            </w:tcMar>
            <w:vAlign w:val="top"/>
          </w:tcPr>
          <w:p>
            <w:r>
              <w:rPr>
                <w:sz w:val="17"/>
              </w:rPr>
              <w:t>P95 under 300 ms under expected load.</w:t>
            </w:r>
          </w:p>
        </w:tc>
      </w:tr>
      <w:tr>
        <w:trPr>
          <w:cantSplit/>
        </w:trPr>
        <w:tc>
          <w:tcPr>
            <w:tcW w:type="dxa" w:w="2880"/>
            <w:tcMar>
              <w:top w:w="90" w:type="dxa"/>
              <w:start w:w="90" w:type="dxa"/>
              <w:bottom w:w="90" w:type="dxa"/>
              <w:end w:w="90" w:type="dxa"/>
            </w:tcMar>
            <w:vAlign w:val="top"/>
          </w:tcPr>
          <w:p>
            <w:r>
              <w:rPr>
                <w:sz w:val="17"/>
              </w:rPr>
              <w:t>Webhook reception</w:t>
            </w:r>
          </w:p>
        </w:tc>
        <w:tc>
          <w:tcPr>
            <w:tcW w:type="dxa" w:w="6912"/>
            <w:tcMar>
              <w:top w:w="90" w:type="dxa"/>
              <w:start w:w="90" w:type="dxa"/>
              <w:bottom w:w="90" w:type="dxa"/>
              <w:end w:w="90" w:type="dxa"/>
            </w:tcMar>
            <w:vAlign w:val="top"/>
          </w:tcPr>
          <w:p>
            <w:r>
              <w:rPr>
                <w:sz w:val="17"/>
              </w:rPr>
              <w:t>99% durably stored within 2 seconds.</w:t>
            </w:r>
          </w:p>
        </w:tc>
      </w:tr>
      <w:tr>
        <w:trPr>
          <w:cantSplit/>
        </w:trPr>
        <w:tc>
          <w:tcPr>
            <w:tcW w:type="dxa" w:w="2880"/>
            <w:tcMar>
              <w:top w:w="90" w:type="dxa"/>
              <w:start w:w="90" w:type="dxa"/>
              <w:bottom w:w="90" w:type="dxa"/>
              <w:end w:w="90" w:type="dxa"/>
            </w:tcMar>
            <w:vAlign w:val="top"/>
          </w:tcPr>
          <w:p>
            <w:r>
              <w:rPr>
                <w:sz w:val="17"/>
              </w:rPr>
              <w:t>Webhook processing</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Normal Kafka events</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Outbox</w:t>
            </w:r>
          </w:p>
        </w:tc>
        <w:tc>
          <w:tcPr>
            <w:tcW w:type="dxa" w:w="6912"/>
            <w:tcMar>
              <w:top w:w="90" w:type="dxa"/>
              <w:start w:w="90" w:type="dxa"/>
              <w:bottom w:w="90" w:type="dxa"/>
              <w:end w:w="90" w:type="dxa"/>
            </w:tcMar>
            <w:vAlign w:val="top"/>
          </w:tcPr>
          <w:p>
            <w:r>
              <w:rPr>
                <w:sz w:val="17"/>
              </w:rPr>
              <w:t>Oldest pending record below 60 seconds during normal operation.</w:t>
            </w:r>
          </w:p>
        </w:tc>
      </w:tr>
      <w:tr>
        <w:trPr>
          <w:cantSplit/>
        </w:trPr>
        <w:tc>
          <w:tcPr>
            <w:tcW w:type="dxa" w:w="2880"/>
            <w:tcMar>
              <w:top w:w="90" w:type="dxa"/>
              <w:start w:w="90" w:type="dxa"/>
              <w:bottom w:w="90" w:type="dxa"/>
              <w:end w:w="90" w:type="dxa"/>
            </w:tcMar>
            <w:vAlign w:val="top"/>
          </w:tcPr>
          <w:p>
            <w:r>
              <w:rPr>
                <w:sz w:val="17"/>
              </w:rPr>
              <w:t>Reconciliation</w:t>
            </w:r>
          </w:p>
        </w:tc>
        <w:tc>
          <w:tcPr>
            <w:tcW w:type="dxa" w:w="6912"/>
            <w:tcMar>
              <w:top w:w="90" w:type="dxa"/>
              <w:start w:w="90" w:type="dxa"/>
              <w:bottom w:w="90" w:type="dxa"/>
              <w:end w:w="90" w:type="dxa"/>
            </w:tcMar>
            <w:vAlign w:val="top"/>
          </w:tcPr>
          <w:p>
            <w:r>
              <w:rPr>
                <w:sz w:val="17"/>
              </w:rPr>
              <w:t>99% of valid demonstration-size batches complete within 15 minutes.</w:t>
            </w:r>
          </w:p>
        </w:tc>
      </w:tr>
      <w:tr>
        <w:trPr>
          <w:cantSplit/>
        </w:trPr>
        <w:tc>
          <w:tcPr>
            <w:tcW w:type="dxa" w:w="2880"/>
            <w:tcMar>
              <w:top w:w="90" w:type="dxa"/>
              <w:start w:w="90" w:type="dxa"/>
              <w:bottom w:w="90" w:type="dxa"/>
              <w:end w:w="90" w:type="dxa"/>
            </w:tcMar>
            <w:vAlign w:val="top"/>
          </w:tcPr>
          <w:p>
            <w:r>
              <w:rPr>
                <w:sz w:val="17"/>
              </w:rPr>
              <w:t>Correctness</w:t>
            </w:r>
          </w:p>
        </w:tc>
        <w:tc>
          <w:tcPr>
            <w:tcW w:type="dxa" w:w="6912"/>
            <w:tcMar>
              <w:top w:w="90" w:type="dxa"/>
              <w:start w:w="90" w:type="dxa"/>
              <w:bottom w:w="90" w:type="dxa"/>
              <w:end w:w="90" w:type="dxa"/>
            </w:tcMar>
            <w:vAlign w:val="top"/>
          </w:tcPr>
          <w:p>
            <w:r>
              <w:rPr>
                <w:sz w:val="17"/>
              </w:rPr>
              <w:t>Zero unbalanced postings, duplicate financial postings, confirmed cross-tenant disclosures, or Payment completions without exactly one corresponding balanced ledger transaction.</w:t>
            </w:r>
          </w:p>
        </w:tc>
      </w:tr>
    </w:tbl>
    <w:p>
      <w:pPr>
        <w:widowControl/>
      </w:pPr>
    </w:p>
    <w:p>
      <w:pPr>
        <w:pStyle w:val="Heading2"/>
        <w:keepNext/>
        <w:widowControl/>
      </w:pPr>
      <w:r>
        <w:t>11.4 Required dashboards</w:t>
      </w:r>
    </w:p>
    <w:p>
      <w:pPr>
        <w:pStyle w:val="ListBullet"/>
        <w:widowControl/>
        <w:spacing w:after="40"/>
      </w:pPr>
      <w:r>
        <w:t>Executive operations: payment volume, completion/failure rate, reversals, discrepancies, provider health, SLO status.</w:t>
      </w:r>
    </w:p>
    <w:p>
      <w:pPr>
        <w:pStyle w:val="ListBullet"/>
        <w:widowControl/>
        <w:spacing w:after="40"/>
      </w:pPr>
      <w:r>
        <w:t>Payment processing: state distribution, latency, stuck payments, failure categories.</w:t>
      </w:r>
    </w:p>
    <w:p>
      <w:pPr>
        <w:pStyle w:val="ListBullet"/>
        <w:widowControl/>
        <w:spacing w:after="40"/>
      </w:pPr>
      <w:r>
        <w:t>Kafka/outbox: consumer lag, throughput, retries, dead letters, backlog age.</w:t>
      </w:r>
    </w:p>
    <w:p>
      <w:pPr>
        <w:pStyle w:val="ListBullet"/>
        <w:widowControl/>
        <w:spacing w:after="40"/>
      </w:pPr>
      <w:r>
        <w:t>Provider: latency, timeout rate, webhook delay, ambiguous outcomes, circuit-breaker state.</w:t>
      </w:r>
    </w:p>
    <w:p>
      <w:pPr>
        <w:pStyle w:val="ListBullet"/>
        <w:widowControl/>
        <w:spacing w:after="40"/>
      </w:pPr>
      <w:r>
        <w:t>Reconciliation: batch status, match rate, mismatched amount, discrepancy severity, job duration.</w:t>
      </w:r>
    </w:p>
    <w:p>
      <w:pPr>
        <w:pStyle w:val="ListBullet"/>
        <w:widowControl/>
        <w:spacing w:after="40"/>
      </w:pPr>
      <w:r>
        <w:t>JVM/infrastructure: CPU, memory, garbage collection, pools, database metrics, pod restarts.</w:t>
      </w:r>
    </w:p>
    <w:p>
      <w:pPr>
        <w:pStyle w:val="Heading2"/>
        <w:keepNext/>
        <w:widowControl/>
      </w:pPr>
      <w:r>
        <w:t>11.5 Alerts and incidents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Severity</w:t>
            </w:r>
          </w:p>
        </w:tc>
        <w:tc>
          <w:tcPr>
            <w:tcW w:type="dxa" w:w="7848"/>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CRITICAL</w:t>
            </w:r>
          </w:p>
        </w:tc>
        <w:tc>
          <w:tcPr>
            <w:tcW w:type="dxa" w:w="7848"/>
            <w:tcMar>
              <w:top w:w="90" w:type="dxa"/>
              <w:start w:w="90" w:type="dxa"/>
              <w:bottom w:w="90" w:type="dxa"/>
              <w:end w:w="90" w:type="dxa"/>
            </w:tcMar>
            <w:vAlign w:val="top"/>
          </w:tcPr>
          <w:p>
            <w:r>
              <w:rPr>
                <w:sz w:val="17"/>
              </w:rPr>
              <w:t>Ledger invariant violation, payment without ledger posting, cross-tenant incident, financial dead letter, sustained processing halt.</w:t>
            </w:r>
          </w:p>
        </w:tc>
      </w:tr>
      <w:tr>
        <w:trPr>
          <w:cantSplit/>
        </w:trPr>
        <w:tc>
          <w:tcPr>
            <w:tcW w:type="dxa" w:w="1944"/>
            <w:tcMar>
              <w:top w:w="90" w:type="dxa"/>
              <w:start w:w="90" w:type="dxa"/>
              <w:bottom w:w="90" w:type="dxa"/>
              <w:end w:w="90" w:type="dxa"/>
            </w:tcMar>
            <w:vAlign w:val="top"/>
          </w:tcPr>
          <w:p>
            <w:r>
              <w:rPr>
                <w:sz w:val="17"/>
              </w:rPr>
              <w:t>WARNING</w:t>
            </w:r>
          </w:p>
        </w:tc>
        <w:tc>
          <w:tcPr>
            <w:tcW w:type="dxa" w:w="7848"/>
            <w:tcMar>
              <w:top w:w="90" w:type="dxa"/>
              <w:start w:w="90" w:type="dxa"/>
              <w:bottom w:w="90" w:type="dxa"/>
              <w:end w:w="90" w:type="dxa"/>
            </w:tcMar>
            <w:vAlign w:val="top"/>
          </w:tcPr>
          <w:p>
            <w:r>
              <w:rPr>
                <w:sz w:val="17"/>
              </w:rPr>
              <w:t>Growing Kafka lag, provider degradation, late settlement file, low match rate, stuck payment growth.</w:t>
            </w:r>
          </w:p>
        </w:tc>
      </w:tr>
      <w:tr>
        <w:trPr>
          <w:cantSplit/>
        </w:trPr>
        <w:tc>
          <w:tcPr>
            <w:tcW w:type="dxa" w:w="1944"/>
            <w:tcMar>
              <w:top w:w="90" w:type="dxa"/>
              <w:start w:w="90" w:type="dxa"/>
              <w:bottom w:w="90" w:type="dxa"/>
              <w:end w:w="90" w:type="dxa"/>
            </w:tcMar>
            <w:vAlign w:val="top"/>
          </w:tcPr>
          <w:p>
            <w:r>
              <w:rPr>
                <w:sz w:val="17"/>
              </w:rPr>
              <w:t>INFO</w:t>
            </w:r>
          </w:p>
        </w:tc>
        <w:tc>
          <w:tcPr>
            <w:tcW w:type="dxa" w:w="7848"/>
            <w:tcMar>
              <w:top w:w="90" w:type="dxa"/>
              <w:start w:w="90" w:type="dxa"/>
              <w:bottom w:w="90" w:type="dxa"/>
              <w:end w:w="90" w:type="dxa"/>
            </w:tcMar>
            <w:vAlign w:val="top"/>
          </w:tcPr>
          <w:p>
            <w:r>
              <w:rPr>
                <w:sz w:val="17"/>
              </w:rPr>
              <w:t>Deployment complete, scheduled reconciliation complete, recovery succeeded.</w:t>
            </w:r>
          </w:p>
        </w:tc>
      </w:tr>
    </w:tbl>
    <w:p>
      <w:pPr>
        <w:widowControl/>
      </w:pPr>
    </w:p>
    <w:p>
      <w:pPr>
        <w:widowControl/>
        <w:spacing w:after="120"/>
      </w:pPr>
      <w:r>
        <w:t>Every alert includes impact, trigger, subsystem, owner, runbook, and recovery signal. SEV-1 and significant SEV-2 incidents require a blameless postmortem and explicit correctness verification after recovery.</w:t>
      </w:r>
    </w:p>
    <w:p>
      <w:pPr>
        <w:pStyle w:val="Heading2"/>
        <w:keepNext/>
        <w:widowControl/>
      </w:pPr>
      <w:r>
        <w:t>11.6 Performance and failure testing</w:t>
      </w:r>
    </w:p>
    <w:p>
      <w:pPr>
        <w:pStyle w:val="ListBullet"/>
        <w:widowControl/>
        <w:spacing w:after="40"/>
      </w:pPr>
      <w:r>
        <w:t>k6 smoke, baseline, load, stress, spike, and soak profiles.</w:t>
      </w:r>
    </w:p>
    <w:p>
      <w:pPr>
        <w:pStyle w:val="ListBullet"/>
        <w:widowControl/>
        <w:spacing w:after="40"/>
      </w:pPr>
      <w:r>
        <w:t>Sequential and concurrent equivalent-request tests under one tenant and idempotency key return the original logical result and leave one Payment. Materially different content, including a different merchant, returns an explicit idempotency conflict.</w:t>
      </w:r>
    </w:p>
    <w:p>
      <w:pPr>
        <w:pStyle w:val="ListBullet"/>
        <w:widowControl/>
        <w:spacing w:after="40"/>
      </w:pPr>
      <w:r>
        <w:t>Provider slowdown and backlog-recovery test.</w:t>
      </w:r>
    </w:p>
    <w:p>
      <w:pPr>
        <w:pStyle w:val="ListBullet"/>
        <w:widowControl/>
        <w:spacing w:after="40"/>
      </w:pPr>
      <w:r>
        <w:t>Kafka consumer crash and safe redelivery test.</w:t>
      </w:r>
    </w:p>
    <w:p>
      <w:pPr>
        <w:pStyle w:val="ListBullet"/>
        <w:widowControl/>
        <w:spacing w:after="40"/>
      </w:pPr>
      <w:r>
        <w:t>Outbox publisher crash after Kafka acceptance test.</w:t>
      </w:r>
    </w:p>
    <w:p>
      <w:pPr>
        <w:pStyle w:val="ListBullet"/>
        <w:widowControl/>
        <w:spacing w:after="40"/>
      </w:pPr>
      <w:r>
        <w:t>Reconciliation test with 100,000 records without loading the file entirely into memory.</w:t>
      </w:r>
    </w:p>
    <w:p>
      <w:pPr>
        <w:pStyle w:val="ListBullet"/>
        <w:widowControl/>
        <w:spacing w:after="40"/>
      </w:pPr>
      <w:r>
        <w:t>Controlled chaos: terminate provider, consumer, or reconciliation worker; stop Redis; interrupt network dependencies.</w:t>
      </w:r>
    </w:p>
    <w:p>
      <w:pPr>
        <w:pStyle w:val="Heading1"/>
        <w:keepNext/>
        <w:widowControl/>
      </w:pPr>
      <w:r>
        <w:t>12. Infrastructure, cloud, Kubernetes, and CI/CD</w:t>
      </w:r>
    </w:p>
    <w:p>
      <w:pPr>
        <w:pStyle w:val="Heading2"/>
        <w:keepNext/>
        <w:widowControl/>
      </w:pPr>
      <w:r>
        <w:t>12.1 Environment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Environment</w:t>
            </w:r>
          </w:p>
        </w:tc>
        <w:tc>
          <w:tcPr>
            <w:tcW w:type="dxa" w:w="3744"/>
            <w:shd w:fill="1F4E78"/>
            <w:vAlign w:val="center"/>
            <w:tcMar>
              <w:top w:w="90" w:type="dxa"/>
              <w:start w:w="90" w:type="dxa"/>
              <w:bottom w:w="90" w:type="dxa"/>
              <w:end w:w="90" w:type="dxa"/>
            </w:tcMar>
          </w:tcPr>
          <w:p>
            <w:pPr>
              <w:jc w:val="left"/>
            </w:pPr>
            <w:r>
              <w:rPr>
                <w:b/>
                <w:color w:val="FFFFFF"/>
                <w:sz w:val="17"/>
              </w:rPr>
              <w:t>Purpose</w:t>
            </w:r>
          </w:p>
        </w:tc>
        <w:tc>
          <w:tcPr>
            <w:tcW w:type="dxa" w:w="4464"/>
            <w:shd w:fill="1F4E78"/>
            <w:vAlign w:val="center"/>
            <w:tcMar>
              <w:top w:w="90" w:type="dxa"/>
              <w:start w:w="90" w:type="dxa"/>
              <w:bottom w:w="90" w:type="dxa"/>
              <w:end w:w="90" w:type="dxa"/>
            </w:tcMar>
          </w:tcPr>
          <w:p>
            <w:pPr>
              <w:jc w:val="left"/>
            </w:pPr>
            <w:r>
              <w:rPr>
                <w:b/>
                <w:color w:val="FFFFFF"/>
                <w:sz w:val="17"/>
              </w:rPr>
              <w:t>Topology</w:t>
            </w:r>
          </w:p>
        </w:tc>
      </w:tr>
      <w:tr>
        <w:trPr>
          <w:cantSplit/>
        </w:trPr>
        <w:tc>
          <w:tcPr>
            <w:tcW w:type="dxa" w:w="1584"/>
            <w:tcMar>
              <w:top w:w="90" w:type="dxa"/>
              <w:start w:w="90" w:type="dxa"/>
              <w:bottom w:w="90" w:type="dxa"/>
              <w:end w:w="90" w:type="dxa"/>
            </w:tcMar>
            <w:vAlign w:val="top"/>
          </w:tcPr>
          <w:p>
            <w:r>
              <w:rPr>
                <w:sz w:val="17"/>
              </w:rPr>
              <w:t>local</w:t>
            </w:r>
          </w:p>
        </w:tc>
        <w:tc>
          <w:tcPr>
            <w:tcW w:type="dxa" w:w="3744"/>
            <w:tcMar>
              <w:top w:w="90" w:type="dxa"/>
              <w:start w:w="90" w:type="dxa"/>
              <w:bottom w:w="90" w:type="dxa"/>
              <w:end w:w="90" w:type="dxa"/>
            </w:tcMar>
            <w:vAlign w:val="top"/>
          </w:tcPr>
          <w:p>
            <w:r>
              <w:rPr>
                <w:sz w:val="17"/>
              </w:rPr>
              <w:t>Daily development and debugging.</w:t>
            </w:r>
          </w:p>
        </w:tc>
        <w:tc>
          <w:tcPr>
            <w:tcW w:type="dxa" w:w="4464"/>
            <w:tcMar>
              <w:top w:w="90" w:type="dxa"/>
              <w:start w:w="90" w:type="dxa"/>
              <w:bottom w:w="90" w:type="dxa"/>
              <w:end w:w="90" w:type="dxa"/>
            </w:tcMar>
            <w:vAlign w:val="top"/>
          </w:tcPr>
          <w:p>
            <w:r>
              <w:rPr>
                <w:sz w:val="17"/>
              </w:rPr>
              <w:t>Applications direct or containerized; dependencies through Docker Compose.</w:t>
            </w:r>
          </w:p>
        </w:tc>
      </w:tr>
      <w:tr>
        <w:trPr>
          <w:cantSplit/>
        </w:trPr>
        <w:tc>
          <w:tcPr>
            <w:tcW w:type="dxa" w:w="1584"/>
            <w:tcMar>
              <w:top w:w="90" w:type="dxa"/>
              <w:start w:w="90" w:type="dxa"/>
              <w:bottom w:w="90" w:type="dxa"/>
              <w:end w:w="90" w:type="dxa"/>
            </w:tcMar>
            <w:vAlign w:val="top"/>
          </w:tcPr>
          <w:p>
            <w:r>
              <w:rPr>
                <w:sz w:val="17"/>
              </w:rPr>
              <w:t>test</w:t>
            </w:r>
          </w:p>
        </w:tc>
        <w:tc>
          <w:tcPr>
            <w:tcW w:type="dxa" w:w="3744"/>
            <w:tcMar>
              <w:top w:w="90" w:type="dxa"/>
              <w:start w:w="90" w:type="dxa"/>
              <w:bottom w:w="90" w:type="dxa"/>
              <w:end w:w="90" w:type="dxa"/>
            </w:tcMar>
            <w:vAlign w:val="top"/>
          </w:tcPr>
          <w:p>
            <w:r>
              <w:rPr>
                <w:sz w:val="17"/>
              </w:rPr>
              <w:t>Automated verification.</w:t>
            </w:r>
          </w:p>
        </w:tc>
        <w:tc>
          <w:tcPr>
            <w:tcW w:type="dxa" w:w="4464"/>
            <w:tcMar>
              <w:top w:w="90" w:type="dxa"/>
              <w:start w:w="90" w:type="dxa"/>
              <w:bottom w:w="90" w:type="dxa"/>
              <w:end w:w="90" w:type="dxa"/>
            </w:tcMar>
            <w:vAlign w:val="top"/>
          </w:tcPr>
          <w:p>
            <w:r>
              <w:rPr>
                <w:sz w:val="17"/>
              </w:rPr>
              <w:t>Ephemeral Testcontainers and temporary environments.</w:t>
            </w:r>
          </w:p>
        </w:tc>
      </w:tr>
      <w:tr>
        <w:trPr>
          <w:cantSplit/>
        </w:trPr>
        <w:tc>
          <w:tcPr>
            <w:tcW w:type="dxa" w:w="1584"/>
            <w:tcMar>
              <w:top w:w="90" w:type="dxa"/>
              <w:start w:w="90" w:type="dxa"/>
              <w:bottom w:w="90" w:type="dxa"/>
              <w:end w:w="90" w:type="dxa"/>
            </w:tcMar>
            <w:vAlign w:val="top"/>
          </w:tcPr>
          <w:p>
            <w:r>
              <w:rPr>
                <w:sz w:val="17"/>
              </w:rPr>
              <w:t>demo</w:t>
            </w:r>
          </w:p>
        </w:tc>
        <w:tc>
          <w:tcPr>
            <w:tcW w:type="dxa" w:w="3744"/>
            <w:tcMar>
              <w:top w:w="90" w:type="dxa"/>
              <w:start w:w="90" w:type="dxa"/>
              <w:bottom w:w="90" w:type="dxa"/>
              <w:end w:w="90" w:type="dxa"/>
            </w:tcMar>
            <w:vAlign w:val="top"/>
          </w:tcPr>
          <w:p>
            <w:r>
              <w:rPr>
                <w:sz w:val="17"/>
              </w:rPr>
              <w:t>Public recruiter-accessible deployment.</w:t>
            </w:r>
          </w:p>
        </w:tc>
        <w:tc>
          <w:tcPr>
            <w:tcW w:type="dxa" w:w="4464"/>
            <w:tcMar>
              <w:top w:w="90" w:type="dxa"/>
              <w:start w:w="90" w:type="dxa"/>
              <w:bottom w:w="90" w:type="dxa"/>
              <w:end w:w="90" w:type="dxa"/>
            </w:tcMar>
            <w:vAlign w:val="top"/>
          </w:tcPr>
          <w:p>
            <w:r>
              <w:rPr>
                <w:sz w:val="17"/>
              </w:rPr>
              <w:t>Cost-conscious AWS ECS topology.</w:t>
            </w:r>
          </w:p>
        </w:tc>
      </w:tr>
      <w:tr>
        <w:trPr>
          <w:cantSplit/>
        </w:trPr>
        <w:tc>
          <w:tcPr>
            <w:tcW w:type="dxa" w:w="1584"/>
            <w:tcMar>
              <w:top w:w="90" w:type="dxa"/>
              <w:start w:w="90" w:type="dxa"/>
              <w:bottom w:w="90" w:type="dxa"/>
              <w:end w:w="90" w:type="dxa"/>
            </w:tcMar>
            <w:vAlign w:val="top"/>
          </w:tcPr>
          <w:p>
            <w:r>
              <w:rPr>
                <w:sz w:val="17"/>
              </w:rPr>
              <w:t>kubernetes</w:t>
            </w:r>
          </w:p>
        </w:tc>
        <w:tc>
          <w:tcPr>
            <w:tcW w:type="dxa" w:w="3744"/>
            <w:tcMar>
              <w:top w:w="90" w:type="dxa"/>
              <w:start w:w="90" w:type="dxa"/>
              <w:bottom w:w="90" w:type="dxa"/>
              <w:end w:w="90" w:type="dxa"/>
            </w:tcMar>
            <w:vAlign w:val="top"/>
          </w:tcPr>
          <w:p>
            <w:r>
              <w:rPr>
                <w:sz w:val="17"/>
              </w:rPr>
              <w:t>Platform-engineering demonstration.</w:t>
            </w:r>
          </w:p>
        </w:tc>
        <w:tc>
          <w:tcPr>
            <w:tcW w:type="dxa" w:w="4464"/>
            <w:tcMar>
              <w:top w:w="90" w:type="dxa"/>
              <w:start w:w="90" w:type="dxa"/>
              <w:bottom w:w="90" w:type="dxa"/>
              <w:end w:w="90" w:type="dxa"/>
            </w:tcMar>
            <w:vAlign w:val="top"/>
          </w:tcPr>
          <w:p>
            <w:r>
              <w:rPr>
                <w:sz w:val="17"/>
              </w:rPr>
              <w:t>Reproducible EKS/kind deployment using Helm and Argo CD; not permanently required.</w:t>
            </w:r>
          </w:p>
        </w:tc>
      </w:tr>
    </w:tbl>
    <w:p>
      <w:pPr>
        <w:widowControl/>
      </w:pPr>
    </w:p>
    <w:p>
      <w:pPr>
        <w:pStyle w:val="Heading2"/>
        <w:keepNext/>
        <w:widowControl/>
      </w:pPr>
      <w:r>
        <w:t>12.2 Repository structure</w:t>
      </w:r>
    </w:p>
    <w:p>
      <w:pPr>
        <w:pStyle w:val="CodeBlock"/>
        <w:keepLines/>
        <w:widowControl/>
      </w:pPr>
      <w:r>
        <w:t>ledgerops/</w:t>
        <w:br/>
        <w:t>├── applications/</w:t>
        <w:br/>
        <w:t>│   ├── core-platform/</w:t>
        <w:br/>
        <w:t>│   ├── provider-simulator/</w:t>
        <w:br/>
        <w:t>│   ├── reconciliation-service/</w:t>
        <w:br/>
        <w:t>│   └── operations-web/</w:t>
        <w:br/>
        <w:t>├── packages/</w:t>
        <w:br/>
        <w:t>│   ├── event-contracts/</w:t>
        <w:br/>
        <w:t>│   ├── test-fixtures/</w:t>
        <w:br/>
        <w:t>│   └── testing-support/</w:t>
        <w:br/>
        <w:t>├── infrastructure/</w:t>
        <w:br/>
        <w:t>│   ├── compose/</w:t>
        <w:br/>
        <w:t>│   ├── terraform/</w:t>
        <w:br/>
        <w:t>│   ├── kubernetes/</w:t>
        <w:br/>
        <w:t>│   ├── helm/</w:t>
        <w:br/>
        <w:t>│   ├── argocd/</w:t>
        <w:br/>
        <w:t>│   └── observability/</w:t>
        <w:br/>
        <w:t>├── performance/</w:t>
        <w:br/>
        <w:t>├── scripts/</w:t>
        <w:br/>
        <w:t>├── docs/</w:t>
        <w:br/>
        <w:t>└── .github/workflows/</w:t>
      </w:r>
    </w:p>
    <w:p>
      <w:pPr>
        <w:pStyle w:val="Heading2"/>
        <w:keepNext/>
        <w:widowControl/>
      </w:pPr>
      <w:r>
        <w:t>12.3 Local topology</w:t>
      </w:r>
    </w:p>
    <w:p>
      <w:pPr>
        <w:widowControl/>
        <w:spacing w:after="120"/>
      </w:pPr>
      <w:r>
        <w:t>Docker Compose provides PostgreSQL, Kafka in KRaft mode, Kafka UI, Redis, Keycloak, MinIO, Prometheus, Grafana, Loki, Tempo, and the OpenTelemetry Collector. One documented command starts the environment. Kubernetes is not required for ordinary development.</w:t>
      </w:r>
    </w:p>
    <w:p>
      <w:pPr>
        <w:pStyle w:val="Heading2"/>
        <w:keepNext/>
        <w:widowControl/>
      </w:pPr>
      <w:r>
        <w:t>12.4 AWS demo topology</w:t>
      </w:r>
    </w:p>
    <w:p>
      <w:pPr>
        <w:pStyle w:val="CodeBlock"/>
        <w:keepLines/>
        <w:widowControl/>
      </w:pPr>
      <w:r>
        <w:t>CloudFront / frontend hosting</w:t>
        <w:br/>
        <w:t xml:space="preserve">          |</w:t>
        <w:br/>
        <w:t>Application Load Balancer</w:t>
        <w:br/>
        <w:t xml:space="preserve">          |</w:t>
        <w:br/>
        <w:t>ECS Fargate</w:t>
        <w:br/>
        <w:t xml:space="preserve">  |- Core Platform</w:t>
        <w:br/>
        <w:t xml:space="preserve">  |- Provider Simulator</w:t>
        <w:br/>
        <w:t xml:space="preserve">  |- Reconciliation Service (after extraction)</w:t>
        <w:br/>
        <w:br/>
        <w:t>RDS PostgreSQL | optional ElastiCache | S3 | Secrets Manager | CloudWatch</w:t>
        <w:br/>
        <w:t>Low-cost Kafka-compatible broker/service; permanent MSK is rejected for cost reasons.</w:t>
      </w:r>
    </w:p>
    <w:p>
      <w:pPr>
        <w:pStyle w:val="Heading2"/>
        <w:keepNext/>
        <w:widowControl/>
      </w:pPr>
      <w:r>
        <w:t>12.5 Kubernetes reference environment</w:t>
      </w:r>
    </w:p>
    <w:p>
      <w:pPr>
        <w:pStyle w:val="ListBullet"/>
        <w:widowControl/>
        <w:spacing w:after="40"/>
      </w:pPr>
      <w:r>
        <w:t>Helm-managed workloads with requests, limits, probes, graceful termination, security contexts, and rolling updates.</w:t>
      </w:r>
    </w:p>
    <w:p>
      <w:pPr>
        <w:pStyle w:val="ListBullet"/>
        <w:widowControl/>
        <w:spacing w:after="40"/>
      </w:pPr>
      <w:r>
        <w:t>Argo CD for declarative GitOps, drift detection, and rollback visibility.</w:t>
      </w:r>
    </w:p>
    <w:p>
      <w:pPr>
        <w:pStyle w:val="ListBullet"/>
        <w:widowControl/>
        <w:spacing w:after="40"/>
      </w:pPr>
      <w:r>
        <w:t>External Secrets Operator for secret delivery.</w:t>
      </w:r>
    </w:p>
    <w:p>
      <w:pPr>
        <w:pStyle w:val="ListBullet"/>
        <w:widowControl/>
        <w:spacing w:after="40"/>
      </w:pPr>
      <w:r>
        <w:t>Prometheus, Grafana, Loki, Tempo, and OpenTelemetry Collector.</w:t>
      </w:r>
    </w:p>
    <w:p>
      <w:pPr>
        <w:pStyle w:val="ListBullet"/>
        <w:widowControl/>
        <w:spacing w:after="40"/>
      </w:pPr>
      <w:r>
        <w:t>Two core replicas; correctness must hold across multiple instances.</w:t>
      </w:r>
    </w:p>
    <w:p>
      <w:pPr>
        <w:pStyle w:val="ListBullet"/>
        <w:widowControl/>
        <w:spacing w:after="40"/>
      </w:pPr>
      <w:r>
        <w:t>Horizontal Pod Autoscaling starts with CPU/memory; Kafka-lag scaling is optional after stability.</w:t>
      </w:r>
    </w:p>
    <w:p>
      <w:pPr>
        <w:pStyle w:val="ListBullet"/>
        <w:widowControl/>
        <w:spacing w:after="40"/>
      </w:pPr>
      <w:r>
        <w:t>PodDisruptionBudgets and topology spreading for replicated critical workloads.</w:t>
      </w:r>
    </w:p>
    <w:p>
      <w:pPr>
        <w:pStyle w:val="Heading2"/>
        <w:keepNext/>
        <w:widowControl/>
      </w:pPr>
      <w:r>
        <w:t>12.6 Infrastructure as code and secrets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Concern</w:t>
            </w:r>
          </w:p>
        </w:tc>
        <w:tc>
          <w:tcPr>
            <w:tcW w:type="dxa" w:w="7488"/>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304"/>
            <w:tcMar>
              <w:top w:w="90" w:type="dxa"/>
              <w:start w:w="90" w:type="dxa"/>
              <w:bottom w:w="90" w:type="dxa"/>
              <w:end w:w="90" w:type="dxa"/>
            </w:tcMar>
            <w:vAlign w:val="top"/>
          </w:tcPr>
          <w:p>
            <w:r>
              <w:rPr>
                <w:sz w:val="17"/>
              </w:rPr>
              <w:t>Terraform</w:t>
            </w:r>
          </w:p>
        </w:tc>
        <w:tc>
          <w:tcPr>
            <w:tcW w:type="dxa" w:w="7488"/>
            <w:tcMar>
              <w:top w:w="90" w:type="dxa"/>
              <w:start w:w="90" w:type="dxa"/>
              <w:bottom w:w="90" w:type="dxa"/>
              <w:end w:w="90" w:type="dxa"/>
            </w:tcMar>
            <w:vAlign w:val="top"/>
          </w:tcPr>
          <w:p>
            <w:r>
              <w:rPr>
                <w:sz w:val="17"/>
              </w:rPr>
              <w:t>Owns VPC, ECS/EKS, load balancers, RDS, Redis, S3, IAM, registries, observability resources, and secret references.</w:t>
            </w:r>
          </w:p>
        </w:tc>
      </w:tr>
      <w:tr>
        <w:trPr>
          <w:cantSplit/>
        </w:trPr>
        <w:tc>
          <w:tcPr>
            <w:tcW w:type="dxa" w:w="2304"/>
            <w:tcMar>
              <w:top w:w="90" w:type="dxa"/>
              <w:start w:w="90" w:type="dxa"/>
              <w:bottom w:w="90" w:type="dxa"/>
              <w:end w:w="90" w:type="dxa"/>
            </w:tcMar>
            <w:vAlign w:val="top"/>
          </w:tcPr>
          <w:p>
            <w:r>
              <w:rPr>
                <w:sz w:val="17"/>
              </w:rPr>
              <w:t>Terraform state</w:t>
            </w:r>
          </w:p>
        </w:tc>
        <w:tc>
          <w:tcPr>
            <w:tcW w:type="dxa" w:w="7488"/>
            <w:tcMar>
              <w:top w:w="90" w:type="dxa"/>
              <w:start w:w="90" w:type="dxa"/>
              <w:bottom w:w="90" w:type="dxa"/>
              <w:end w:w="90" w:type="dxa"/>
            </w:tcMar>
            <w:vAlign w:val="top"/>
          </w:tcPr>
          <w:p>
            <w:r>
              <w:rPr>
                <w:sz w:val="17"/>
              </w:rPr>
              <w:t>Remote encrypted state with restricted IAM; never committed to Git.</w:t>
            </w:r>
          </w:p>
        </w:tc>
      </w:tr>
      <w:tr>
        <w:trPr>
          <w:cantSplit/>
        </w:trPr>
        <w:tc>
          <w:tcPr>
            <w:tcW w:type="dxa" w:w="2304"/>
            <w:tcMar>
              <w:top w:w="90" w:type="dxa"/>
              <w:start w:w="90" w:type="dxa"/>
              <w:bottom w:w="90" w:type="dxa"/>
              <w:end w:w="90" w:type="dxa"/>
            </w:tcMar>
            <w:vAlign w:val="top"/>
          </w:tcPr>
          <w:p>
            <w:r>
              <w:rPr>
                <w:sz w:val="17"/>
              </w:rPr>
              <w:t>Secrets</w:t>
            </w:r>
          </w:p>
        </w:tc>
        <w:tc>
          <w:tcPr>
            <w:tcW w:type="dxa" w:w="7488"/>
            <w:tcMar>
              <w:top w:w="90" w:type="dxa"/>
              <w:start w:w="90" w:type="dxa"/>
              <w:bottom w:w="90" w:type="dxa"/>
              <w:end w:w="90" w:type="dxa"/>
            </w:tcMar>
            <w:vAlign w:val="top"/>
          </w:tcPr>
          <w:p>
            <w:r>
              <w:rPr>
                <w:sz w:val="17"/>
              </w:rPr>
              <w:t>Local excluded .env/Docker secrets; GitHub Actions OIDC; AWS Secrets Manager; External Secrets Operator.</w:t>
            </w:r>
          </w:p>
        </w:tc>
      </w:tr>
      <w:tr>
        <w:trPr>
          <w:cantSplit/>
        </w:trPr>
        <w:tc>
          <w:tcPr>
            <w:tcW w:type="dxa" w:w="2304"/>
            <w:tcMar>
              <w:top w:w="90" w:type="dxa"/>
              <w:start w:w="90" w:type="dxa"/>
              <w:bottom w:w="90" w:type="dxa"/>
              <w:end w:w="90" w:type="dxa"/>
            </w:tcMar>
            <w:vAlign w:val="top"/>
          </w:tcPr>
          <w:p>
            <w:r>
              <w:rPr>
                <w:sz w:val="17"/>
              </w:rPr>
              <w:t>CI cloud access</w:t>
            </w:r>
          </w:p>
        </w:tc>
        <w:tc>
          <w:tcPr>
            <w:tcW w:type="dxa" w:w="7488"/>
            <w:tcMar>
              <w:top w:w="90" w:type="dxa"/>
              <w:start w:w="90" w:type="dxa"/>
              <w:bottom w:w="90" w:type="dxa"/>
              <w:end w:w="90" w:type="dxa"/>
            </w:tcMar>
            <w:vAlign w:val="top"/>
          </w:tcPr>
          <w:p>
            <w:r>
              <w:rPr>
                <w:sz w:val="17"/>
              </w:rPr>
              <w:t>OIDC federation to narrowly scoped AWS roles; no long-lived AWS keys.</w:t>
            </w:r>
          </w:p>
        </w:tc>
      </w:tr>
      <w:tr>
        <w:trPr>
          <w:cantSplit/>
        </w:trPr>
        <w:tc>
          <w:tcPr>
            <w:tcW w:type="dxa" w:w="2304"/>
            <w:tcMar>
              <w:top w:w="90" w:type="dxa"/>
              <w:start w:w="90" w:type="dxa"/>
              <w:bottom w:w="90" w:type="dxa"/>
              <w:end w:w="90" w:type="dxa"/>
            </w:tcMar>
            <w:vAlign w:val="top"/>
          </w:tcPr>
          <w:p>
            <w:r>
              <w:rPr>
                <w:sz w:val="17"/>
              </w:rPr>
              <w:t>Containers</w:t>
            </w:r>
          </w:p>
        </w:tc>
        <w:tc>
          <w:tcPr>
            <w:tcW w:type="dxa" w:w="7488"/>
            <w:tcMar>
              <w:top w:w="90" w:type="dxa"/>
              <w:start w:w="90" w:type="dxa"/>
              <w:bottom w:w="90" w:type="dxa"/>
              <w:end w:w="90" w:type="dxa"/>
            </w:tcMar>
            <w:vAlign w:val="top"/>
          </w:tcPr>
          <w:p>
            <w:r>
              <w:rPr>
                <w:sz w:val="17"/>
              </w:rPr>
              <w:t>Multi-stage, minimal, non-root, immutable, SHA-tagged, scanned, SBOM generated.</w:t>
            </w:r>
          </w:p>
        </w:tc>
      </w:tr>
      <w:tr>
        <w:trPr>
          <w:cantSplit/>
        </w:trPr>
        <w:tc>
          <w:tcPr>
            <w:tcW w:type="dxa" w:w="2304"/>
            <w:tcMar>
              <w:top w:w="90" w:type="dxa"/>
              <w:start w:w="90" w:type="dxa"/>
              <w:bottom w:w="90" w:type="dxa"/>
              <w:end w:w="90" w:type="dxa"/>
            </w:tcMar>
            <w:vAlign w:val="top"/>
          </w:tcPr>
          <w:p>
            <w:r>
              <w:rPr>
                <w:sz w:val="17"/>
              </w:rPr>
              <w:t>Database</w:t>
            </w:r>
          </w:p>
        </w:tc>
        <w:tc>
          <w:tcPr>
            <w:tcW w:type="dxa" w:w="7488"/>
            <w:tcMar>
              <w:top w:w="90" w:type="dxa"/>
              <w:start w:w="90" w:type="dxa"/>
              <w:bottom w:w="90" w:type="dxa"/>
              <w:end w:w="90" w:type="dxa"/>
            </w:tcMar>
            <w:vAlign w:val="top"/>
          </w:tcPr>
          <w:p>
            <w:r>
              <w:rPr>
                <w:sz w:val="17"/>
              </w:rPr>
              <w:t>Managed PostgreSQL in demo; self-managed production-style PostgreSQL on Kubernetes is rejected.</w:t>
            </w:r>
          </w:p>
        </w:tc>
      </w:tr>
    </w:tbl>
    <w:p>
      <w:pPr>
        <w:widowControl/>
      </w:pPr>
    </w:p>
    <w:p>
      <w:pPr>
        <w:pStyle w:val="Heading2"/>
        <w:keepNext/>
        <w:widowControl/>
      </w:pPr>
      <w:r>
        <w:t>12.7 CI/CD quality gates</w:t>
      </w:r>
    </w:p>
    <w:p>
      <w:pPr>
        <w:pStyle w:val="ListNumber"/>
        <w:widowControl/>
        <w:numPr>
          <w:ilvl w:val="0"/>
          <w:numId w:val="15"/>
        </w:numPr>
        <w:spacing w:after="40"/>
      </w:pPr>
      <w:r>
        <w:t>Formatting and static analysis.</w:t>
      </w:r>
    </w:p>
    <w:p>
      <w:pPr>
        <w:pStyle w:val="ListNumber"/>
        <w:widowControl/>
        <w:numPr>
          <w:ilvl w:val="0"/>
          <w:numId w:val="15"/>
        </w:numPr>
        <w:spacing w:after="40"/>
      </w:pPr>
      <w:r>
        <w:t>Compilation, unit tests, domain tests, architecture tests.</w:t>
      </w:r>
    </w:p>
    <w:p>
      <w:pPr>
        <w:pStyle w:val="ListNumber"/>
        <w:widowControl/>
        <w:numPr>
          <w:ilvl w:val="0"/>
          <w:numId w:val="15"/>
        </w:numPr>
        <w:spacing w:after="40"/>
      </w:pPr>
      <w:r>
        <w:t>Testcontainers integration tests and database migration tests.</w:t>
      </w:r>
    </w:p>
    <w:p>
      <w:pPr>
        <w:pStyle w:val="ListNumber"/>
        <w:widowControl/>
        <w:numPr>
          <w:ilvl w:val="0"/>
          <w:numId w:val="15"/>
        </w:numPr>
        <w:spacing w:after="40"/>
      </w:pPr>
      <w:r>
        <w:t>HTTP, event, and provider contract compatibility.</w:t>
      </w:r>
    </w:p>
    <w:p>
      <w:pPr>
        <w:pStyle w:val="ListNumber"/>
        <w:widowControl/>
        <w:numPr>
          <w:ilvl w:val="0"/>
          <w:numId w:val="15"/>
        </w:numPr>
        <w:spacing w:after="40"/>
      </w:pPr>
      <w:r>
        <w:t>Frontend lint, type checks, and critical tests.</w:t>
      </w:r>
    </w:p>
    <w:p>
      <w:pPr>
        <w:pStyle w:val="ListNumber"/>
        <w:widowControl/>
        <w:numPr>
          <w:ilvl w:val="0"/>
          <w:numId w:val="15"/>
        </w:numPr>
        <w:spacing w:after="40"/>
      </w:pPr>
      <w:r>
        <w:t>Secret, dependency, container, and infrastructure scanning.</w:t>
      </w:r>
    </w:p>
    <w:p>
      <w:pPr>
        <w:pStyle w:val="ListNumber"/>
        <w:widowControl/>
        <w:numPr>
          <w:ilvl w:val="0"/>
          <w:numId w:val="15"/>
        </w:numPr>
        <w:spacing w:after="40"/>
      </w:pPr>
      <w:r>
        <w:t>Container build, SBOM, image signing where mature, and registry publication.</w:t>
      </w:r>
    </w:p>
    <w:p>
      <w:pPr>
        <w:pStyle w:val="ListNumber"/>
        <w:widowControl/>
        <w:numPr>
          <w:ilvl w:val="0"/>
          <w:numId w:val="15"/>
        </w:numPr>
        <w:spacing w:after="40"/>
      </w:pPr>
      <w:r>
        <w:t>Controlled Flyway migration task before application rollout.</w:t>
      </w:r>
    </w:p>
    <w:p>
      <w:pPr>
        <w:pStyle w:val="ListNumber"/>
        <w:widowControl/>
        <w:numPr>
          <w:ilvl w:val="0"/>
          <w:numId w:val="15"/>
        </w:numPr>
        <w:spacing w:after="40"/>
      </w:pPr>
      <w:r>
        <w:t>Health checks and smoke tests; application rollback if deployment fails.</w:t>
      </w:r>
    </w:p>
    <w:p>
      <w:pPr>
        <w:pStyle w:val="Heading2"/>
        <w:keepNext/>
        <w:widowControl/>
      </w:pPr>
      <w:r>
        <w:t>12.8 Cost controls</w:t>
      </w:r>
    </w:p>
    <w:p>
      <w:pPr>
        <w:pStyle w:val="ListBullet"/>
        <w:widowControl/>
        <w:spacing w:after="40"/>
      </w:pPr>
      <w:r>
        <w:t>ECS is the permanent demo platform; EKS is temporary or on-demand.</w:t>
      </w:r>
    </w:p>
    <w:p>
      <w:pPr>
        <w:pStyle w:val="ListBullet"/>
        <w:widowControl/>
        <w:spacing w:after="40"/>
      </w:pPr>
      <w:r>
        <w:t>Permanent Amazon MSK is avoided.</w:t>
      </w:r>
    </w:p>
    <w:p>
      <w:pPr>
        <w:pStyle w:val="ListBullet"/>
        <w:widowControl/>
        <w:spacing w:after="40"/>
      </w:pPr>
      <w:r>
        <w:t>Telemetry retention is bounded.</w:t>
      </w:r>
    </w:p>
    <w:p>
      <w:pPr>
        <w:pStyle w:val="ListBullet"/>
        <w:widowControl/>
        <w:spacing w:after="40"/>
      </w:pPr>
      <w:r>
        <w:t>AWS budgets and alerts are mandatory.</w:t>
      </w:r>
    </w:p>
    <w:p>
      <w:pPr>
        <w:pStyle w:val="ListBullet"/>
        <w:widowControl/>
        <w:spacing w:after="40"/>
      </w:pPr>
      <w:r>
        <w:t>All cloud resources are tagged and created through Terraform.</w:t>
      </w:r>
    </w:p>
    <w:p>
      <w:pPr>
        <w:pStyle w:val="ListBullet"/>
        <w:widowControl/>
        <w:spacing w:after="40"/>
      </w:pPr>
      <w:r>
        <w:t>Teardown scripts and cost-model documentation are part of the repository.</w:t>
      </w:r>
    </w:p>
    <w:p>
      <w:pPr>
        <w:pStyle w:val="Heading1"/>
        <w:keepNext/>
        <w:widowControl/>
      </w:pPr>
      <w:r>
        <w:t>13. Testing and verification strategy</w:t>
      </w:r>
    </w:p>
    <w:p>
      <w:pPr>
        <w:pStyle w:val="Heading2"/>
        <w:keepNext/>
        <w:widowControl/>
      </w:pPr>
      <w:r>
        <w:t>13.1 Test layers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shd w:fill="1F4E78"/>
            <w:vAlign w:val="center"/>
            <w:tcMar>
              <w:top w:w="90" w:type="dxa"/>
              <w:start w:w="90" w:type="dxa"/>
              <w:bottom w:w="90" w:type="dxa"/>
              <w:end w:w="90" w:type="dxa"/>
            </w:tcMar>
          </w:tcPr>
          <w:p>
            <w:pPr>
              <w:jc w:val="left"/>
            </w:pPr>
            <w:r>
              <w:rPr>
                <w:b/>
                <w:color w:val="FFFFFF"/>
                <w:sz w:val="17"/>
              </w:rPr>
              <w:t>Layer</w:t>
            </w:r>
          </w:p>
        </w:tc>
        <w:tc>
          <w:tcPr>
            <w:tcW w:type="dxa" w:w="7128"/>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2664"/>
            <w:tcMar>
              <w:top w:w="90" w:type="dxa"/>
              <w:start w:w="90" w:type="dxa"/>
              <w:bottom w:w="90" w:type="dxa"/>
              <w:end w:w="90" w:type="dxa"/>
            </w:tcMar>
            <w:vAlign w:val="top"/>
          </w:tcPr>
          <w:p>
            <w:r>
              <w:rPr>
                <w:sz w:val="17"/>
              </w:rPr>
              <w:t>Unit tests</w:t>
            </w:r>
          </w:p>
        </w:tc>
        <w:tc>
          <w:tcPr>
            <w:tcW w:type="dxa" w:w="7128"/>
            <w:tcMar>
              <w:top w:w="90" w:type="dxa"/>
              <w:start w:w="90" w:type="dxa"/>
              <w:bottom w:w="90" w:type="dxa"/>
              <w:end w:w="90" w:type="dxa"/>
            </w:tcMar>
            <w:vAlign w:val="top"/>
          </w:tcPr>
          <w:p>
            <w:r>
              <w:t>Isolated rules, mappings, calculations, value objects, Risk score aggregation and cap, exact decision boundaries, and configuration validation, plus Ledger account creation, exact status/code vocabularies, and immutable identity.</w:t>
            </w:r>
          </w:p>
        </w:tc>
      </w:tr>
      <w:tr>
        <w:trPr>
          <w:cantSplit/>
        </w:trPr>
        <w:tc>
          <w:tcPr>
            <w:tcW w:type="dxa" w:w="2664"/>
            <w:tcMar>
              <w:top w:w="90" w:type="dxa"/>
              <w:start w:w="90" w:type="dxa"/>
              <w:bottom w:w="90" w:type="dxa"/>
              <w:end w:w="90" w:type="dxa"/>
            </w:tcMar>
            <w:vAlign w:val="top"/>
          </w:tcPr>
          <w:p>
            <w:r>
              <w:rPr>
                <w:sz w:val="17"/>
              </w:rPr>
              <w:t>Domain invariant tests</w:t>
            </w:r>
          </w:p>
        </w:tc>
        <w:tc>
          <w:tcPr>
            <w:tcW w:type="dxa" w:w="7128"/>
            <w:tcMar>
              <w:top w:w="90" w:type="dxa"/>
              <w:start w:w="90" w:type="dxa"/>
              <w:bottom w:w="90" w:type="dxa"/>
              <w:end w:w="90" w:type="dxa"/>
            </w:tcMar>
            <w:vAlign w:val="top"/>
          </w:tcPr>
          <w:p>
            <w:r>
              <w:t>Exact Payment and Reversal transitions, terminal states, deterministic Risk rule eligibility and evidence, one Reversal per Payment, immutable retry attempts, full-only reversal, separate reconciliation/provider progress, ledger balance, and tenant ownership, Ledger account tenant/currency ownership, ACTIVE-only posting, and history derived from immutable entries.</w:t>
            </w:r>
          </w:p>
        </w:tc>
      </w:tr>
      <w:tr>
        <w:trPr>
          <w:cantSplit/>
        </w:trPr>
        <w:tc>
          <w:tcPr>
            <w:tcW w:type="dxa" w:w="2664"/>
            <w:tcMar>
              <w:top w:w="90" w:type="dxa"/>
              <w:start w:w="90" w:type="dxa"/>
              <w:bottom w:w="90" w:type="dxa"/>
              <w:end w:w="90" w:type="dxa"/>
            </w:tcMar>
            <w:vAlign w:val="top"/>
          </w:tcPr>
          <w:p>
            <w:r>
              <w:rPr>
                <w:sz w:val="17"/>
              </w:rPr>
              <w:t>Module integration tests</w:t>
            </w:r>
          </w:p>
        </w:tc>
        <w:tc>
          <w:tcPr>
            <w:tcW w:type="dxa" w:w="7128"/>
            <w:tcMar>
              <w:top w:w="90" w:type="dxa"/>
              <w:start w:w="90" w:type="dxa"/>
              <w:bottom w:w="90" w:type="dxa"/>
              <w:end w:w="90" w:type="dxa"/>
            </w:tcMar>
            <w:vAlign w:val="top"/>
          </w:tcPr>
          <w:p>
            <w:r>
              <w:t>Published module interfaces, Payment-to-Risk API orchestration, Spring Modulith boundaries, and prohibited cross-module table access, including Ledger schema ownership and prohibited cross-module Ledger-table access.</w:t>
            </w:r>
          </w:p>
        </w:tc>
      </w:tr>
      <w:tr>
        <w:trPr>
          <w:cantSplit/>
        </w:trPr>
        <w:tc>
          <w:tcPr>
            <w:tcW w:type="dxa" w:w="2664"/>
            <w:tcMar>
              <w:top w:w="90" w:type="dxa"/>
              <w:start w:w="90" w:type="dxa"/>
              <w:bottom w:w="90" w:type="dxa"/>
              <w:end w:w="90" w:type="dxa"/>
            </w:tcMar>
            <w:vAlign w:val="top"/>
          </w:tcPr>
          <w:p>
            <w:r>
              <w:rPr>
                <w:sz w:val="17"/>
              </w:rPr>
              <w:t>Infrastructure integration tests</w:t>
            </w:r>
          </w:p>
        </w:tc>
        <w:tc>
          <w:tcPr>
            <w:tcW w:type="dxa" w:w="7128"/>
            <w:tcMar>
              <w:top w:w="90" w:type="dxa"/>
              <w:start w:w="90" w:type="dxa"/>
              <w:bottom w:w="90" w:type="dxa"/>
              <w:end w:w="90" w:type="dxa"/>
            </w:tcMar>
            <w:vAlign w:val="top"/>
          </w:tcPr>
          <w:p>
            <w:r>
              <w:t>PostgreSQL constraints, Risk profile/evaluation persistence, optimistic compare-and-set, rollback, concurrency, Kafka, Redis, Keycloak, and MinIO through release-appropriate Testcontainers tests, including Ledger account uniqueness, status/code checks, immutability, non-deletion, posting rollback, and account-to-entry relationships through PostgreSQL Testcontainers.</w:t>
            </w:r>
          </w:p>
        </w:tc>
      </w:tr>
      <w:tr>
        <w:trPr>
          <w:cantSplit/>
        </w:trPr>
        <w:tc>
          <w:tcPr>
            <w:tcW w:type="dxa" w:w="2664"/>
            <w:tcMar>
              <w:top w:w="90" w:type="dxa"/>
              <w:start w:w="90" w:type="dxa"/>
              <w:bottom w:w="90" w:type="dxa"/>
              <w:end w:w="90" w:type="dxa"/>
            </w:tcMar>
            <w:vAlign w:val="top"/>
          </w:tcPr>
          <w:p>
            <w:r>
              <w:rPr>
                <w:sz w:val="17"/>
              </w:rPr>
              <w:t>Contract tests</w:t>
            </w:r>
          </w:p>
        </w:tc>
        <w:tc>
          <w:tcPr>
            <w:tcW w:type="dxa" w:w="7128"/>
            <w:tcMar>
              <w:top w:w="90" w:type="dxa"/>
              <w:start w:w="90" w:type="dxa"/>
              <w:bottom w:w="90" w:type="dxa"/>
              <w:end w:w="90" w:type="dxa"/>
            </w:tcMar>
            <w:vAlign w:val="top"/>
          </w:tcPr>
          <w:p>
            <w:r>
              <w:rPr>
                <w:sz w:val="17"/>
              </w:rPr>
              <w:t>OpenAPI, JSON Schema, provider contracts, compatibility.</w:t>
            </w:r>
          </w:p>
        </w:tc>
      </w:tr>
      <w:tr>
        <w:trPr>
          <w:cantSplit/>
        </w:trPr>
        <w:tc>
          <w:tcPr>
            <w:tcW w:type="dxa" w:w="2664"/>
            <w:tcMar>
              <w:top w:w="90" w:type="dxa"/>
              <w:start w:w="90" w:type="dxa"/>
              <w:bottom w:w="90" w:type="dxa"/>
              <w:end w:w="90" w:type="dxa"/>
            </w:tcMar>
            <w:vAlign w:val="top"/>
          </w:tcPr>
          <w:p>
            <w:r>
              <w:rPr>
                <w:sz w:val="17"/>
              </w:rPr>
              <w:t>End-to-end tests</w:t>
            </w:r>
          </w:p>
        </w:tc>
        <w:tc>
          <w:tcPr>
            <w:tcW w:type="dxa" w:w="7128"/>
            <w:tcMar>
              <w:top w:w="90" w:type="dxa"/>
              <w:start w:w="90" w:type="dxa"/>
              <w:bottom w:w="90" w:type="dxa"/>
              <w:end w:w="90" w:type="dxa"/>
            </w:tcMar>
            <w:vAlign w:val="top"/>
          </w:tcPr>
          <w:p>
            <w:r>
              <w:rPr>
                <w:sz w:val="17"/>
              </w:rPr>
              <w:t>Complete payment, reversal, recovery, reconciliation, and tenant workflows.</w:t>
            </w:r>
          </w:p>
        </w:tc>
      </w:tr>
      <w:tr>
        <w:trPr>
          <w:cantSplit/>
        </w:trPr>
        <w:tc>
          <w:tcPr>
            <w:tcW w:type="dxa" w:w="2664"/>
            <w:tcMar>
              <w:top w:w="90" w:type="dxa"/>
              <w:start w:w="90" w:type="dxa"/>
              <w:bottom w:w="90" w:type="dxa"/>
              <w:end w:w="90" w:type="dxa"/>
            </w:tcMar>
            <w:vAlign w:val="top"/>
          </w:tcPr>
          <w:p>
            <w:r>
              <w:rPr>
                <w:sz w:val="17"/>
              </w:rPr>
              <w:t>Performance/resilience tests</w:t>
            </w:r>
          </w:p>
        </w:tc>
        <w:tc>
          <w:tcPr>
            <w:tcW w:type="dxa" w:w="7128"/>
            <w:tcMar>
              <w:top w:w="90" w:type="dxa"/>
              <w:start w:w="90" w:type="dxa"/>
              <w:bottom w:w="90" w:type="dxa"/>
              <w:end w:w="90" w:type="dxa"/>
            </w:tcMar>
            <w:vAlign w:val="top"/>
          </w:tcPr>
          <w:p>
            <w:r>
              <w:rPr>
                <w:sz w:val="17"/>
              </w:rPr>
              <w:t>Concurrency, throughput, backlog recovery, restarts, and controlled failure.</w:t>
            </w:r>
          </w:p>
        </w:tc>
      </w:tr>
    </w:tbl>
    <w:p>
      <w:pPr>
        <w:widowControl/>
      </w:pPr>
    </w:p>
    <w:p>
      <w:pPr>
        <w:pStyle w:val="Heading2"/>
        <w:keepNext/>
        <w:widowControl/>
      </w:pPr>
      <w:r>
        <w:t>13.2 Critical verification matrix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320"/>
            <w:shd w:fill="1F4E78"/>
            <w:vAlign w:val="center"/>
            <w:tcMar>
              <w:top w:w="90" w:type="dxa"/>
              <w:start w:w="90" w:type="dxa"/>
              <w:bottom w:w="90" w:type="dxa"/>
              <w:end w:w="90" w:type="dxa"/>
            </w:tcMar>
          </w:tcPr>
          <w:p>
            <w:pPr>
              <w:jc w:val="left"/>
            </w:pPr>
            <w:r>
              <w:rPr>
                <w:b/>
                <w:color w:val="FFFFFF"/>
                <w:sz w:val="17"/>
              </w:rPr>
              <w:t>Critical requirement</w:t>
            </w:r>
          </w:p>
        </w:tc>
        <w:tc>
          <w:tcPr>
            <w:tcW w:type="dxa" w:w="5472"/>
            <w:shd w:fill="1F4E78"/>
            <w:vAlign w:val="center"/>
            <w:tcMar>
              <w:top w:w="90" w:type="dxa"/>
              <w:start w:w="90" w:type="dxa"/>
              <w:bottom w:w="90" w:type="dxa"/>
              <w:end w:w="90" w:type="dxa"/>
            </w:tcMar>
          </w:tcPr>
          <w:p>
            <w:pPr>
              <w:jc w:val="left"/>
            </w:pPr>
            <w:r>
              <w:rPr>
                <w:b/>
                <w:color w:val="FFFFFF"/>
                <w:sz w:val="17"/>
              </w:rPr>
              <w:t>Verification</w:t>
            </w:r>
          </w:p>
        </w:tc>
      </w:tr>
      <w:tr>
        <w:trPr>
          <w:cantSplit/>
        </w:trPr>
        <w:tc>
          <w:tcPr>
            <w:tcW w:type="dxa" w:w="4320"/>
            <w:tcMar>
              <w:top w:w="90" w:type="dxa"/>
              <w:start w:w="90" w:type="dxa"/>
              <w:bottom w:w="90" w:type="dxa"/>
              <w:end w:w="90" w:type="dxa"/>
            </w:tcMar>
            <w:vAlign w:val="top"/>
          </w:tcPr>
          <w:p>
            <w:r>
              <w:rPr>
                <w:sz w:val="17"/>
              </w:rPr>
              <w:t>One Payment per tenant and idempotency key</w:t>
            </w:r>
          </w:p>
        </w:tc>
        <w:tc>
          <w:tcPr>
            <w:tcW w:type="dxa" w:w="5472"/>
            <w:tcMar>
              <w:top w:w="90" w:type="dxa"/>
              <w:start w:w="90" w:type="dxa"/>
              <w:bottom w:w="90" w:type="dxa"/>
              <w:end w:w="90" w:type="dxa"/>
            </w:tcMar>
            <w:vAlign w:val="top"/>
          </w:tcPr>
          <w:p>
            <w:r>
              <w:rPr>
                <w:sz w:val="17"/>
              </w:rPr>
              <w:t>PostgreSQL/Testcontainers tests verify unique (tenant_id, idempotency_key), equivalent replay, materially different content, cross-merchant conflict, coordinated concurrency, and final database state.</w:t>
            </w:r>
          </w:p>
        </w:tc>
      </w:tr>
      <w:tr>
        <w:trPr>
          <w:cantSplit/>
        </w:trPr>
        <w:tc>
          <w:tcPr>
            <w:tcW w:type="dxa" w:w="4320"/>
            <w:tcMar>
              <w:top w:w="90" w:type="dxa"/>
              <w:start w:w="90" w:type="dxa"/>
              <w:bottom w:w="90" w:type="dxa"/>
              <w:end w:w="90" w:type="dxa"/>
            </w:tcMar>
            <w:vAlign w:val="top"/>
          </w:tcPr>
          <w:p>
            <w:r>
              <w:rPr>
                <w:sz w:val="17"/>
              </w:rPr>
              <w:t>Debits equal credits</w:t>
            </w:r>
          </w:p>
        </w:tc>
        <w:tc>
          <w:tcPr>
            <w:tcW w:type="dxa" w:w="5472"/>
            <w:tcMar>
              <w:top w:w="90" w:type="dxa"/>
              <w:start w:w="90" w:type="dxa"/>
              <w:bottom w:w="90" w:type="dxa"/>
              <w:end w:w="90" w:type="dxa"/>
            </w:tcMar>
            <w:vAlign w:val="top"/>
          </w:tcPr>
          <w:p>
            <w:r>
              <w:rPr>
                <w:sz w:val="17"/>
              </w:rPr>
              <w:t>Domain property test and database integration test.</w:t>
            </w:r>
          </w:p>
        </w:tc>
      </w:tr>
      <w:tr>
        <w:trPr>
          <w:cantSplit/>
        </w:trPr>
        <w:tc>
          <w:tcPr>
            <w:tcW w:type="dxa" w:w="4320"/>
            <w:tcMar>
              <w:top w:w="90" w:type="dxa"/>
              <w:start w:w="90" w:type="dxa"/>
              <w:bottom w:w="90" w:type="dxa"/>
              <w:end w:w="90" w:type="dxa"/>
            </w:tcMar>
            <w:vAlign w:val="top"/>
          </w:tcPr>
          <w:p>
            <w:r>
              <w:rPr>
                <w:sz w:val="17"/>
              </w:rPr>
              <w:t>Payment completion requires exactly one corresponding balanced ledger transaction</w:t>
            </w:r>
          </w:p>
        </w:tc>
        <w:tc>
          <w:tcPr>
            <w:tcW w:type="dxa" w:w="5472"/>
            <w:tcMar>
              <w:top w:w="90" w:type="dxa"/>
              <w:start w:w="90" w:type="dxa"/>
              <w:bottom w:w="90" w:type="dxa"/>
              <w:end w:w="90" w:type="dxa"/>
            </w:tcMar>
            <w:vAlign w:val="top"/>
          </w:tcPr>
          <w:p>
            <w:r>
              <w:rPr>
                <w:sz w:val="17"/>
              </w:rPr>
              <w:t>Atomic workflow integration test with forced ledger failure and duplicate-provider-result replay.</w:t>
            </w:r>
          </w:p>
        </w:tc>
      </w:tr>
      <w:tr>
        <w:trPr>
          <w:cantSplit/>
        </w:trPr>
        <w:tc>
          <w:tcPr>
            <w:tcW w:type="dxa" w:w="4320"/>
            <w:tcMar>
              <w:top w:w="90" w:type="dxa"/>
              <w:start w:w="90" w:type="dxa"/>
              <w:bottom w:w="90" w:type="dxa"/>
              <w:end w:w="90" w:type="dxa"/>
            </w:tcMar>
            <w:vAlign w:val="top"/>
          </w:tcPr>
          <w:p>
            <w:r>
              <w:rPr>
                <w:sz w:val="17"/>
              </w:rPr>
              <w:t>Duplicate provider event has one financial effect</w:t>
            </w:r>
          </w:p>
        </w:tc>
        <w:tc>
          <w:tcPr>
            <w:tcW w:type="dxa" w:w="5472"/>
            <w:tcMar>
              <w:top w:w="90" w:type="dxa"/>
              <w:start w:w="90" w:type="dxa"/>
              <w:bottom w:w="90" w:type="dxa"/>
              <w:end w:w="90" w:type="dxa"/>
            </w:tcMar>
            <w:vAlign w:val="top"/>
          </w:tcPr>
          <w:p>
            <w:r>
              <w:rPr>
                <w:sz w:val="17"/>
              </w:rPr>
              <w:t>End-to-end duplicate-webhook test.</w:t>
            </w:r>
          </w:p>
        </w:tc>
      </w:tr>
      <w:tr>
        <w:trPr>
          <w:cantSplit/>
        </w:trPr>
        <w:tc>
          <w:tcPr>
            <w:tcW w:type="dxa" w:w="4320"/>
            <w:tcMar>
              <w:top w:w="90" w:type="dxa"/>
              <w:start w:w="90" w:type="dxa"/>
              <w:bottom w:w="90" w:type="dxa"/>
              <w:end w:w="90" w:type="dxa"/>
            </w:tcMar>
            <w:vAlign w:val="top"/>
          </w:tcPr>
          <w:p>
            <w:r>
              <w:rPr>
                <w:sz w:val="17"/>
              </w:rPr>
              <w:t>Outbox prevents event loss</w:t>
            </w:r>
          </w:p>
        </w:tc>
        <w:tc>
          <w:tcPr>
            <w:tcW w:type="dxa" w:w="5472"/>
            <w:tcMar>
              <w:top w:w="90" w:type="dxa"/>
              <w:start w:w="90" w:type="dxa"/>
              <w:bottom w:w="90" w:type="dxa"/>
              <w:end w:w="90" w:type="dxa"/>
            </w:tcMar>
            <w:vAlign w:val="top"/>
          </w:tcPr>
          <w:p>
            <w:r>
              <w:rPr>
                <w:sz w:val="17"/>
              </w:rPr>
              <w:t>Crash-recovery test around commit and Kafka publication.</w:t>
            </w:r>
          </w:p>
        </w:tc>
      </w:tr>
      <w:tr>
        <w:trPr>
          <w:cantSplit/>
        </w:trPr>
        <w:tc>
          <w:tcPr>
            <w:tcW w:type="dxa" w:w="4320"/>
            <w:tcMar>
              <w:top w:w="90" w:type="dxa"/>
              <w:start w:w="90" w:type="dxa"/>
              <w:bottom w:w="90" w:type="dxa"/>
              <w:end w:w="90" w:type="dxa"/>
            </w:tcMar>
            <w:vAlign w:val="top"/>
          </w:tcPr>
          <w:p>
            <w:r>
              <w:rPr>
                <w:sz w:val="17"/>
              </w:rPr>
              <w:t>Consumer duplicates are safe</w:t>
            </w:r>
          </w:p>
        </w:tc>
        <w:tc>
          <w:tcPr>
            <w:tcW w:type="dxa" w:w="5472"/>
            <w:tcMar>
              <w:top w:w="90" w:type="dxa"/>
              <w:start w:w="90" w:type="dxa"/>
              <w:bottom w:w="90" w:type="dxa"/>
              <w:end w:w="90" w:type="dxa"/>
            </w:tcMar>
            <w:vAlign w:val="top"/>
          </w:tcPr>
          <w:p>
            <w:r>
              <w:rPr>
                <w:sz w:val="17"/>
              </w:rPr>
              <w:t>Inbox-idempotency Kafka test.</w:t>
            </w:r>
          </w:p>
        </w:tc>
      </w:tr>
      <w:tr>
        <w:trPr>
          <w:cantSplit/>
        </w:trPr>
        <w:tc>
          <w:tcPr>
            <w:tcW w:type="dxa" w:w="4320"/>
            <w:tcMar>
              <w:top w:w="90" w:type="dxa"/>
              <w:start w:w="90" w:type="dxa"/>
              <w:bottom w:w="90" w:type="dxa"/>
              <w:end w:w="90" w:type="dxa"/>
            </w:tcMar>
            <w:vAlign w:val="top"/>
          </w:tcPr>
          <w:p>
            <w:r>
              <w:rPr>
                <w:sz w:val="17"/>
              </w:rPr>
              <w:t>No cross-tenant access</w:t>
            </w:r>
          </w:p>
        </w:tc>
        <w:tc>
          <w:tcPr>
            <w:tcW w:type="dxa" w:w="5472"/>
            <w:tcMar>
              <w:top w:w="90" w:type="dxa"/>
              <w:start w:w="90" w:type="dxa"/>
              <w:bottom w:w="90" w:type="dxa"/>
              <w:end w:w="90" w:type="dxa"/>
            </w:tcMar>
            <w:vAlign w:val="top"/>
          </w:tcPr>
          <w:p>
            <w:r>
              <w:rPr>
                <w:sz w:val="17"/>
              </w:rPr>
              <w:t>API, repository, authorization, and RLS tests.</w:t>
            </w:r>
          </w:p>
        </w:tc>
      </w:tr>
      <w:tr>
        <w:trPr>
          <w:cantSplit/>
        </w:trPr>
        <w:tc>
          <w:tcPr>
            <w:tcW w:type="dxa" w:w="4320"/>
            <w:tcMar>
              <w:top w:w="90" w:type="dxa"/>
              <w:start w:w="90" w:type="dxa"/>
              <w:bottom w:w="90" w:type="dxa"/>
              <w:end w:w="90" w:type="dxa"/>
            </w:tcMar>
            <w:vAlign w:val="top"/>
          </w:tcPr>
          <w:p>
            <w:r>
              <w:rPr>
                <w:sz w:val="17"/>
              </w:rPr>
              <w:t>Historical reconciliation is immutable</w:t>
            </w:r>
          </w:p>
        </w:tc>
        <w:tc>
          <w:tcPr>
            <w:tcW w:type="dxa" w:w="5472"/>
            <w:tcMar>
              <w:top w:w="90" w:type="dxa"/>
              <w:start w:w="90" w:type="dxa"/>
              <w:bottom w:w="90" w:type="dxa"/>
              <w:end w:w="90" w:type="dxa"/>
            </w:tcMar>
            <w:vAlign w:val="top"/>
          </w:tcPr>
          <w:p>
            <w:r>
              <w:rPr>
                <w:sz w:val="17"/>
              </w:rPr>
              <w:t>Module and database test across reruns.</w:t>
            </w:r>
          </w:p>
        </w:tc>
      </w:tr>
      <w:tr>
        <w:trPr>
          <w:cantSplit/>
        </w:trPr>
        <w:tc>
          <w:tcPr>
            <w:tcW w:type="dxa" w:w="4320"/>
            <w:tcMar>
              <w:top w:w="90" w:type="dxa"/>
              <w:start w:w="90" w:type="dxa"/>
              <w:bottom w:w="90" w:type="dxa"/>
              <w:end w:w="90" w:type="dxa"/>
            </w:tcMar>
            <w:vAlign w:val="top"/>
          </w:tcPr>
          <w:p>
            <w:r>
              <w:rPr>
                <w:sz w:val="17"/>
              </w:rPr>
              <w:t>Sensitive action requires authorization and confirmation</w:t>
            </w:r>
          </w:p>
        </w:tc>
        <w:tc>
          <w:tcPr>
            <w:tcW w:type="dxa" w:w="5472"/>
            <w:tcMar>
              <w:top w:w="90" w:type="dxa"/>
              <w:start w:w="90" w:type="dxa"/>
              <w:bottom w:w="90" w:type="dxa"/>
              <w:end w:w="90" w:type="dxa"/>
            </w:tcMar>
            <w:vAlign w:val="top"/>
          </w:tcPr>
          <w:p>
            <w:r>
              <w:rPr>
                <w:sz w:val="17"/>
              </w:rPr>
              <w:t>Tenant-scoped capability, explicit confirmation, reason, re-authentication where required, and immutable audit-evidence tests.</w:t>
            </w:r>
          </w:p>
        </w:tc>
      </w:tr>
      <w:tr>
        <w:trPr>
          <w:cantSplit/>
        </w:trPr>
        <w:tc>
          <w:tcPr>
            <w:tcW w:type="dxa" w:w="4320"/>
            <w:tcMar>
              <w:top w:w="90" w:type="dxa"/>
              <w:start w:w="90" w:type="dxa"/>
              <w:bottom w:w="90" w:type="dxa"/>
              <w:end w:w="90" w:type="dxa"/>
            </w:tcMar>
            <w:vAlign w:val="top"/>
          </w:tcPr>
          <w:p>
            <w:r>
              <w:rPr>
                <w:sz w:val="17"/>
              </w:rPr>
              <w:t>Schema upgrades remain valid</w:t>
            </w:r>
          </w:p>
        </w:tc>
        <w:tc>
          <w:tcPr>
            <w:tcW w:type="dxa" w:w="5472"/>
            <w:tcMar>
              <w:top w:w="90" w:type="dxa"/>
              <w:start w:w="90" w:type="dxa"/>
              <w:bottom w:w="90" w:type="dxa"/>
              <w:end w:w="90" w:type="dxa"/>
            </w:tcMar>
            <w:vAlign w:val="top"/>
          </w:tcPr>
          <w:p>
            <w:r>
              <w:rPr>
                <w:sz w:val="17"/>
              </w:rPr>
              <w:t>Flyway clean-install and previous-release upgrade pipeline.</w:t>
            </w:r>
          </w:p>
        </w:tc>
      </w:tr>
      <w:tr>
        <w:tc>
          <w:tcPr>
            <w:tcW w:type="dxa" w:w="5040"/>
          </w:tcPr>
          <w:p>
            <w:r>
              <w:t>One deterministic initial Risk Evaluation per Payment</w:t>
            </w:r>
          </w:p>
        </w:tc>
        <w:tc>
          <w:tcPr>
            <w:tcW w:type="dxa" w:w="5040"/>
          </w:tcPr>
          <w:p>
            <w:r>
              <w:t>Domain, PostgreSQL/Testcontainers, rollback, optimistic-concurrency, coordinated-concurrency, repeated-evaluation, migration, and Modulith tests verify the exact ADR-018 rule, score, decision, evidence, uniqueness, and ownership model.</w:t>
            </w:r>
          </w:p>
        </w:tc>
      </w:tr>
      <w:tr>
        <w:tc>
          <w:tcPr>
            <w:tcW w:type="dxa" w:w="5040"/>
          </w:tcPr>
          <w:p>
            <w:r>
              <w:t>Release 0.1 Ledger account model and posting eligibility</w:t>
            </w:r>
          </w:p>
        </w:tc>
        <w:tc>
          <w:tcPr>
            <w:tcW w:type="dxa" w:w="5040"/>
          </w:tcPr>
          <w:p>
            <w:r>
              <w:t>Domain and PostgreSQL/Testcontainers tests verify ACTIVE-only creation and posting; every approved code; mandatory tenant and currency; UNIQUE (tenant_id, account_code, currency); cross-tenant and multi-currency cases; immutable identity and non-deletion; missing, cross-tenant, or currency-mismatched account rejection; atomic rollback; derived history; migrations; and Modulith ownership.</w:t>
            </w:r>
          </w:p>
        </w:tc>
      </w:tr>
    </w:tbl>
    <w:p>
      <w:pPr>
        <w:widowControl/>
      </w:pPr>
    </w:p>
    <w:p>
      <w:pPr>
        <w:pStyle w:val="Heading2"/>
        <w:keepNext/>
        <w:widowControl/>
      </w:pPr>
      <w:r>
        <w:t>13.3 Required tooling</w:t>
      </w:r>
    </w:p>
    <w:p>
      <w:pPr>
        <w:pStyle w:val="ListBullet"/>
        <w:widowControl/>
        <w:spacing w:after="40"/>
      </w:pPr>
      <w:r>
        <w:t>JUnit</w:t>
      </w:r>
    </w:p>
    <w:p>
      <w:pPr>
        <w:pStyle w:val="ListBullet"/>
        <w:widowControl/>
        <w:spacing w:after="40"/>
      </w:pPr>
      <w:r>
        <w:t>Mockito</w:t>
      </w:r>
    </w:p>
    <w:p>
      <w:pPr>
        <w:pStyle w:val="ListBullet"/>
        <w:widowControl/>
        <w:spacing w:after="40"/>
      </w:pPr>
      <w:r>
        <w:t>Testcontainers</w:t>
      </w:r>
    </w:p>
    <w:p>
      <w:pPr>
        <w:pStyle w:val="ListBullet"/>
        <w:widowControl/>
        <w:spacing w:after="40"/>
      </w:pPr>
      <w:r>
        <w:t>WireMock</w:t>
      </w:r>
    </w:p>
    <w:p>
      <w:pPr>
        <w:pStyle w:val="ListBullet"/>
        <w:widowControl/>
        <w:spacing w:after="40"/>
      </w:pPr>
      <w:r>
        <w:t>jqwik</w:t>
      </w:r>
    </w:p>
    <w:p>
      <w:pPr>
        <w:pStyle w:val="ListBullet"/>
        <w:widowControl/>
        <w:spacing w:after="40"/>
      </w:pPr>
      <w:r>
        <w:t>ArchUnit</w:t>
      </w:r>
    </w:p>
    <w:p>
      <w:pPr>
        <w:pStyle w:val="ListBullet"/>
        <w:widowControl/>
        <w:spacing w:after="40"/>
      </w:pPr>
      <w:r>
        <w:t>Spring Modulith test support</w:t>
      </w:r>
    </w:p>
    <w:p>
      <w:pPr>
        <w:pStyle w:val="ListBullet"/>
        <w:widowControl/>
        <w:spacing w:after="40"/>
      </w:pPr>
      <w:r>
        <w:t>PIT for selective mutation testing</w:t>
      </w:r>
    </w:p>
    <w:p>
      <w:pPr>
        <w:pStyle w:val="ListBullet"/>
        <w:widowControl/>
        <w:spacing w:after="40"/>
      </w:pPr>
      <w:r>
        <w:t>Playwright</w:t>
      </w:r>
    </w:p>
    <w:p>
      <w:pPr>
        <w:pStyle w:val="ListBullet"/>
        <w:widowControl/>
        <w:spacing w:after="40"/>
      </w:pPr>
      <w:r>
        <w:t>k6</w:t>
      </w:r>
    </w:p>
    <w:p>
      <w:pPr>
        <w:pStyle w:val="ListBullet"/>
        <w:widowControl/>
        <w:spacing w:after="40"/>
      </w:pPr>
      <w:r>
        <w:t>OWASP ZAP baseline where feasible</w:t>
      </w:r>
    </w:p>
    <w:p>
      <w:pPr>
        <w:pStyle w:val="Heading2"/>
        <w:keepNext/>
        <w:widowControl/>
      </w:pPr>
      <w:r>
        <w:t>13.4 Release-blocking defects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Severity</w:t>
            </w:r>
          </w:p>
        </w:tc>
        <w:tc>
          <w:tcPr>
            <w:tcW w:type="dxa" w:w="7992"/>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800"/>
            <w:tcMar>
              <w:top w:w="90" w:type="dxa"/>
              <w:start w:w="90" w:type="dxa"/>
              <w:bottom w:w="90" w:type="dxa"/>
              <w:end w:w="90" w:type="dxa"/>
            </w:tcMar>
            <w:vAlign w:val="top"/>
          </w:tcPr>
          <w:p>
            <w:r>
              <w:rPr>
                <w:sz w:val="17"/>
              </w:rPr>
              <w:t>Blocker</w:t>
            </w:r>
          </w:p>
        </w:tc>
        <w:tc>
          <w:tcPr>
            <w:tcW w:type="dxa" w:w="7992"/>
            <w:tcMar>
              <w:top w:w="90" w:type="dxa"/>
              <w:start w:w="90" w:type="dxa"/>
              <w:bottom w:w="90" w:type="dxa"/>
              <w:end w:w="90" w:type="dxa"/>
            </w:tcMar>
            <w:vAlign w:val="top"/>
          </w:tcPr>
          <w:p>
            <w:r>
              <w:t>Ledger imbalance, duplicate financial posting, cross-tenant disclosure, event loss, Payment completion without exactly one corresponding balanced ledger transaction, security bypass, unrecoverable migration, silent Risk approval or rejection, partial Risk evidence, or a Risk decision without the matching Payment transition, a posting that references a missing, cross-tenant, currency-mismatched, or non-ACTIVE account, or a partially persisted posting after account validation failure.</w:t>
            </w:r>
          </w:p>
        </w:tc>
      </w:tr>
      <w:tr>
        <w:trPr>
          <w:cantSplit/>
        </w:trPr>
        <w:tc>
          <w:tcPr>
            <w:tcW w:type="dxa" w:w="1800"/>
            <w:tcMar>
              <w:top w:w="90" w:type="dxa"/>
              <w:start w:w="90" w:type="dxa"/>
              <w:bottom w:w="90" w:type="dxa"/>
              <w:end w:w="90" w:type="dxa"/>
            </w:tcMar>
            <w:vAlign w:val="top"/>
          </w:tcPr>
          <w:p>
            <w:r>
              <w:rPr>
                <w:sz w:val="17"/>
              </w:rPr>
              <w:t>Critical</w:t>
            </w:r>
          </w:p>
        </w:tc>
        <w:tc>
          <w:tcPr>
            <w:tcW w:type="dxa" w:w="7992"/>
            <w:tcMar>
              <w:top w:w="90" w:type="dxa"/>
              <w:start w:w="90" w:type="dxa"/>
              <w:bottom w:w="90" w:type="dxa"/>
              <w:end w:w="90" w:type="dxa"/>
            </w:tcMar>
            <w:vAlign w:val="top"/>
          </w:tcPr>
          <w:p>
            <w:r>
              <w:t>Wrong terminal state, missed critical discrepancy, timeout treated as failure, silent financial dead letter, or authorization/confirmation bypass, incorrect Risk threshold boundary, duplicate initial Risk Evaluation, or hidden fallback profile.</w:t>
            </w:r>
          </w:p>
        </w:tc>
      </w:tr>
      <w:tr>
        <w:trPr>
          <w:cantSplit/>
        </w:trPr>
        <w:tc>
          <w:tcPr>
            <w:tcW w:type="dxa" w:w="1800"/>
            <w:tcMar>
              <w:top w:w="90" w:type="dxa"/>
              <w:start w:w="90" w:type="dxa"/>
              <w:bottom w:w="90" w:type="dxa"/>
              <w:end w:w="90" w:type="dxa"/>
            </w:tcMar>
            <w:vAlign w:val="top"/>
          </w:tcPr>
          <w:p>
            <w:r>
              <w:rPr>
                <w:sz w:val="17"/>
              </w:rPr>
              <w:t>Major</w:t>
            </w:r>
          </w:p>
        </w:tc>
        <w:tc>
          <w:tcPr>
            <w:tcW w:type="dxa" w:w="7992"/>
            <w:tcMar>
              <w:top w:w="90" w:type="dxa"/>
              <w:start w:w="90" w:type="dxa"/>
              <w:bottom w:w="90" w:type="dxa"/>
              <w:end w:w="90" w:type="dxa"/>
            </w:tcMar>
            <w:vAlign w:val="top"/>
          </w:tcPr>
          <w:p>
            <w:r>
              <w:rPr>
                <w:sz w:val="17"/>
              </w:rPr>
              <w:t>Material operational workflow failure or major performance miss.</w:t>
            </w:r>
          </w:p>
        </w:tc>
      </w:tr>
      <w:tr>
        <w:trPr>
          <w:cantSplit/>
        </w:trPr>
        <w:tc>
          <w:tcPr>
            <w:tcW w:type="dxa" w:w="1800"/>
            <w:tcMar>
              <w:top w:w="90" w:type="dxa"/>
              <w:start w:w="90" w:type="dxa"/>
              <w:bottom w:w="90" w:type="dxa"/>
              <w:end w:w="90" w:type="dxa"/>
            </w:tcMar>
            <w:vAlign w:val="top"/>
          </w:tcPr>
          <w:p>
            <w:r>
              <w:rPr>
                <w:sz w:val="17"/>
              </w:rPr>
              <w:t>Minor</w:t>
            </w:r>
          </w:p>
        </w:tc>
        <w:tc>
          <w:tcPr>
            <w:tcW w:type="dxa" w:w="7992"/>
            <w:tcMar>
              <w:top w:w="90" w:type="dxa"/>
              <w:start w:w="90" w:type="dxa"/>
              <w:bottom w:w="90" w:type="dxa"/>
              <w:end w:w="90" w:type="dxa"/>
            </w:tcMar>
            <w:vAlign w:val="top"/>
          </w:tcPr>
          <w:p>
            <w:r>
              <w:rPr>
                <w:sz w:val="17"/>
              </w:rPr>
              <w:t>Cosmetic or non-blocking usability/documentation issue.</w:t>
            </w:r>
          </w:p>
        </w:tc>
      </w:tr>
    </w:tbl>
    <w:p>
      <w:pPr>
        <w:widowControl/>
      </w:pPr>
    </w:p>
    <w:p>
      <w:pPr>
        <w:widowControl/>
        <w:spacing w:after="120"/>
      </w:pPr>
      <w:r>
        <w:t>No blocker or critical defect may remain open at the 1.0 portfolio release.</w:t>
      </w:r>
    </w:p>
    <w:p>
      <w:pPr>
        <w:pStyle w:val="Heading1"/>
        <w:keepNext/>
        <w:widowControl/>
      </w:pPr>
      <w:r>
        <w:t>14. Delivery roadmap and scope control</w:t>
      </w:r>
    </w:p>
    <w:p>
      <w:pPr>
        <w:pStyle w:val="Heading2"/>
        <w:keepNext/>
        <w:widowControl/>
      </w:pPr>
      <w:r>
        <w:t>14.1 Release 0.1 - Transactional Core</w:t>
      </w:r>
    </w:p>
    <w:p>
      <w:pPr>
        <w:pStyle w:val="ListBullet"/>
        <w:widowControl/>
        <w:spacing w:after="40"/>
      </w:pPr>
      <w:r>
        <w:t>Spring Boot modular structure, PostgreSQL, Flyway, tenant/merchant/customer basics.</w:t>
      </w:r>
    </w:p>
    <w:p>
      <w:pPr>
        <w:pStyle w:val="ListBullet"/>
        <w:widowControl/>
        <w:spacing w:after="40"/>
      </w:pPr>
      <w:r>
        <w:t>Payment creation, idempotency, state machine, and the ADR-018 deterministic synchronous Risk model. Manual-review and Risk configuration workflows remain outside Release 0.1.</w:t>
      </w:r>
    </w:p>
    <w:p>
      <w:pPr>
        <w:pStyle w:val="ListBullet"/>
        <w:widowControl/>
        <w:spacing w:after="40"/>
      </w:pPr>
      <w:r>
        <w:t>Strict double-entry ledger, the ADR-019 tenant-scoped ACTIVE-only Ledger account model, queryable immutable account history, and atomic payment completion. Account-management workflows remain outside Release 0.1.</w:t>
      </w:r>
    </w:p>
    <w:p>
      <w:pPr>
        <w:pStyle w:val="ListBullet"/>
        <w:widowControl/>
        <w:spacing w:after="40"/>
      </w:pPr>
      <w:r>
        <w:t>OpenAPI, structured logs, Testcontainers, domain and integration tests.</w:t>
      </w:r>
    </w:p>
    <w:p>
      <w:pPr>
        <w:pStyle w:val="ListBullet"/>
        <w:widowControl/>
        <w:spacing w:after="40"/>
      </w:pPr>
      <w:r>
        <w:t>Exit: equivalent requests under one tenant and idempotency key create one Payment and return its original logical result; conflicting content, including a different merchant, returns an explicit idempotency conflict; every completed Payment has exactly one corresponding balanced immutable ledger posting.</w:t>
      </w:r>
    </w:p>
    <w:p>
      <w:pPr>
        <w:pStyle w:val="Heading2"/>
        <w:keepNext/>
        <w:widowControl/>
      </w:pPr>
      <w:r>
        <w:t>14.2 Release 0.2 - Distributed Processing</w:t>
      </w:r>
    </w:p>
    <w:p>
      <w:pPr>
        <w:pStyle w:val="ListBullet"/>
        <w:widowControl/>
        <w:spacing w:after="40"/>
      </w:pPr>
      <w:r>
        <w:t>Kafka, transactional outbox, consumer inbox, separate Provider Simulator.</w:t>
      </w:r>
    </w:p>
    <w:p>
      <w:pPr>
        <w:pStyle w:val="ListBullet"/>
        <w:widowControl/>
        <w:spacing w:after="40"/>
      </w:pPr>
      <w:r>
        <w:t>Signed webhooks, timeouts, retries, circuit breaker, bulkhead, ambiguity recovery, dead letters.</w:t>
      </w:r>
    </w:p>
    <w:p>
      <w:pPr>
        <w:pStyle w:val="ListBullet"/>
        <w:widowControl/>
        <w:spacing w:after="40"/>
      </w:pPr>
      <w:r>
        <w:t>OpenTelemetry traces, Prometheus metrics, initial Grafana dashboards.</w:t>
      </w:r>
    </w:p>
    <w:p>
      <w:pPr>
        <w:pStyle w:val="ListBullet"/>
        <w:widowControl/>
        <w:spacing w:after="40"/>
      </w:pPr>
      <w:r>
        <w:t>Exit: outages do not lose committed events; duplicate provider results create one financial effect; ambiguous outcomes recover safely.</w:t>
      </w:r>
    </w:p>
    <w:p>
      <w:pPr>
        <w:pStyle w:val="Heading2"/>
        <w:keepNext/>
        <w:widowControl/>
      </w:pPr>
      <w:r>
        <w:t>14.3 Release 0.3 - Financial Operations</w:t>
      </w:r>
    </w:p>
    <w:p>
      <w:pPr>
        <w:pStyle w:val="ListBullet"/>
        <w:widowControl/>
        <w:spacing w:after="40"/>
      </w:pPr>
      <w:r>
        <w:t>Keycloak, identity, tenant membership, permissions, merchant scope, authorization, tenant-isolation enforcement, and audited support mode.</w:t>
      </w:r>
    </w:p>
    <w:p>
      <w:pPr>
        <w:pStyle w:val="ListBullet"/>
        <w:widowControl/>
        <w:spacing w:after="40"/>
      </w:pPr>
      <w:r>
        <w:t>Full-payment Reversal workflow, immutable retry attempts, explicit tenant-scoped authorization, confirmation, reasons, and audit evidence.</w:t>
      </w:r>
    </w:p>
    <w:p>
      <w:pPr>
        <w:pStyle w:val="ListBullet"/>
        <w:widowControl/>
        <w:spacing w:after="40"/>
      </w:pPr>
      <w:r>
        <w:t>Settlement generation/ingestion, Spring Batch, reconciliation, discrepancies, cases, corrections.</w:t>
      </w:r>
    </w:p>
    <w:p>
      <w:pPr>
        <w:pStyle w:val="ListBullet"/>
        <w:widowControl/>
        <w:spacing w:after="40"/>
      </w:pPr>
      <w:r>
        <w:t>Operations Web with English and Arabic support.</w:t>
      </w:r>
    </w:p>
    <w:p>
      <w:pPr>
        <w:pStyle w:val="ListBullet"/>
        <w:widowControl/>
        <w:spacing w:after="40"/>
      </w:pPr>
      <w:r>
        <w:t>Exit: tenant isolation, one Reversal per Payment, immutable retry attempts, full-only atomic Reversal completion, immutable reconciliation, sensitive-action confirmation, and correction tests pass. Formal approval chains remain deferred.</w:t>
      </w:r>
    </w:p>
    <w:p>
      <w:pPr>
        <w:pStyle w:val="Heading2"/>
        <w:keepNext/>
        <w:widowControl/>
      </w:pPr>
      <w:r>
        <w:t>14.4 Release 1.0 - Portfolio Release</w:t>
      </w:r>
    </w:p>
    <w:p>
      <w:pPr>
        <w:pStyle w:val="ListBullet"/>
        <w:widowControl/>
        <w:spacing w:after="40"/>
      </w:pPr>
      <w:r>
        <w:t>Public AWS demo, Docker Compose, Terraform, Kubernetes, Helm, Argo CD.</w:t>
      </w:r>
    </w:p>
    <w:p>
      <w:pPr>
        <w:pStyle w:val="ListBullet"/>
        <w:widowControl/>
        <w:spacing w:after="40"/>
      </w:pPr>
      <w:r>
        <w:t>Complete security hardening and release evidence, including deployment controls, scanning, secrets, operational verification, and documentation. Complete observability, alerts, runbooks, backup/restore, performance, and resilience reports.</w:t>
      </w:r>
    </w:p>
    <w:p>
      <w:pPr>
        <w:pStyle w:val="ListBullet"/>
        <w:widowControl/>
        <w:spacing w:after="40"/>
      </w:pPr>
      <w:r>
        <w:t>Full documentation, architecture diagrams, demo data, recorded demonstration.</w:t>
      </w:r>
    </w:p>
    <w:p>
      <w:pPr>
        <w:pStyle w:val="ListBullet"/>
        <w:widowControl/>
        <w:spacing w:after="40"/>
      </w:pPr>
      <w:r>
        <w:t>Exit: all acceptance criteria in Section 17 pass and another engineer can start, test, inspect, and understand the system.</w:t>
      </w:r>
    </w:p>
    <w:p>
      <w:pPr>
        <w:pStyle w:val="Heading2"/>
        <w:keepNext/>
        <w:widowControl/>
      </w:pPr>
      <w:r>
        <w:t>14.5 Post-1.0 applied AI</w:t>
      </w:r>
    </w:p>
    <w:p>
      <w:pPr>
        <w:widowControl/>
        <w:spacing w:after="120"/>
      </w:pPr>
      <w:r>
        <w:t>An advisory operations assistant may retrieve runbooks, summarize evidence, explain timelines, compare incidents, and draft case notes in Arabic and English with citations. It may not approve, reject, reverse, post ledger entries, resolve discrepancies, replay financial messages, change rules, or access another tenant. AI is excluded from the critical financial path.</w:t>
      </w:r>
    </w:p>
    <w:p>
      <w:pPr>
        <w:pStyle w:val="Heading2"/>
        <w:keepNext/>
        <w:widowControl/>
      </w:pPr>
      <w:r>
        <w:t>14.6 Deliberate exclusions</w:t>
      </w:r>
    </w:p>
    <w:p>
      <w:pPr>
        <w:pStyle w:val="ListBullet"/>
        <w:widowControl/>
        <w:spacing w:after="40"/>
      </w:pPr>
      <w:r>
        <w:t>Real money or real provider integrations.</w:t>
      </w:r>
    </w:p>
    <w:p>
      <w:pPr>
        <w:pStyle w:val="ListBullet"/>
        <w:widowControl/>
        <w:spacing w:after="40"/>
      </w:pPr>
      <w:r>
        <w:t>Real card data or sensitive payment credentials.</w:t>
      </w:r>
    </w:p>
    <w:p>
      <w:pPr>
        <w:pStyle w:val="ListBullet"/>
        <w:widowControl/>
        <w:spacing w:after="40"/>
      </w:pPr>
      <w:r>
        <w:t>PCI DSS, SAMA, banking, or formal regulatory certification claims.</w:t>
      </w:r>
    </w:p>
    <w:p>
      <w:pPr>
        <w:pStyle w:val="ListBullet"/>
        <w:widowControl/>
        <w:spacing w:after="40"/>
      </w:pPr>
      <w:r>
        <w:t>Complete corporate accounting, tax, invoicing, payroll, or financial statements.</w:t>
      </w:r>
    </w:p>
    <w:p>
      <w:pPr>
        <w:pStyle w:val="ListBullet"/>
        <w:widowControl/>
        <w:spacing w:after="40"/>
      </w:pPr>
      <w:r>
        <w:t>Production-grade machine-learning fraud platform.</w:t>
      </w:r>
    </w:p>
    <w:p>
      <w:pPr>
        <w:pStyle w:val="ListBullet"/>
        <w:widowControl/>
        <w:spacing w:after="40"/>
      </w:pPr>
      <w:r>
        <w:t>General-purpose workflow engine.</w:t>
      </w:r>
    </w:p>
    <w:p>
      <w:pPr>
        <w:pStyle w:val="ListBullet"/>
        <w:widowControl/>
        <w:spacing w:after="40"/>
      </w:pPr>
      <w:r>
        <w:t>Active-active multi-region architecture or extreme-scale claims.</w:t>
      </w:r>
    </w:p>
    <w:p>
      <w:pPr>
        <w:pStyle w:val="ListBullet"/>
        <w:widowControl/>
        <w:spacing w:after="40"/>
      </w:pPr>
      <w:r>
        <w:t>Multi-cloud implementation.</w:t>
      </w:r>
    </w:p>
    <w:p>
      <w:pPr>
        <w:pStyle w:val="Heading1"/>
        <w:keepNext/>
        <w:widowControl/>
      </w:pPr>
      <w:r>
        <w:t>15. Risks and mitigations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6"/>
              </w:rPr>
              <w:t>Risk</w:t>
            </w:r>
          </w:p>
        </w:tc>
        <w:tc>
          <w:tcPr>
            <w:tcW w:type="dxa" w:w="1440"/>
            <w:shd w:fill="1F4E78"/>
            <w:vAlign w:val="center"/>
            <w:tcMar>
              <w:top w:w="90" w:type="dxa"/>
              <w:start w:w="90" w:type="dxa"/>
              <w:bottom w:w="90" w:type="dxa"/>
              <w:end w:w="90" w:type="dxa"/>
            </w:tcMar>
          </w:tcPr>
          <w:p>
            <w:pPr>
              <w:jc w:val="left"/>
            </w:pPr>
            <w:r>
              <w:rPr>
                <w:b/>
                <w:color w:val="FFFFFF"/>
                <w:sz w:val="16"/>
              </w:rPr>
              <w:t>Probability</w:t>
            </w:r>
          </w:p>
        </w:tc>
        <w:tc>
          <w:tcPr>
            <w:tcW w:type="dxa" w:w="1440"/>
            <w:shd w:fill="1F4E78"/>
            <w:vAlign w:val="center"/>
            <w:tcMar>
              <w:top w:w="90" w:type="dxa"/>
              <w:start w:w="90" w:type="dxa"/>
              <w:bottom w:w="90" w:type="dxa"/>
              <w:end w:w="90" w:type="dxa"/>
            </w:tcMar>
          </w:tcPr>
          <w:p>
            <w:pPr>
              <w:jc w:val="left"/>
            </w:pPr>
            <w:r>
              <w:rPr>
                <w:b/>
                <w:color w:val="FFFFFF"/>
                <w:sz w:val="16"/>
              </w:rPr>
              <w:t>Impact</w:t>
            </w:r>
          </w:p>
        </w:tc>
        <w:tc>
          <w:tcPr>
            <w:tcW w:type="dxa" w:w="4464"/>
            <w:shd w:fill="1F4E78"/>
            <w:vAlign w:val="center"/>
            <w:tcMar>
              <w:top w:w="90" w:type="dxa"/>
              <w:start w:w="90" w:type="dxa"/>
              <w:bottom w:w="90" w:type="dxa"/>
              <w:end w:w="90" w:type="dxa"/>
            </w:tcMar>
          </w:tcPr>
          <w:p>
            <w:pPr>
              <w:jc w:val="left"/>
            </w:pPr>
            <w:r>
              <w:rPr>
                <w:b/>
                <w:color w:val="FFFFFF"/>
                <w:sz w:val="16"/>
              </w:rPr>
              <w:t>Mitigation</w:t>
            </w:r>
          </w:p>
        </w:tc>
      </w:tr>
      <w:tr>
        <w:trPr>
          <w:cantSplit/>
        </w:trPr>
        <w:tc>
          <w:tcPr>
            <w:tcW w:type="dxa" w:w="2448"/>
            <w:tcMar>
              <w:top w:w="90" w:type="dxa"/>
              <w:start w:w="90" w:type="dxa"/>
              <w:bottom w:w="90" w:type="dxa"/>
              <w:end w:w="90" w:type="dxa"/>
            </w:tcMar>
            <w:vAlign w:val="top"/>
          </w:tcPr>
          <w:p>
            <w:r>
              <w:rPr>
                <w:sz w:val="16"/>
              </w:rPr>
              <w:t>Excessive scope</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Strict release gates, vertical slices, optional backlog after 1.0.</w:t>
            </w:r>
          </w:p>
        </w:tc>
      </w:tr>
      <w:tr>
        <w:trPr>
          <w:cantSplit/>
        </w:trPr>
        <w:tc>
          <w:tcPr>
            <w:tcW w:type="dxa" w:w="2448"/>
            <w:tcMar>
              <w:top w:w="90" w:type="dxa"/>
              <w:start w:w="90" w:type="dxa"/>
              <w:bottom w:w="90" w:type="dxa"/>
              <w:end w:w="90" w:type="dxa"/>
            </w:tcMar>
            <w:vAlign w:val="top"/>
          </w:tcPr>
          <w:p>
            <w:r>
              <w:rPr>
                <w:sz w:val="16"/>
              </w:rPr>
              <w:t>Superficial use of many tools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Every major technology must have a failure scenario, metric, test, and documented rationale.</w:t>
            </w:r>
          </w:p>
        </w:tc>
      </w:tr>
      <w:tr>
        <w:trPr>
          <w:cantSplit/>
        </w:trPr>
        <w:tc>
          <w:tcPr>
            <w:tcW w:type="dxa" w:w="2448"/>
            <w:tcMar>
              <w:top w:w="90" w:type="dxa"/>
              <w:start w:w="90" w:type="dxa"/>
              <w:bottom w:w="90" w:type="dxa"/>
              <w:end w:w="90" w:type="dxa"/>
            </w:tcMar>
            <w:vAlign w:val="top"/>
          </w:tcPr>
          <w:p>
            <w:r>
              <w:rPr>
                <w:sz w:val="16"/>
              </w:rPr>
              <w:t>Fake microservices</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Modular monolith first; provider separate; reconciliation extraction only after stable ownership.</w:t>
            </w:r>
          </w:p>
        </w:tc>
      </w:tr>
      <w:tr>
        <w:trPr>
          <w:cantSplit/>
        </w:trPr>
        <w:tc>
          <w:tcPr>
            <w:tcW w:type="dxa" w:w="2448"/>
            <w:tcMar>
              <w:top w:w="90" w:type="dxa"/>
              <w:start w:w="90" w:type="dxa"/>
              <w:bottom w:w="90" w:type="dxa"/>
              <w:end w:w="90" w:type="dxa"/>
            </w:tcMar>
            <w:vAlign w:val="top"/>
          </w:tcPr>
          <w:p>
            <w:r>
              <w:rPr>
                <w:sz w:val="16"/>
              </w:rPr>
              <w:t>Incorrect financial model</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Limited accounting scope, immutable postings, BigDecimal, balancing constraints, property tests.</w:t>
            </w:r>
          </w:p>
        </w:tc>
      </w:tr>
      <w:tr>
        <w:trPr>
          <w:cantSplit/>
        </w:trPr>
        <w:tc>
          <w:tcPr>
            <w:tcW w:type="dxa" w:w="2448"/>
            <w:tcMar>
              <w:top w:w="90" w:type="dxa"/>
              <w:start w:w="90" w:type="dxa"/>
              <w:bottom w:w="90" w:type="dxa"/>
              <w:end w:w="90" w:type="dxa"/>
            </w:tcMar>
            <w:vAlign w:val="top"/>
          </w:tcPr>
          <w:p>
            <w:r>
              <w:rPr>
                <w:sz w:val="16"/>
              </w:rPr>
              <w:t>Event duplication or loss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Outbox, inbox, unique message IDs, at-least-once model, crash-recovery tests.</w:t>
            </w:r>
          </w:p>
        </w:tc>
      </w:tr>
      <w:tr>
        <w:trPr>
          <w:cantSplit/>
        </w:trPr>
        <w:tc>
          <w:tcPr>
            <w:tcW w:type="dxa" w:w="2448"/>
            <w:tcMar>
              <w:top w:w="90" w:type="dxa"/>
              <w:start w:w="90" w:type="dxa"/>
              <w:bottom w:w="90" w:type="dxa"/>
              <w:end w:w="90" w:type="dxa"/>
            </w:tcMar>
            <w:vAlign w:val="top"/>
          </w:tcPr>
          <w:p>
            <w:r>
              <w:rPr>
                <w:sz w:val="16"/>
              </w:rPr>
              <w:t>Tenant data leakage</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Mandatory tenant IDs, scoped repositories, application authorization, RLS tests, audited support.</w:t>
            </w:r>
          </w:p>
        </w:tc>
      </w:tr>
      <w:tr>
        <w:trPr>
          <w:cantSplit/>
        </w:trPr>
        <w:tc>
          <w:tcPr>
            <w:tcW w:type="dxa" w:w="2448"/>
            <w:tcMar>
              <w:top w:w="90" w:type="dxa"/>
              <w:start w:w="90" w:type="dxa"/>
              <w:bottom w:w="90" w:type="dxa"/>
              <w:end w:w="90" w:type="dxa"/>
            </w:tcMar>
            <w:vAlign w:val="top"/>
          </w:tcPr>
          <w:p>
            <w:r>
              <w:rPr>
                <w:sz w:val="16"/>
              </w:rPr>
              <w:t>Infrastructure cost</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Medium</w:t>
            </w:r>
          </w:p>
        </w:tc>
        <w:tc>
          <w:tcPr>
            <w:tcW w:type="dxa" w:w="4464"/>
            <w:tcMar>
              <w:top w:w="90" w:type="dxa"/>
              <w:start w:w="90" w:type="dxa"/>
              <w:bottom w:w="90" w:type="dxa"/>
              <w:end w:w="90" w:type="dxa"/>
            </w:tcMar>
            <w:vAlign w:val="top"/>
          </w:tcPr>
          <w:p>
            <w:r>
              <w:rPr>
                <w:sz w:val="16"/>
              </w:rPr>
              <w:t>ECS demo, temporary Kubernetes, no permanent MSK, bounded telemetry, budgets.</w:t>
            </w:r>
          </w:p>
        </w:tc>
      </w:tr>
      <w:tr>
        <w:trPr>
          <w:cantSplit/>
        </w:trPr>
        <w:tc>
          <w:tcPr>
            <w:tcW w:type="dxa" w:w="2448"/>
            <w:tcMar>
              <w:top w:w="90" w:type="dxa"/>
              <w:start w:w="90" w:type="dxa"/>
              <w:bottom w:w="90" w:type="dxa"/>
              <w:end w:w="90" w:type="dxa"/>
            </w:tcMar>
            <w:vAlign w:val="top"/>
          </w:tcPr>
          <w:p>
            <w:r>
              <w:rPr>
                <w:sz w:val="16"/>
              </w:rPr>
              <w:t>Unreliable public demo</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Simpler topology, preloaded data, reset flows, recorded fallback demo.</w:t>
            </w:r>
          </w:p>
        </w:tc>
      </w:tr>
      <w:tr>
        <w:trPr>
          <w:cantSplit/>
        </w:trPr>
        <w:tc>
          <w:tcPr>
            <w:tcW w:type="dxa" w:w="2448"/>
            <w:tcMar>
              <w:top w:w="90" w:type="dxa"/>
              <w:start w:w="90" w:type="dxa"/>
              <w:bottom w:w="90" w:type="dxa"/>
              <w:end w:w="90" w:type="dxa"/>
            </w:tcMar>
            <w:vAlign w:val="top"/>
          </w:tcPr>
          <w:p>
            <w:r>
              <w:rPr>
                <w:sz w:val="16"/>
              </w:rPr>
              <w:t>Weak documentation</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Documentation and ADRs are feature-completion requirements.</w:t>
            </w:r>
          </w:p>
        </w:tc>
      </w:tr>
      <w:tr>
        <w:trPr>
          <w:cantSplit/>
        </w:trPr>
        <w:tc>
          <w:tcPr>
            <w:tcW w:type="dxa" w:w="2448"/>
            <w:tcMar>
              <w:top w:w="90" w:type="dxa"/>
              <w:start w:w="90" w:type="dxa"/>
              <w:bottom w:w="90" w:type="dxa"/>
              <w:end w:w="90" w:type="dxa"/>
            </w:tcMar>
            <w:vAlign w:val="top"/>
          </w:tcPr>
          <w:p>
            <w:r>
              <w:rPr>
                <w:sz w:val="16"/>
              </w:rPr>
              <w:t>Delayed publication</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Publish 0.1, 0.2, 0.3 progress and reserve polish for 1.0.</w:t>
            </w:r>
          </w:p>
        </w:tc>
      </w:tr>
    </w:tbl>
    <w:p>
      <w:pPr>
        <w:widowControl/>
      </w:pPr>
    </w:p>
    <w:p>
      <w:pPr>
        <w:pStyle w:val="Heading1"/>
        <w:keepNext/>
        <w:widowControl/>
      </w:pPr>
      <w:r>
        <w:t>16. Architecture decision register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ID</w:t>
            </w:r>
          </w:p>
        </w:tc>
        <w:tc>
          <w:tcPr>
            <w:tcW w:type="dxa" w:w="7056"/>
            <w:shd w:fill="1F4E78"/>
            <w:vAlign w:val="center"/>
            <w:tcMar>
              <w:top w:w="90" w:type="dxa"/>
              <w:start w:w="90" w:type="dxa"/>
              <w:bottom w:w="90" w:type="dxa"/>
              <w:end w:w="90" w:type="dxa"/>
            </w:tcMar>
          </w:tcPr>
          <w:p>
            <w:pPr>
              <w:jc w:val="left"/>
            </w:pPr>
            <w:r>
              <w:rPr>
                <w:b/>
                <w:color w:val="FFFFFF"/>
                <w:sz w:val="17"/>
              </w:rPr>
              <w:t>Decision</w:t>
            </w:r>
          </w:p>
        </w:tc>
        <w:tc>
          <w:tcPr>
            <w:tcW w:type="dxa" w:w="1152"/>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1584"/>
            <w:tcMar>
              <w:top w:w="90" w:type="dxa"/>
              <w:start w:w="90" w:type="dxa"/>
              <w:bottom w:w="90" w:type="dxa"/>
              <w:end w:w="90" w:type="dxa"/>
            </w:tcMar>
            <w:vAlign w:val="top"/>
          </w:tcPr>
          <w:p>
            <w:r>
              <w:rPr>
                <w:sz w:val="17"/>
              </w:rPr>
              <w:t>ADR-001</w:t>
            </w:r>
          </w:p>
        </w:tc>
        <w:tc>
          <w:tcPr>
            <w:tcW w:type="dxa" w:w="7056"/>
            <w:tcMar>
              <w:top w:w="90" w:type="dxa"/>
              <w:start w:w="90" w:type="dxa"/>
              <w:bottom w:w="90" w:type="dxa"/>
              <w:end w:w="90" w:type="dxa"/>
            </w:tcMar>
            <w:vAlign w:val="top"/>
          </w:tcPr>
          <w:p>
            <w:r>
              <w:rPr>
                <w:sz w:val="17"/>
              </w:rPr>
              <w:t>Modular monolith before service extraction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ADR-002</w:t>
            </w:r>
          </w:p>
        </w:tc>
        <w:tc>
          <w:tcPr>
            <w:tcW w:type="dxa" w:w="7056"/>
            <w:tcMar>
              <w:top w:w="90" w:type="dxa"/>
              <w:start w:w="90" w:type="dxa"/>
              <w:bottom w:w="90" w:type="dxa"/>
              <w:end w:w="90" w:type="dxa"/>
            </w:tcMar>
            <w:vAlign w:val="top"/>
          </w:tcPr>
          <w:p>
            <w:r>
              <w:rPr>
                <w:sz w:val="17"/>
              </w:rPr>
              <w:t>PostgreSQL as transactional source of truth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ADR-003</w:t>
            </w:r>
          </w:p>
        </w:tc>
        <w:tc>
          <w:tcPr>
            <w:tcW w:type="dxa" w:w="7056"/>
            <w:tcMar>
              <w:top w:w="90" w:type="dxa"/>
              <w:start w:w="90" w:type="dxa"/>
              <w:bottom w:w="90" w:type="dxa"/>
              <w:end w:w="90" w:type="dxa"/>
            </w:tcMar>
            <w:vAlign w:val="top"/>
          </w:tcPr>
          <w:p>
            <w:r>
              <w:rPr>
                <w:sz w:val="17"/>
              </w:rPr>
              <w:t>Strict double-entry ledger</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ADR-004</w:t>
            </w:r>
          </w:p>
        </w:tc>
        <w:tc>
          <w:tcPr>
            <w:tcW w:type="dxa" w:w="7056"/>
            <w:tcMar>
              <w:top w:w="90" w:type="dxa"/>
              <w:start w:w="90" w:type="dxa"/>
              <w:bottom w:w="90" w:type="dxa"/>
              <w:end w:w="90" w:type="dxa"/>
            </w:tcMar>
            <w:vAlign w:val="top"/>
          </w:tcPr>
          <w:p>
            <w:r>
              <w:rPr>
                <w:sz w:val="17"/>
              </w:rPr>
              <w:t>Transactional outbox</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ADR-005</w:t>
            </w:r>
          </w:p>
        </w:tc>
        <w:tc>
          <w:tcPr>
            <w:tcW w:type="dxa" w:w="7056"/>
            <w:tcMar>
              <w:top w:w="90" w:type="dxa"/>
              <w:start w:w="90" w:type="dxa"/>
              <w:bottom w:w="90" w:type="dxa"/>
              <w:end w:w="90" w:type="dxa"/>
            </w:tcMar>
            <w:vAlign w:val="top"/>
          </w:tcPr>
          <w:p>
            <w:r>
              <w:rPr>
                <w:sz w:val="17"/>
              </w:rPr>
              <w:t>At-least-once messaging with idempotent consumers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ADR-006</w:t>
            </w:r>
          </w:p>
        </w:tc>
        <w:tc>
          <w:tcPr>
            <w:tcW w:type="dxa" w:w="7056"/>
            <w:tcMar>
              <w:top w:w="90" w:type="dxa"/>
              <w:start w:w="90" w:type="dxa"/>
              <w:bottom w:w="90" w:type="dxa"/>
              <w:end w:w="90" w:type="dxa"/>
            </w:tcMar>
            <w:vAlign w:val="top"/>
          </w:tcPr>
          <w:p>
            <w:r>
              <w:rPr>
                <w:sz w:val="17"/>
              </w:rPr>
              <w:t>Business-capability Kafka topics and aggregate partition keys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ADR-007</w:t>
            </w:r>
          </w:p>
        </w:tc>
        <w:tc>
          <w:tcPr>
            <w:tcW w:type="dxa" w:w="7056"/>
            <w:tcMar>
              <w:top w:w="90" w:type="dxa"/>
              <w:start w:w="90" w:type="dxa"/>
              <w:bottom w:w="90" w:type="dxa"/>
              <w:end w:w="90" w:type="dxa"/>
            </w:tcMar>
            <w:vAlign w:val="top"/>
          </w:tcPr>
          <w:p>
            <w:r>
              <w:rPr>
                <w:sz w:val="17"/>
              </w:rPr>
              <w:t>Keycloak for authentication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ADR-008</w:t>
            </w:r>
          </w:p>
        </w:tc>
        <w:tc>
          <w:tcPr>
            <w:tcW w:type="dxa" w:w="7056"/>
            <w:tcMar>
              <w:top w:w="90" w:type="dxa"/>
              <w:start w:w="90" w:type="dxa"/>
              <w:bottom w:w="90" w:type="dxa"/>
              <w:end w:w="90" w:type="dxa"/>
            </w:tcMar>
            <w:vAlign w:val="top"/>
          </w:tcPr>
          <w:p>
            <w:r>
              <w:rPr>
                <w:sz w:val="17"/>
              </w:rPr>
              <w:t>Shared-database multi-tenancy with optional RLS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ADR-009</w:t>
            </w:r>
          </w:p>
        </w:tc>
        <w:tc>
          <w:tcPr>
            <w:tcW w:type="dxa" w:w="7056"/>
            <w:tcMar>
              <w:top w:w="90" w:type="dxa"/>
              <w:start w:w="90" w:type="dxa"/>
              <w:bottom w:w="90" w:type="dxa"/>
              <w:end w:w="90" w:type="dxa"/>
            </w:tcMar>
            <w:vAlign w:val="top"/>
          </w:tcPr>
          <w:p>
            <w:r>
              <w:rPr>
                <w:sz w:val="17"/>
              </w:rPr>
              <w:t>Provider Simulator as a separate application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ADR-010</w:t>
            </w:r>
          </w:p>
        </w:tc>
        <w:tc>
          <w:tcPr>
            <w:tcW w:type="dxa" w:w="7056"/>
            <w:tcMar>
              <w:top w:w="90" w:type="dxa"/>
              <w:start w:w="90" w:type="dxa"/>
              <w:bottom w:w="90" w:type="dxa"/>
              <w:end w:w="90" w:type="dxa"/>
            </w:tcMar>
            <w:vAlign w:val="top"/>
          </w:tcPr>
          <w:p>
            <w:r>
              <w:rPr>
                <w:sz w:val="17"/>
              </w:rPr>
              <w:t>Reconciliation extraction after stabilization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ADR-011</w:t>
            </w:r>
          </w:p>
        </w:tc>
        <w:tc>
          <w:tcPr>
            <w:tcW w:type="dxa" w:w="7056"/>
            <w:tcMar>
              <w:top w:w="90" w:type="dxa"/>
              <w:start w:w="90" w:type="dxa"/>
              <w:bottom w:w="90" w:type="dxa"/>
              <w:end w:w="90" w:type="dxa"/>
            </w:tcMar>
            <w:vAlign w:val="top"/>
          </w:tcPr>
          <w:p>
            <w:r>
              <w:rPr>
                <w:sz w:val="17"/>
              </w:rPr>
              <w:t>ECS for permanent demo deployment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ADR-012</w:t>
            </w:r>
          </w:p>
        </w:tc>
        <w:tc>
          <w:tcPr>
            <w:tcW w:type="dxa" w:w="7056"/>
            <w:tcMar>
              <w:top w:w="90" w:type="dxa"/>
              <w:start w:w="90" w:type="dxa"/>
              <w:bottom w:w="90" w:type="dxa"/>
              <w:end w:w="90" w:type="dxa"/>
            </w:tcMar>
            <w:vAlign w:val="top"/>
          </w:tcPr>
          <w:p>
            <w:r>
              <w:rPr>
                <w:sz w:val="17"/>
              </w:rPr>
              <w:t>Kubernetes as reproducible demonstration environment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ADR-013</w:t>
            </w:r>
          </w:p>
        </w:tc>
        <w:tc>
          <w:tcPr>
            <w:tcW w:type="dxa" w:w="7056"/>
            <w:tcMar>
              <w:top w:w="90" w:type="dxa"/>
              <w:start w:w="90" w:type="dxa"/>
              <w:bottom w:w="90" w:type="dxa"/>
              <w:end w:w="90" w:type="dxa"/>
            </w:tcMar>
            <w:vAlign w:val="top"/>
          </w:tcPr>
          <w:p>
            <w:r>
              <w:rPr>
                <w:sz w:val="17"/>
              </w:rPr>
              <w:t>JSON Schema before Avro</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ADR-014</w:t>
            </w:r>
          </w:p>
        </w:tc>
        <w:tc>
          <w:tcPr>
            <w:tcW w:type="dxa" w:w="7056"/>
            <w:tcMar>
              <w:top w:w="90" w:type="dxa"/>
              <w:start w:w="90" w:type="dxa"/>
              <w:bottom w:w="90" w:type="dxa"/>
              <w:end w:w="90" w:type="dxa"/>
            </w:tcMar>
            <w:vAlign w:val="top"/>
          </w:tcPr>
          <w:p>
            <w:r>
              <w:rPr>
                <w:sz w:val="17"/>
              </w:rPr>
              <w:t>Compensation instead of ledger mutation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ADR-015</w:t>
            </w:r>
          </w:p>
        </w:tc>
        <w:tc>
          <w:tcPr>
            <w:tcW w:type="dxa" w:w="7056"/>
            <w:tcMar>
              <w:top w:w="90" w:type="dxa"/>
              <w:start w:w="90" w:type="dxa"/>
              <w:bottom w:w="90" w:type="dxa"/>
              <w:end w:w="90" w:type="dxa"/>
            </w:tcMar>
            <w:vAlign w:val="top"/>
          </w:tcPr>
          <w:p>
            <w:r>
              <w:rPr>
                <w:sz w:val="17"/>
              </w:rPr>
              <w:t>AI excluded from critical financial path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ADR-016</w:t>
            </w:r>
          </w:p>
        </w:tc>
        <w:tc>
          <w:tcPr>
            <w:tcW w:type="dxa" w:w="7056"/>
            <w:tcMar>
              <w:top w:w="90" w:type="dxa"/>
              <w:start w:w="90" w:type="dxa"/>
              <w:bottom w:w="90" w:type="dxa"/>
              <w:end w:w="90" w:type="dxa"/>
            </w:tcMar>
            <w:vAlign w:val="top"/>
          </w:tcPr>
          <w:p>
            <w:r>
              <w:rPr>
                <w:sz w:val="17"/>
              </w:rPr>
              <w:t>Aligned Payment, Reversal, provider-progress, reconciliation, module-ownership, and sensitive-action semantics</w:t>
            </w:r>
          </w:p>
        </w:tc>
        <w:tc>
          <w:tcPr>
            <w:tcW w:type="dxa" w:w="1152"/>
            <w:tcMar>
              <w:top w:w="90" w:type="dxa"/>
              <w:start w:w="90" w:type="dxa"/>
              <w:bottom w:w="90" w:type="dxa"/>
              <w:end w:w="90" w:type="dxa"/>
            </w:tcMar>
            <w:vAlign w:val="top"/>
          </w:tcPr>
          <w:p>
            <w:r>
              <w:rPr>
                <w:sz w:val="17"/>
              </w:rPr>
              <w:t>Accepted</w:t>
            </w:r>
          </w:p>
        </w:tc>
      </w:tr>
      <w:tr>
        <w:tc>
          <w:tcPr>
            <w:tcW w:type="dxa" w:w="1584"/>
            <w:tcMar>
              <w:top w:w="90" w:type="dxa"/>
              <w:start w:w="90" w:type="dxa"/>
              <w:bottom w:w="90" w:type="dxa"/>
              <w:end w:w="90" w:type="dxa"/>
            </w:tcMar>
            <w:vAlign w:val="top"/>
          </w:tcPr>
          <w:tcPr/>
          <w:p>
            <w:r>
              <w:t>ADR-017</w:t>
            </w:r>
          </w:p>
        </w:tc>
        <w:tc>
          <w:tcPr>
            <w:tcW w:type="dxa" w:w="7056"/>
            <w:tcMar>
              <w:top w:w="90" w:type="dxa"/>
              <w:start w:w="90" w:type="dxa"/>
              <w:bottom w:w="90" w:type="dxa"/>
              <w:end w:w="90" w:type="dxa"/>
            </w:tcMar>
            <w:vAlign w:val="top"/>
          </w:tcPr>
          <w:tcPr/>
          <w:p>
            <w:r>
              <w:t>Tenant-wide Payment API idempotency boundary</w:t>
            </w:r>
          </w:p>
        </w:tc>
        <w:tc>
          <w:tcPr>
            <w:tcW w:type="dxa" w:w="1152"/>
            <w:tcMar>
              <w:top w:w="90" w:type="dxa"/>
              <w:start w:w="90" w:type="dxa"/>
              <w:bottom w:w="90" w:type="dxa"/>
              <w:end w:w="90" w:type="dxa"/>
            </w:tcMar>
            <w:vAlign w:val="top"/>
          </w:tcPr>
          <w:tcPr/>
          <w:p>
            <w:r>
              <w:t>Accepted</w:t>
            </w:r>
          </w:p>
        </w:tc>
      </w:tr>
      <w:tr>
        <w:tc>
          <w:tcPr>
            <w:tcW w:type="dxa" w:w="3360"/>
          </w:tcPr>
          <w:p>
            <w:r>
              <w:t>ADR-018</w:t>
            </w:r>
          </w:p>
        </w:tc>
        <w:tc>
          <w:tcPr>
            <w:tcW w:type="dxa" w:w="3360"/>
          </w:tcPr>
          <w:p>
            <w:r>
              <w:t>Release 0.1 deterministic synchronous Risk scoring</w:t>
            </w:r>
          </w:p>
        </w:tc>
        <w:tc>
          <w:tcPr>
            <w:tcW w:type="dxa" w:w="3360"/>
          </w:tcPr>
          <w:p>
            <w:r>
              <w:t>Accepted</w:t>
            </w:r>
          </w:p>
        </w:tc>
      </w:tr>
      <w:tr>
        <w:tc>
          <w:tcPr>
            <w:tcW w:type="dxa" w:w="3360"/>
          </w:tcPr>
          <w:p>
            <w:r>
              <w:t>ADR-019</w:t>
            </w:r>
          </w:p>
        </w:tc>
        <w:tc>
          <w:tcPr>
            <w:tcW w:type="dxa" w:w="3360"/>
          </w:tcPr>
          <w:p>
            <w:r>
              <w:t>Release 0.1 Ledger account model, identity, persistence, posting validation, and scope</w:t>
            </w:r>
          </w:p>
        </w:tc>
        <w:tc>
          <w:tcPr>
            <w:tcW w:type="dxa" w:w="3360"/>
          </w:tcPr>
          <w:p>
            <w:r>
              <w:t>Accepted</w:t>
            </w:r>
          </w:p>
        </w:tc>
      </w:tr>
    </w:tbl>
    <w:p>
      <w:pPr>
        <w:widowControl/>
      </w:pPr>
    </w:p>
    <w:p>
      <w:pPr>
        <w:pStyle w:val="Heading2"/>
        <w:keepNext/>
        <w:widowControl/>
      </w:pPr>
      <w:r>
        <w:t>16.1 ADR template</w:t>
      </w:r>
    </w:p>
    <w:p>
      <w:pPr>
        <w:pStyle w:val="CodeBlock"/>
        <w:keepLines/>
        <w:widowControl/>
      </w:pPr>
      <w:r>
        <w:t>Status</w:t>
        <w:br/>
        <w:t>Context</w:t>
        <w:br/>
        <w:t>Decision</w:t>
        <w:br/>
        <w:t>Consequences</w:t>
        <w:br/>
        <w:t>Alternatives considered</w:t>
        <w:br/>
        <w:t>Review conditions</w:t>
      </w:r>
    </w:p>
    <w:p>
      <w:pPr>
        <w:pStyle w:val="Heading2"/>
        <w:keepNext/>
        <w:widowControl/>
      </w:pPr>
      <w:r>
        <w:t>16.2 Change control</w:t>
      </w:r>
    </w:p>
    <w:p>
      <w:pPr>
        <w:widowControl/>
        <w:spacing w:after="120"/>
      </w:pPr>
      <w:r>
        <w:t>A material change to a locked decision requires three updates: a new or superseding ADR; an impact assessment covering product requirements, data migration, security, testing, operations, and cost; and a revision to this specification. Implementation convenience alone is not a valid reason to bypass a locked invariant.</w:t>
      </w:r>
    </w:p>
    <w:p>
      <w:pPr>
        <w:pStyle w:val="Heading1"/>
        <w:keepNext/>
        <w:widowControl/>
      </w:pPr>
      <w:r>
        <w:t>17. Release acceptance criteria</w:t>
      </w:r>
    </w:p>
    <w:p>
      <w:pPr>
        <w:pStyle w:val="Heading2"/>
        <w:keepNext/>
        <w:widowControl/>
      </w:pPr>
      <w:r>
        <w:t>17.1 Functional</w:t>
      </w:r>
    </w:p>
    <w:p>
      <w:pPr>
        <w:pStyle w:val="ListBullet"/>
        <w:widowControl/>
        <w:spacing w:after="40"/>
      </w:pPr>
      <w:r>
        <w:t>Payment creation, risk approve/reject/review, provider success/decline/timeout/ambiguity, full-payment Reversal, reconciliation, cases, sensitive-action confirmation, and audit history operate end to end.</w:t>
      </w:r>
    </w:p>
    <w:p>
      <w:pPr>
        <w:pStyle w:val="ListBullet"/>
        <w:widowControl/>
        <w:spacing w:after="40"/>
      </w:pPr>
      <w:r>
        <w:t>English and Arabic operational interfaces support the critical workflows.</w:t>
      </w:r>
    </w:p>
    <w:p>
      <w:pPr>
        <w:pStyle w:val="ListBullet"/>
        <w:widowControl/>
        <w:spacing w:after="40"/>
      </w:pPr>
      <w:r>
        <w:t>Provider failure scenarios are reproducible and controlled.</w:t>
      </w:r>
    </w:p>
    <w:p>
      <w:pPr>
        <w:pStyle w:val="Heading2"/>
        <w:keepNext/>
        <w:widowControl/>
      </w:pPr>
      <w:r>
        <w:t>17.2 Correctness</w:t>
      </w:r>
    </w:p>
    <w:p>
      <w:pPr>
        <w:pStyle w:val="ListBullet"/>
        <w:widowControl/>
        <w:spacing w:after="40"/>
      </w:pPr>
      <w:r>
        <w:t>All ledger invariants pass.</w:t>
      </w:r>
    </w:p>
    <w:p>
      <w:pPr>
        <w:pStyle w:val="ListBullet"/>
        <w:widowControl/>
        <w:spacing w:after="40"/>
      </w:pPr>
      <w:r>
        <w:t>Concurrent duplicate requests create one Payment.</w:t>
      </w:r>
    </w:p>
    <w:p>
      <w:pPr>
        <w:pStyle w:val="ListBullet"/>
        <w:widowControl/>
        <w:spacing w:after="40"/>
      </w:pPr>
      <w:r>
        <w:t>Duplicate Kafka messages and webhooks create one financial effect.</w:t>
      </w:r>
    </w:p>
    <w:p>
      <w:pPr>
        <w:pStyle w:val="ListBullet"/>
        <w:widowControl/>
        <w:spacing w:after="40"/>
      </w:pPr>
      <w:r>
        <w:t>Payment completion and exactly one corresponding balanced ledger posting are atomic.</w:t>
      </w:r>
    </w:p>
    <w:p>
      <w:pPr>
        <w:pStyle w:val="ListBullet"/>
        <w:widowControl/>
        <w:spacing w:after="40"/>
      </w:pPr>
      <w:r>
        <w:t>Reconciliation history is immutable and corrections are compensating actions.</w:t>
      </w:r>
    </w:p>
    <w:p>
      <w:pPr>
        <w:pStyle w:val="ListBullet"/>
        <w:widowControl/>
        <w:spacing w:after="40"/>
      </w:pPr>
      <w:r>
        <w:t>Tenant and merchant isolation passes API, repository, and database tests.</w:t>
      </w:r>
    </w:p>
    <w:p>
      <w:pPr>
        <w:pStyle w:val="ListBullet"/>
      </w:pPr>
      <w:r>
        <w:t>Release 0.1 Ledger account creation, exact code/status vocabularies, uniqueness, immutable identity, non-deletion, ownership/currency checks, ACTIVE-only posting, derived history, and atomic failure behavior pass domain and PostgreSQL/Testcontainers verification.</w:t>
      </w:r>
    </w:p>
    <w:p>
      <w:pPr>
        <w:pStyle w:val="Heading2"/>
        <w:keepNext/>
        <w:widowControl/>
      </w:pPr>
      <w:r>
        <w:t>17.3 Reliability and security</w:t>
      </w:r>
    </w:p>
    <w:p>
      <w:pPr>
        <w:pStyle w:val="ListBullet"/>
        <w:widowControl/>
        <w:spacing w:after="40"/>
      </w:pPr>
      <w:r>
        <w:t>Outbox, inbox, retries, dead letters, recovery jobs, probes, alerts, and runbooks are operational.</w:t>
      </w:r>
    </w:p>
    <w:p>
      <w:pPr>
        <w:pStyle w:val="ListBullet"/>
        <w:widowControl/>
        <w:spacing w:after="40"/>
      </w:pPr>
      <w:r>
        <w:t>OIDC authentication, permission checks, read-only audited support mode, secret management, re-authentication where required, and sensitive-action confirmation work.</w:t>
      </w:r>
    </w:p>
    <w:p>
      <w:pPr>
        <w:pStyle w:val="ListBullet"/>
        <w:widowControl/>
        <w:spacing w:after="40"/>
      </w:pPr>
      <w:r>
        <w:t>No unresolved critical security scan findings remain.</w:t>
      </w:r>
    </w:p>
    <w:p>
      <w:pPr>
        <w:pStyle w:val="ListBullet"/>
        <w:widowControl/>
        <w:spacing w:after="40"/>
      </w:pPr>
      <w:r>
        <w:t>Every critical failure is detectable and has a documented recovery path.</w:t>
      </w:r>
    </w:p>
    <w:p>
      <w:pPr>
        <w:pStyle w:val="Heading2"/>
        <w:keepNext/>
        <w:widowControl/>
      </w:pPr>
      <w:r>
        <w:t>17.4 Platform and evidence</w:t>
      </w:r>
    </w:p>
    <w:p>
      <w:pPr>
        <w:pStyle w:val="ListBullet"/>
        <w:widowControl/>
        <w:spacing w:after="40"/>
      </w:pPr>
      <w:r>
        <w:t>Local environment starts through documented commands.</w:t>
      </w:r>
    </w:p>
    <w:p>
      <w:pPr>
        <w:pStyle w:val="ListBullet"/>
        <w:widowControl/>
        <w:spacing w:after="40"/>
      </w:pPr>
      <w:r>
        <w:t>CI passes and images are immutable and scanned.</w:t>
      </w:r>
    </w:p>
    <w:p>
      <w:pPr>
        <w:pStyle w:val="ListBullet"/>
        <w:widowControl/>
        <w:spacing w:after="40"/>
      </w:pPr>
      <w:r>
        <w:t>Demo deployment is accessible and Kubernetes environment is reproducible.</w:t>
      </w:r>
    </w:p>
    <w:p>
      <w:pPr>
        <w:pStyle w:val="ListBullet"/>
        <w:widowControl/>
        <w:spacing w:after="40"/>
      </w:pPr>
      <w:r>
        <w:t>Terraform, backup/restore, load-test, resilience-test, and deployment documentation exist.</w:t>
      </w:r>
    </w:p>
    <w:p>
      <w:pPr>
        <w:pStyle w:val="ListBullet"/>
        <w:widowControl/>
        <w:spacing w:after="40"/>
      </w:pPr>
      <w:r>
        <w:t>Architecture diagrams, OpenAPI, event schemas, ADRs, known limitations, and a demonstration video exist.</w:t>
      </w:r>
    </w:p>
    <w:tbl>
      <w:tblPr>
        <w:tblW w:type="auto" w:w="0"/>
        <w:jc w:val="center"/>
        <w:tblLook w:firstColumn="1" w:firstRow="1" w:lastColumn="0" w:lastRow="0" w:noHBand="0" w:noVBand="1" w:val="04A0"/>
      </w:tblPr>
      <w:tblGrid>
        <w:gridCol w:w="10080"/>
      </w:tblGrid>
      <w:tr>
        <w:trPr>
          <w:cantSplit/>
        </w:trPr>
        <w:tc>
          <w:tcPr>
            <w:tcW w:type="dxa" w:w="10080"/>
            <w:shd w:fill="FCE4D6"/>
            <w:tcMar>
              <w:top w:w="120" w:type="dxa"/>
              <w:start w:w="140" w:type="dxa"/>
              <w:bottom w:w="120" w:type="dxa"/>
              <w:end w:w="140" w:type="dxa"/>
            </w:tcMar>
          </w:tcPr>
          <w:p>
            <w:r>
              <w:rPr>
                <w:b/>
              </w:rPr>
              <w:t>Release gate: Portfolio Release 1.0 is accepted only when every critical product requirement maps to a passing verification method and no blocker or critical defect remains open.</w:t>
            </w:r>
          </w:p>
        </w:tc>
      </w:tr>
    </w:tbl>
    <w:p>
      <w:pPr>
        <w:widowControl/>
      </w:pPr>
    </w:p>
    <w:p>
      <w:pPr>
        <w:pStyle w:val="Heading1"/>
        <w:keepNext/>
        <w:widowControl/>
      </w:pPr>
      <w:r>
        <w:t>Appendix A - Final technology baseline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7704"/>
            <w:shd w:fill="1F4E78"/>
            <w:vAlign w:val="center"/>
            <w:tcMar>
              <w:top w:w="90" w:type="dxa"/>
              <w:start w:w="90" w:type="dxa"/>
              <w:bottom w:w="90" w:type="dxa"/>
              <w:end w:w="90" w:type="dxa"/>
            </w:tcMar>
          </w:tcPr>
          <w:p>
            <w:pPr>
              <w:jc w:val="left"/>
            </w:pPr>
            <w:r>
              <w:rPr>
                <w:b/>
                <w:color w:val="FFFFFF"/>
                <w:sz w:val="17"/>
              </w:rPr>
              <w:t>Approved technology</w:t>
            </w:r>
          </w:p>
        </w:tc>
      </w:tr>
      <w:tr>
        <w:trPr>
          <w:cantSplit/>
        </w:trPr>
        <w:tc>
          <w:tcPr>
            <w:tcW w:type="dxa" w:w="2088"/>
            <w:tcMar>
              <w:top w:w="90" w:type="dxa"/>
              <w:start w:w="90" w:type="dxa"/>
              <w:bottom w:w="90" w:type="dxa"/>
              <w:end w:w="90" w:type="dxa"/>
            </w:tcMar>
            <w:vAlign w:val="top"/>
          </w:tcPr>
          <w:p>
            <w:r>
              <w:rPr>
                <w:sz w:val="17"/>
              </w:rPr>
              <w:t>Language/runtime</w:t>
            </w:r>
          </w:p>
        </w:tc>
        <w:tc>
          <w:tcPr>
            <w:tcW w:type="dxa" w:w="7704"/>
            <w:tcMar>
              <w:top w:w="90" w:type="dxa"/>
              <w:start w:w="90" w:type="dxa"/>
              <w:bottom w:w="90" w:type="dxa"/>
              <w:end w:w="90" w:type="dxa"/>
            </w:tcMar>
            <w:vAlign w:val="top"/>
          </w:tcPr>
          <w:p>
            <w:r>
              <w:rPr>
                <w:sz w:val="17"/>
              </w:rPr>
              <w:t>Java 21 or current supported LTS</w:t>
            </w:r>
          </w:p>
        </w:tc>
      </w:tr>
      <w:tr>
        <w:trPr>
          <w:cantSplit/>
        </w:trPr>
        <w:tc>
          <w:tcPr>
            <w:tcW w:type="dxa" w:w="2088"/>
            <w:tcMar>
              <w:top w:w="90" w:type="dxa"/>
              <w:start w:w="90" w:type="dxa"/>
              <w:bottom w:w="90" w:type="dxa"/>
              <w:end w:w="90" w:type="dxa"/>
            </w:tcMar>
            <w:vAlign w:val="top"/>
          </w:tcPr>
          <w:p>
            <w:r>
              <w:rPr>
                <w:sz w:val="17"/>
              </w:rPr>
              <w:t>Application</w:t>
            </w:r>
          </w:p>
        </w:tc>
        <w:tc>
          <w:tcPr>
            <w:tcW w:type="dxa" w:w="7704"/>
            <w:tcMar>
              <w:top w:w="90" w:type="dxa"/>
              <w:start w:w="90" w:type="dxa"/>
              <w:bottom w:w="90" w:type="dxa"/>
              <w:end w:w="90" w:type="dxa"/>
            </w:tcMar>
            <w:vAlign w:val="top"/>
          </w:tcPr>
          <w:p>
            <w:r>
              <w:rPr>
                <w:sz w:val="17"/>
              </w:rPr>
              <w:t>Spring Boot, Spring Modulith, Spring Security, Spring Data JPA, Spring Batch, Spring Actuator</w:t>
            </w:r>
          </w:p>
        </w:tc>
      </w:tr>
      <w:tr>
        <w:trPr>
          <w:cantSplit/>
        </w:trPr>
        <w:tc>
          <w:tcPr>
            <w:tcW w:type="dxa" w:w="2088"/>
            <w:tcMar>
              <w:top w:w="90" w:type="dxa"/>
              <w:start w:w="90" w:type="dxa"/>
              <w:bottom w:w="90" w:type="dxa"/>
              <w:end w:w="90" w:type="dxa"/>
            </w:tcMar>
            <w:vAlign w:val="top"/>
          </w:tcPr>
          <w:p>
            <w:r>
              <w:rPr>
                <w:sz w:val="17"/>
              </w:rPr>
              <w:t>Build</w:t>
            </w:r>
          </w:p>
        </w:tc>
        <w:tc>
          <w:tcPr>
            <w:tcW w:type="dxa" w:w="7704"/>
            <w:tcMar>
              <w:top w:w="90" w:type="dxa"/>
              <w:start w:w="90" w:type="dxa"/>
              <w:bottom w:w="90" w:type="dxa"/>
              <w:end w:w="90" w:type="dxa"/>
            </w:tcMar>
            <w:vAlign w:val="top"/>
          </w:tcPr>
          <w:p>
            <w:r>
              <w:rPr>
                <w:sz w:val="17"/>
              </w:rPr>
              <w:t>Gradle Kotlin DSL</w:t>
            </w:r>
          </w:p>
        </w:tc>
      </w:tr>
      <w:tr>
        <w:trPr>
          <w:cantSplit/>
        </w:trPr>
        <w:tc>
          <w:tcPr>
            <w:tcW w:type="dxa" w:w="2088"/>
            <w:tcMar>
              <w:top w:w="90" w:type="dxa"/>
              <w:start w:w="90" w:type="dxa"/>
              <w:bottom w:w="90" w:type="dxa"/>
              <w:end w:w="90" w:type="dxa"/>
            </w:tcMar>
            <w:vAlign w:val="top"/>
          </w:tcPr>
          <w:p>
            <w:r>
              <w:rPr>
                <w:sz w:val="17"/>
              </w:rPr>
              <w:t>Data</w:t>
            </w:r>
          </w:p>
        </w:tc>
        <w:tc>
          <w:tcPr>
            <w:tcW w:type="dxa" w:w="7704"/>
            <w:tcMar>
              <w:top w:w="90" w:type="dxa"/>
              <w:start w:w="90" w:type="dxa"/>
              <w:bottom w:w="90" w:type="dxa"/>
              <w:end w:w="90" w:type="dxa"/>
            </w:tcMar>
            <w:vAlign w:val="top"/>
          </w:tcPr>
          <w:p>
            <w:r>
              <w:rPr>
                <w:sz w:val="17"/>
              </w:rPr>
              <w:t>PostgreSQL, Flyway, Redis for non-authoritative uses, S3-compatible object storage</w:t>
            </w:r>
          </w:p>
        </w:tc>
      </w:tr>
      <w:tr>
        <w:trPr>
          <w:cantSplit/>
        </w:trPr>
        <w:tc>
          <w:tcPr>
            <w:tcW w:type="dxa" w:w="2088"/>
            <w:tcMar>
              <w:top w:w="90" w:type="dxa"/>
              <w:start w:w="90" w:type="dxa"/>
              <w:bottom w:w="90" w:type="dxa"/>
              <w:end w:w="90" w:type="dxa"/>
            </w:tcMar>
            <w:vAlign w:val="top"/>
          </w:tcPr>
          <w:p>
            <w:r>
              <w:rPr>
                <w:sz w:val="17"/>
              </w:rPr>
              <w:t>Messaging</w:t>
            </w:r>
          </w:p>
        </w:tc>
        <w:tc>
          <w:tcPr>
            <w:tcW w:type="dxa" w:w="7704"/>
            <w:tcMar>
              <w:top w:w="90" w:type="dxa"/>
              <w:start w:w="90" w:type="dxa"/>
              <w:bottom w:w="90" w:type="dxa"/>
              <w:end w:w="90" w:type="dxa"/>
            </w:tcMar>
            <w:vAlign w:val="top"/>
          </w:tcPr>
          <w:p>
            <w:r>
              <w:rPr>
                <w:sz w:val="17"/>
              </w:rPr>
              <w:t>Apache Kafka, transactional outbox, consumer inbox, JSON Schema</w:t>
            </w:r>
          </w:p>
        </w:tc>
      </w:tr>
      <w:tr>
        <w:trPr>
          <w:cantSplit/>
        </w:trPr>
        <w:tc>
          <w:tcPr>
            <w:tcW w:type="dxa" w:w="2088"/>
            <w:tcMar>
              <w:top w:w="90" w:type="dxa"/>
              <w:start w:w="90" w:type="dxa"/>
              <w:bottom w:w="90" w:type="dxa"/>
              <w:end w:w="90" w:type="dxa"/>
            </w:tcMar>
            <w:vAlign w:val="top"/>
          </w:tcPr>
          <w:p>
            <w:r>
              <w:rPr>
                <w:sz w:val="17"/>
              </w:rPr>
              <w:t>Identity</w:t>
            </w:r>
          </w:p>
        </w:tc>
        <w:tc>
          <w:tcPr>
            <w:tcW w:type="dxa" w:w="7704"/>
            <w:tcMar>
              <w:top w:w="90" w:type="dxa"/>
              <w:start w:w="90" w:type="dxa"/>
              <w:bottom w:w="90" w:type="dxa"/>
              <w:end w:w="90" w:type="dxa"/>
            </w:tcMar>
            <w:vAlign w:val="top"/>
          </w:tcPr>
          <w:p>
            <w:r>
              <w:rPr>
                <w:sz w:val="17"/>
              </w:rPr>
              <w:t>Keycloak, OAuth 2.0, OpenID Connect, PKCE, Client Credentials</w:t>
            </w:r>
          </w:p>
        </w:tc>
      </w:tr>
      <w:tr>
        <w:trPr>
          <w:cantSplit/>
        </w:trPr>
        <w:tc>
          <w:tcPr>
            <w:tcW w:type="dxa" w:w="2088"/>
            <w:tcMar>
              <w:top w:w="90" w:type="dxa"/>
              <w:start w:w="90" w:type="dxa"/>
              <w:bottom w:w="90" w:type="dxa"/>
              <w:end w:w="90" w:type="dxa"/>
            </w:tcMar>
            <w:vAlign w:val="top"/>
          </w:tcPr>
          <w:p>
            <w:r>
              <w:rPr>
                <w:sz w:val="17"/>
              </w:rPr>
              <w:t>Reliability</w:t>
            </w:r>
          </w:p>
        </w:tc>
        <w:tc>
          <w:tcPr>
            <w:tcW w:type="dxa" w:w="7704"/>
            <w:tcMar>
              <w:top w:w="90" w:type="dxa"/>
              <w:start w:w="90" w:type="dxa"/>
              <w:bottom w:w="90" w:type="dxa"/>
              <w:end w:w="90" w:type="dxa"/>
            </w:tcMar>
            <w:vAlign w:val="top"/>
          </w:tcPr>
          <w:p>
            <w:r>
              <w:rPr>
                <w:sz w:val="17"/>
              </w:rPr>
              <w:t>Resilience4j, OpenTelemetry, Prometheus, Grafana, Loki, Tempo</w:t>
            </w:r>
          </w:p>
        </w:tc>
      </w:tr>
      <w:tr>
        <w:trPr>
          <w:cantSplit/>
        </w:trPr>
        <w:tc>
          <w:tcPr>
            <w:tcW w:type="dxa" w:w="2088"/>
            <w:tcMar>
              <w:top w:w="90" w:type="dxa"/>
              <w:start w:w="90" w:type="dxa"/>
              <w:bottom w:w="90" w:type="dxa"/>
              <w:end w:w="90" w:type="dxa"/>
            </w:tcMar>
            <w:vAlign w:val="top"/>
          </w:tcPr>
          <w:p>
            <w:r>
              <w:rPr>
                <w:sz w:val="17"/>
              </w:rPr>
              <w:t>Testing</w:t>
            </w:r>
          </w:p>
        </w:tc>
        <w:tc>
          <w:tcPr>
            <w:tcW w:type="dxa" w:w="7704"/>
            <w:tcMar>
              <w:top w:w="90" w:type="dxa"/>
              <w:start w:w="90" w:type="dxa"/>
              <w:bottom w:w="90" w:type="dxa"/>
              <w:end w:w="90" w:type="dxa"/>
            </w:tcMar>
            <w:vAlign w:val="top"/>
          </w:tcPr>
          <w:p>
            <w:r>
              <w:rPr>
                <w:sz w:val="17"/>
              </w:rPr>
              <w:t>JUnit, Mockito, Testcontainers, WireMock, jqwik, ArchUnit, Playwright, k6</w:t>
            </w:r>
          </w:p>
        </w:tc>
      </w:tr>
      <w:tr>
        <w:trPr>
          <w:cantSplit/>
        </w:trPr>
        <w:tc>
          <w:tcPr>
            <w:tcW w:type="dxa" w:w="2088"/>
            <w:tcMar>
              <w:top w:w="90" w:type="dxa"/>
              <w:start w:w="90" w:type="dxa"/>
              <w:bottom w:w="90" w:type="dxa"/>
              <w:end w:w="90" w:type="dxa"/>
            </w:tcMar>
            <w:vAlign w:val="top"/>
          </w:tcPr>
          <w:p>
            <w:r>
              <w:rPr>
                <w:sz w:val="17"/>
              </w:rPr>
              <w:t>Infrastructure</w:t>
            </w:r>
          </w:p>
        </w:tc>
        <w:tc>
          <w:tcPr>
            <w:tcW w:type="dxa" w:w="7704"/>
            <w:tcMar>
              <w:top w:w="90" w:type="dxa"/>
              <w:start w:w="90" w:type="dxa"/>
              <w:bottom w:w="90" w:type="dxa"/>
              <w:end w:w="90" w:type="dxa"/>
            </w:tcMar>
            <w:vAlign w:val="top"/>
          </w:tcPr>
          <w:p>
            <w:r>
              <w:rPr>
                <w:sz w:val="17"/>
              </w:rPr>
              <w:t>Docker, Docker Compose, AWS, ECS Fargate, Terraform, Kubernetes, Helm, Argo CD, GitHub Actions</w:t>
            </w:r>
          </w:p>
        </w:tc>
      </w:tr>
      <w:tr>
        <w:trPr>
          <w:cantSplit/>
        </w:trPr>
        <w:tc>
          <w:tcPr>
            <w:tcW w:type="dxa" w:w="2088"/>
            <w:tcMar>
              <w:top w:w="90" w:type="dxa"/>
              <w:start w:w="90" w:type="dxa"/>
              <w:bottom w:w="90" w:type="dxa"/>
              <w:end w:w="90" w:type="dxa"/>
            </w:tcMar>
            <w:vAlign w:val="top"/>
          </w:tcPr>
          <w:p>
            <w:r>
              <w:rPr>
                <w:sz w:val="17"/>
              </w:rPr>
              <w:t>Frontend</w:t>
            </w:r>
          </w:p>
        </w:tc>
        <w:tc>
          <w:tcPr>
            <w:tcW w:type="dxa" w:w="7704"/>
            <w:tcMar>
              <w:top w:w="90" w:type="dxa"/>
              <w:start w:w="90" w:type="dxa"/>
              <w:bottom w:w="90" w:type="dxa"/>
              <w:end w:w="90" w:type="dxa"/>
            </w:tcMar>
            <w:vAlign w:val="top"/>
          </w:tcPr>
          <w:p>
            <w:r>
              <w:rPr>
                <w:sz w:val="17"/>
              </w:rPr>
              <w:t>Next.js, TypeScript, React Query, bilingual RTL/LTR UI</w:t>
            </w:r>
          </w:p>
        </w:tc>
      </w:tr>
    </w:tbl>
    <w:p>
      <w:pPr>
        <w:widowControl/>
      </w:pPr>
    </w:p>
    <w:p>
      <w:pPr>
        <w:pStyle w:val="Heading1"/>
        <w:keepNext/>
        <w:widowControl/>
      </w:pPr>
      <w:r>
        <w:t>Appendix B - External API error model</w:t>
      </w:r>
    </w:p>
    <w:p>
      <w:pPr>
        <w:pStyle w:val="CodeBlock"/>
        <w:keepLines/>
        <w:widowControl/>
      </w:pPr>
      <w:r>
        <w:t>{</w:t>
        <w:br/>
        <w:t xml:space="preserve">  "type": "https://ledgerops.dev/problems/payment-not-reversible",</w:t>
        <w:br/>
        <w:t xml:space="preserve">  "title": "Payment cannot be reversed",</w:t>
        <w:br/>
        <w:t xml:space="preserve">  "status": 409,</w:t>
        <w:br/>
        <w:t xml:space="preserve">  "code": "PAYMENT_NOT_REVERSIBLE",</w:t>
        <w:br/>
        <w:t xml:space="preserve">  "detail": "The payment has not reached a reversible state.",</w:t>
        <w:br/>
        <w:t xml:space="preserve">  "correlationId": "corr_01J..."</w:t>
        <w:br/>
        <w:t>}</w:t>
      </w:r>
    </w:p>
    <w:p>
      <w:pPr>
        <w:widowControl/>
        <w:spacing w:after="120"/>
      </w:pPr>
      <w:r>
        <w:t>External errors follow RFC 7807-style problem details and never expose stack traces, SQL errors, internal class names, or secrets.</w:t>
      </w:r>
    </w:p>
    <w:p>
      <w:pPr>
        <w:pStyle w:val="Heading1"/>
        <w:keepNext/>
        <w:widowControl/>
      </w:pPr>
      <w:r>
        <w:t>Appendix C - Minimum operational runbooks</w:t>
      </w:r>
    </w:p>
    <w:p>
      <w:pPr>
        <w:pStyle w:val="ListBullet"/>
        <w:widowControl/>
        <w:spacing w:after="40"/>
      </w:pPr>
      <w:r>
        <w:t>Core API unavailable</w:t>
      </w:r>
    </w:p>
    <w:p>
      <w:pPr>
        <w:pStyle w:val="ListBullet"/>
        <w:widowControl/>
        <w:spacing w:after="40"/>
      </w:pPr>
      <w:r>
        <w:t>PostgreSQL unavailable</w:t>
      </w:r>
    </w:p>
    <w:p>
      <w:pPr>
        <w:pStyle w:val="ListBullet"/>
        <w:widowControl/>
        <w:spacing w:after="40"/>
      </w:pPr>
      <w:r>
        <w:t>Kafka unavailable</w:t>
      </w:r>
    </w:p>
    <w:p>
      <w:pPr>
        <w:pStyle w:val="ListBullet"/>
        <w:widowControl/>
        <w:spacing w:after="40"/>
      </w:pPr>
      <w:r>
        <w:t>Outbox backlog</w:t>
      </w:r>
    </w:p>
    <w:p>
      <w:pPr>
        <w:pStyle w:val="ListBullet"/>
        <w:widowControl/>
        <w:spacing w:after="40"/>
      </w:pPr>
      <w:r>
        <w:t>Consumer lag</w:t>
      </w:r>
    </w:p>
    <w:p>
      <w:pPr>
        <w:pStyle w:val="ListBullet"/>
        <w:widowControl/>
        <w:spacing w:after="40"/>
      </w:pPr>
      <w:r>
        <w:t>Financial dead-letter message</w:t>
      </w:r>
    </w:p>
    <w:p>
      <w:pPr>
        <w:pStyle w:val="ListBullet"/>
        <w:widowControl/>
        <w:spacing w:after="40"/>
      </w:pPr>
      <w:r>
        <w:t>Provider outage</w:t>
      </w:r>
    </w:p>
    <w:p>
      <w:pPr>
        <w:pStyle w:val="ListBullet"/>
        <w:widowControl/>
        <w:spacing w:after="40"/>
      </w:pPr>
      <w:r>
        <w:t>Ambiguous payment outcome</w:t>
      </w:r>
    </w:p>
    <w:p>
      <w:pPr>
        <w:pStyle w:val="ListBullet"/>
        <w:widowControl/>
        <w:spacing w:after="40"/>
      </w:pPr>
      <w:r>
        <w:t>Webhook backlog</w:t>
      </w:r>
    </w:p>
    <w:p>
      <w:pPr>
        <w:pStyle w:val="ListBullet"/>
        <w:widowControl/>
        <w:spacing w:after="40"/>
      </w:pPr>
      <w:r>
        <w:t>Ledger posting failure</w:t>
      </w:r>
    </w:p>
    <w:p>
      <w:pPr>
        <w:pStyle w:val="ListBullet"/>
        <w:widowControl/>
        <w:spacing w:after="40"/>
      </w:pPr>
      <w:r>
        <w:t>Reconciliation failure</w:t>
      </w:r>
    </w:p>
    <w:p>
      <w:pPr>
        <w:pStyle w:val="ListBullet"/>
        <w:widowControl/>
        <w:spacing w:after="40"/>
      </w:pPr>
      <w:r>
        <w:t>Cross-tenant authorization incident</w:t>
      </w:r>
    </w:p>
    <w:p>
      <w:pPr>
        <w:pStyle w:val="ListBullet"/>
        <w:widowControl/>
        <w:spacing w:after="40"/>
      </w:pPr>
      <w:r>
        <w:t>Object-storage failure</w:t>
      </w:r>
    </w:p>
    <w:p>
      <w:pPr>
        <w:pStyle w:val="ListBullet"/>
        <w:widowControl/>
        <w:spacing w:after="40"/>
      </w:pPr>
      <w:r>
        <w:t>Stuck payment spike</w:t>
      </w:r>
    </w:p>
    <w:p>
      <w:pPr>
        <w:pStyle w:val="Heading1"/>
        <w:keepNext/>
        <w:widowControl/>
      </w:pPr>
      <w:r>
        <w:t>Appendix D -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F4E78"/>
            <w:vAlign w:val="center"/>
            <w:tcMar>
              <w:top w:w="90" w:type="dxa"/>
              <w:start w:w="90" w:type="dxa"/>
              <w:bottom w:w="90" w:type="dxa"/>
              <w:end w:w="90" w:type="dxa"/>
            </w:tcMar>
          </w:tcPr>
          <w:p>
            <w:pPr>
              <w:jc w:val="left"/>
            </w:pPr>
            <w:r>
              <w:rPr>
                <w:b/>
                <w:color w:val="FFFFFF"/>
                <w:sz w:val="17"/>
              </w:rPr>
              <w:t>Term</w:t>
            </w:r>
          </w:p>
        </w:tc>
        <w:tc>
          <w:tcPr>
            <w:tcW w:type="dxa" w:w="7416"/>
            <w:shd w:fill="1F4E78"/>
            <w:vAlign w:val="center"/>
            <w:tcMar>
              <w:top w:w="90" w:type="dxa"/>
              <w:start w:w="90" w:type="dxa"/>
              <w:bottom w:w="90" w:type="dxa"/>
              <w:end w:w="90" w:type="dxa"/>
            </w:tcMar>
          </w:tcPr>
          <w:p>
            <w:pPr>
              <w:jc w:val="left"/>
            </w:pPr>
            <w:r>
              <w:rPr>
                <w:b/>
                <w:color w:val="FFFFFF"/>
                <w:sz w:val="17"/>
              </w:rPr>
              <w:t>Definition</w:t>
            </w:r>
          </w:p>
        </w:tc>
      </w:tr>
      <w:tr>
        <w:trPr>
          <w:cantSplit/>
        </w:trPr>
        <w:tc>
          <w:tcPr>
            <w:tcW w:type="dxa" w:w="2376"/>
            <w:tcMar>
              <w:top w:w="90" w:type="dxa"/>
              <w:start w:w="90" w:type="dxa"/>
              <w:bottom w:w="90" w:type="dxa"/>
              <w:end w:w="90" w:type="dxa"/>
            </w:tcMar>
            <w:vAlign w:val="top"/>
          </w:tcPr>
          <w:p>
            <w:r>
              <w:rPr>
                <w:sz w:val="17"/>
              </w:rPr>
              <w:t>Aggregate</w:t>
            </w:r>
          </w:p>
        </w:tc>
        <w:tc>
          <w:tcPr>
            <w:tcW w:type="dxa" w:w="7416"/>
            <w:tcMar>
              <w:top w:w="90" w:type="dxa"/>
              <w:start w:w="90" w:type="dxa"/>
              <w:bottom w:w="90" w:type="dxa"/>
              <w:end w:w="90" w:type="dxa"/>
            </w:tcMar>
            <w:vAlign w:val="top"/>
          </w:tcPr>
          <w:p>
            <w:r>
              <w:rPr>
                <w:sz w:val="17"/>
              </w:rPr>
              <w:t>A consistency boundary whose state changes are controlled through domain methods.</w:t>
            </w:r>
          </w:p>
        </w:tc>
      </w:tr>
      <w:tr>
        <w:trPr>
          <w:cantSplit/>
        </w:trPr>
        <w:tc>
          <w:tcPr>
            <w:tcW w:type="dxa" w:w="2376"/>
            <w:tcMar>
              <w:top w:w="90" w:type="dxa"/>
              <w:start w:w="90" w:type="dxa"/>
              <w:bottom w:w="90" w:type="dxa"/>
              <w:end w:w="90" w:type="dxa"/>
            </w:tcMar>
            <w:vAlign w:val="top"/>
          </w:tcPr>
          <w:p>
            <w:r>
              <w:rPr>
                <w:sz w:val="17"/>
              </w:rPr>
              <w:t>Compensating transaction</w:t>
            </w:r>
          </w:p>
        </w:tc>
        <w:tc>
          <w:tcPr>
            <w:tcW w:type="dxa" w:w="7416"/>
            <w:tcMar>
              <w:top w:w="90" w:type="dxa"/>
              <w:start w:w="90" w:type="dxa"/>
              <w:bottom w:w="90" w:type="dxa"/>
              <w:end w:w="90" w:type="dxa"/>
            </w:tcMar>
            <w:vAlign w:val="top"/>
          </w:tcPr>
          <w:p>
            <w:r>
              <w:rPr>
                <w:sz w:val="17"/>
              </w:rPr>
              <w:t>A new immutable posting that corrects the financial effect of an earlier posting.</w:t>
            </w:r>
          </w:p>
        </w:tc>
      </w:tr>
      <w:tr>
        <w:trPr>
          <w:cantSplit/>
        </w:trPr>
        <w:tc>
          <w:tcPr>
            <w:tcW w:type="dxa" w:w="2376"/>
            <w:tcMar>
              <w:top w:w="90" w:type="dxa"/>
              <w:start w:w="90" w:type="dxa"/>
              <w:bottom w:w="90" w:type="dxa"/>
              <w:end w:w="90" w:type="dxa"/>
            </w:tcMar>
            <w:vAlign w:val="top"/>
          </w:tcPr>
          <w:p>
            <w:r>
              <w:rPr>
                <w:sz w:val="17"/>
              </w:rPr>
              <w:t>Consumer inbox</w:t>
            </w:r>
          </w:p>
        </w:tc>
        <w:tc>
          <w:tcPr>
            <w:tcW w:type="dxa" w:w="7416"/>
            <w:tcMar>
              <w:top w:w="90" w:type="dxa"/>
              <w:start w:w="90" w:type="dxa"/>
              <w:bottom w:w="90" w:type="dxa"/>
              <w:end w:w="90" w:type="dxa"/>
            </w:tcMar>
            <w:vAlign w:val="top"/>
          </w:tcPr>
          <w:p>
            <w:r>
              <w:rPr>
                <w:sz w:val="17"/>
              </w:rPr>
              <w:t>A uniquely constrained record used to prevent repeated side effects from duplicate message delivery.</w:t>
            </w:r>
          </w:p>
        </w:tc>
      </w:tr>
      <w:tr>
        <w:trPr>
          <w:cantSplit/>
        </w:trPr>
        <w:tc>
          <w:tcPr>
            <w:tcW w:type="dxa" w:w="2376"/>
            <w:tcMar>
              <w:top w:w="90" w:type="dxa"/>
              <w:start w:w="90" w:type="dxa"/>
              <w:bottom w:w="90" w:type="dxa"/>
              <w:end w:w="90" w:type="dxa"/>
            </w:tcMar>
            <w:vAlign w:val="top"/>
          </w:tcPr>
          <w:p>
            <w:r>
              <w:rPr>
                <w:sz w:val="17"/>
              </w:rPr>
              <w:t>Domain event</w:t>
            </w:r>
          </w:p>
        </w:tc>
        <w:tc>
          <w:tcPr>
            <w:tcW w:type="dxa" w:w="7416"/>
            <w:tcMar>
              <w:top w:w="90" w:type="dxa"/>
              <w:start w:w="90" w:type="dxa"/>
              <w:bottom w:w="90" w:type="dxa"/>
              <w:end w:w="90" w:type="dxa"/>
            </w:tcMar>
            <w:vAlign w:val="top"/>
          </w:tcPr>
          <w:p>
            <w:r>
              <w:rPr>
                <w:sz w:val="17"/>
              </w:rPr>
              <w:t>A business fact that has occurred inside the domain.</w:t>
            </w:r>
          </w:p>
        </w:tc>
      </w:tr>
      <w:tr>
        <w:trPr>
          <w:cantSplit/>
        </w:trPr>
        <w:tc>
          <w:tcPr>
            <w:tcW w:type="dxa" w:w="2376"/>
            <w:tcMar>
              <w:top w:w="90" w:type="dxa"/>
              <w:start w:w="90" w:type="dxa"/>
              <w:bottom w:w="90" w:type="dxa"/>
              <w:end w:w="90" w:type="dxa"/>
            </w:tcMar>
            <w:vAlign w:val="top"/>
          </w:tcPr>
          <w:p>
            <w:r>
              <w:rPr>
                <w:sz w:val="17"/>
              </w:rPr>
              <w:t>Idempotency</w:t>
            </w:r>
          </w:p>
        </w:tc>
        <w:tc>
          <w:tcPr>
            <w:tcW w:type="dxa" w:w="7416"/>
            <w:tcMar>
              <w:top w:w="90" w:type="dxa"/>
              <w:start w:w="90" w:type="dxa"/>
              <w:bottom w:w="90" w:type="dxa"/>
              <w:end w:w="90" w:type="dxa"/>
            </w:tcMar>
            <w:vAlign w:val="top"/>
          </w:tcPr>
          <w:p>
            <w:r>
              <w:rPr>
                <w:sz w:val="17"/>
              </w:rPr>
              <w:t>Property that repeated execution with the same identity produces one business effect.</w:t>
            </w:r>
          </w:p>
        </w:tc>
      </w:tr>
      <w:tr>
        <w:trPr>
          <w:cantSplit/>
        </w:trPr>
        <w:tc>
          <w:tcPr>
            <w:tcW w:type="dxa" w:w="2376"/>
            <w:tcMar>
              <w:top w:w="90" w:type="dxa"/>
              <w:start w:w="90" w:type="dxa"/>
              <w:bottom w:w="90" w:type="dxa"/>
              <w:end w:w="90" w:type="dxa"/>
            </w:tcMar>
            <w:vAlign w:val="top"/>
          </w:tcPr>
          <w:p>
            <w:r>
              <w:rPr>
                <w:sz w:val="17"/>
              </w:rPr>
              <w:t>Integration event</w:t>
            </w:r>
          </w:p>
        </w:tc>
        <w:tc>
          <w:tcPr>
            <w:tcW w:type="dxa" w:w="7416"/>
            <w:tcMar>
              <w:top w:w="90" w:type="dxa"/>
              <w:start w:w="90" w:type="dxa"/>
              <w:bottom w:w="90" w:type="dxa"/>
              <w:end w:w="90" w:type="dxa"/>
            </w:tcMar>
            <w:vAlign w:val="top"/>
          </w:tcPr>
          <w:p>
            <w:r>
              <w:rPr>
                <w:sz w:val="17"/>
              </w:rPr>
              <w:t>A versioned event contract published for another deployable component.</w:t>
            </w:r>
          </w:p>
        </w:tc>
      </w:tr>
      <w:tr>
        <w:trPr>
          <w:cantSplit/>
        </w:trPr>
        <w:tc>
          <w:tcPr>
            <w:tcW w:type="dxa" w:w="2376"/>
            <w:tcMar>
              <w:top w:w="90" w:type="dxa"/>
              <w:start w:w="90" w:type="dxa"/>
              <w:bottom w:w="90" w:type="dxa"/>
              <w:end w:w="90" w:type="dxa"/>
            </w:tcMar>
            <w:vAlign w:val="top"/>
          </w:tcPr>
          <w:p>
            <w:r>
              <w:rPr>
                <w:sz w:val="17"/>
              </w:rPr>
              <w:t>Modular monolith</w:t>
            </w:r>
          </w:p>
        </w:tc>
        <w:tc>
          <w:tcPr>
            <w:tcW w:type="dxa" w:w="7416"/>
            <w:tcMar>
              <w:top w:w="90" w:type="dxa"/>
              <w:start w:w="90" w:type="dxa"/>
              <w:bottom w:w="90" w:type="dxa"/>
              <w:end w:w="90" w:type="dxa"/>
            </w:tcMar>
            <w:vAlign w:val="top"/>
          </w:tcPr>
          <w:p>
            <w:r>
              <w:rPr>
                <w:sz w:val="17"/>
              </w:rPr>
              <w:t>One deployable application with explicit internal modules and enforced ownership boundaries.</w:t>
            </w:r>
          </w:p>
        </w:tc>
      </w:tr>
      <w:tr>
        <w:trPr>
          <w:cantSplit/>
        </w:trPr>
        <w:tc>
          <w:tcPr>
            <w:tcW w:type="dxa" w:w="2376"/>
            <w:tcMar>
              <w:top w:w="90" w:type="dxa"/>
              <w:start w:w="90" w:type="dxa"/>
              <w:bottom w:w="90" w:type="dxa"/>
              <w:end w:w="90" w:type="dxa"/>
            </w:tcMar>
            <w:vAlign w:val="top"/>
          </w:tcPr>
          <w:p>
            <w:r>
              <w:rPr>
                <w:sz w:val="17"/>
              </w:rPr>
              <w:t>Outbox</w:t>
            </w:r>
          </w:p>
        </w:tc>
        <w:tc>
          <w:tcPr>
            <w:tcW w:type="dxa" w:w="7416"/>
            <w:tcMar>
              <w:top w:w="90" w:type="dxa"/>
              <w:start w:w="90" w:type="dxa"/>
              <w:bottom w:w="90" w:type="dxa"/>
              <w:end w:w="90" w:type="dxa"/>
            </w:tcMar>
            <w:vAlign w:val="top"/>
          </w:tcPr>
          <w:p>
            <w:r>
              <w:rPr>
                <w:sz w:val="17"/>
              </w:rPr>
              <w:t>A database table that atomically records messages with business changes for reliable later publication.</w:t>
            </w:r>
          </w:p>
        </w:tc>
      </w:tr>
      <w:tr>
        <w:trPr>
          <w:cantSplit/>
        </w:trPr>
        <w:tc>
          <w:tcPr>
            <w:tcW w:type="dxa" w:w="2376"/>
            <w:tcMar>
              <w:top w:w="90" w:type="dxa"/>
              <w:start w:w="90" w:type="dxa"/>
              <w:bottom w:w="90" w:type="dxa"/>
              <w:end w:w="90" w:type="dxa"/>
            </w:tcMar>
            <w:vAlign w:val="top"/>
          </w:tcPr>
          <w:p>
            <w:r>
              <w:rPr>
                <w:sz w:val="17"/>
              </w:rPr>
              <w:t>RLS</w:t>
            </w:r>
          </w:p>
        </w:tc>
        <w:tc>
          <w:tcPr>
            <w:tcW w:type="dxa" w:w="7416"/>
            <w:tcMar>
              <w:top w:w="90" w:type="dxa"/>
              <w:start w:w="90" w:type="dxa"/>
              <w:bottom w:w="90" w:type="dxa"/>
              <w:end w:w="90" w:type="dxa"/>
            </w:tcMar>
            <w:vAlign w:val="top"/>
          </w:tcPr>
          <w:p>
            <w:r>
              <w:rPr>
                <w:sz w:val="17"/>
              </w:rPr>
              <w:t>PostgreSQL Row-Level Security used as defence in depth for tenant isolation.</w:t>
            </w:r>
          </w:p>
        </w:tc>
      </w:tr>
      <w:tr>
        <w:trPr>
          <w:cantSplit/>
        </w:trPr>
        <w:tc>
          <w:tcPr>
            <w:tcW w:type="dxa" w:w="2376"/>
            <w:tcMar>
              <w:top w:w="90" w:type="dxa"/>
              <w:start w:w="90" w:type="dxa"/>
              <w:bottom w:w="90" w:type="dxa"/>
              <w:end w:w="90" w:type="dxa"/>
            </w:tcMar>
            <w:vAlign w:val="top"/>
          </w:tcPr>
          <w:p>
            <w:r>
              <w:rPr>
                <w:sz w:val="17"/>
              </w:rPr>
              <w:t>SLO</w:t>
            </w:r>
          </w:p>
        </w:tc>
        <w:tc>
          <w:tcPr>
            <w:tcW w:type="dxa" w:w="7416"/>
            <w:tcMar>
              <w:top w:w="90" w:type="dxa"/>
              <w:start w:w="90" w:type="dxa"/>
              <w:bottom w:w="90" w:type="dxa"/>
              <w:end w:w="90" w:type="dxa"/>
            </w:tcMar>
            <w:vAlign w:val="top"/>
          </w:tcPr>
          <w:p>
            <w:r>
              <w:rPr>
                <w:sz w:val="17"/>
              </w:rPr>
              <w:t>A measurable reliability target for a service-level indicator.</w:t>
            </w:r>
          </w:p>
        </w:tc>
      </w:tr>
      <w:tr>
        <w:trPr>
          <w:cantSplit/>
        </w:trPr>
        <w:tc>
          <w:tcPr>
            <w:tcW w:type="dxa" w:w="2376"/>
            <w:tcMar>
              <w:top w:w="90" w:type="dxa"/>
              <w:start w:w="90" w:type="dxa"/>
              <w:bottom w:w="90" w:type="dxa"/>
              <w:end w:w="90" w:type="dxa"/>
            </w:tcMar>
            <w:vAlign w:val="top"/>
          </w:tcPr>
          <w:p>
            <w:r>
              <w:rPr>
                <w:sz w:val="17"/>
              </w:rPr>
              <w:t>Settlement</w:t>
            </w:r>
          </w:p>
        </w:tc>
        <w:tc>
          <w:tcPr>
            <w:tcW w:type="dxa" w:w="7416"/>
            <w:tcMar>
              <w:top w:w="90" w:type="dxa"/>
              <w:start w:w="90" w:type="dxa"/>
              <w:bottom w:w="90" w:type="dxa"/>
              <w:end w:w="90" w:type="dxa"/>
            </w:tcMar>
            <w:vAlign w:val="top"/>
          </w:tcPr>
          <w:p>
            <w:r>
              <w:rPr>
                <w:sz w:val="17"/>
              </w:rPr>
              <w:t>Provider-reported financial records for a date or period; separate from payment completion.</w:t>
            </w:r>
          </w:p>
        </w:tc>
      </w:tr>
      <w:tr>
        <w:trPr>
          <w:cantSplit/>
        </w:trPr>
        <w:tc>
          <w:tcPr>
            <w:tcW w:type="dxa" w:w="2376"/>
            <w:tcMar>
              <w:top w:w="90" w:type="dxa"/>
              <w:start w:w="90" w:type="dxa"/>
              <w:bottom w:w="90" w:type="dxa"/>
              <w:end w:w="90" w:type="dxa"/>
            </w:tcMar>
            <w:vAlign w:val="top"/>
          </w:tcPr>
          <w:p>
            <w:r>
              <w:rPr>
                <w:sz w:val="17"/>
              </w:rPr>
              <w:t>Transactional source of truth</w:t>
            </w:r>
          </w:p>
        </w:tc>
        <w:tc>
          <w:tcPr>
            <w:tcW w:type="dxa" w:w="7416"/>
            <w:tcMar>
              <w:top w:w="90" w:type="dxa"/>
              <w:start w:w="90" w:type="dxa"/>
              <w:bottom w:w="90" w:type="dxa"/>
              <w:end w:w="90" w:type="dxa"/>
            </w:tcMar>
            <w:vAlign w:val="top"/>
          </w:tcPr>
          <w:p>
            <w:r>
              <w:rPr>
                <w:sz w:val="17"/>
              </w:rPr>
              <w:t>The authoritative persistent state used to decide business correctness; PostgreSQL in LedgerOps.</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t>Implementation authorization: Technical Specification v1.4 is approved for implementation against Product Definition v1.5. ADR-016 reconciles Payment, Reversal, provider-progress, reconciliation, module-ownership, and sensitive-action semantics. ADR-017 establishes tenant-wide Payment API idempotency. ADR-018 defines the Release 0.1 deterministic synchronous Risk model, versioned evidence, ownership, transactions, concurrency, and verification requirements. ADR-019 defines the Release 0.1 Ledger account model, identity, persistence relationships, posting validation, scope, and verification requirements. Low-level code structure may evolve, but the corrected invariants, ownership boundaries, delivery guarantees, security model, and scope controls remain authoritative until changed through the ADR process.</w:t>
            </w:r>
          </w:p>
        </w:tc>
      </w:tr>
    </w:tbl>
    <w:p>
      <w:pPr>
        <w:widowControl/>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LedgerOps | Technical Design and Architecture Specification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shd w:fill="F3F6F8"/>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Technical Design and Architecture Specification v1.4</dc:title>
  <dc:subject>Official engineering baseline for LedgerOps version 1.1</dc:subject>
  <dc:creator>Siddeg Omer</dc:creator>
  <cp:keywords>LedgerOps, Java, Spring Boot, architecture, Kafka, PostgreSQL, platform engineering</cp:keywords>
  <dc:description>Approved technical baseline v1.2 against Product Definition v1.3; reconciled through ADR-016 and ADR-017.</dc:description>
  <cp:lastModifiedBy>LedgerOps architecture reconciliation</cp:lastModifiedBy>
  <cp:revision>2</cp:revision>
  <dcterms:created xsi:type="dcterms:W3CDTF">2013-12-23T23:15:00Z</dcterms:created>
  <dcterms:modified xsi:type="dcterms:W3CDTF">2026-07-18T19:56:25Z</dcterms:modified>
  <cp:category/>
  <cp:version>1.4</cp:version>
</cp:coreProperties>
</file>