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Cross-cultural transferability of a frailty index for four-year mortality prediction: development and external validation in six longitudinal ageing cohorts</w:t>
      </w:r>
    </w:p>
    <w:p>
      <w:pPr>
        <w:spacing w:after="120"/>
      </w:pPr>
      <w:r>
        <w:rPr>
          <w:b/>
        </w:rPr>
        <w:t>Authors</w:t>
      </w:r>
      <w:r>
        <w:t>: [Author names to be added]</w:t>
      </w:r>
    </w:p>
    <w:p>
      <w:pPr>
        <w:spacing w:after="120"/>
      </w:pPr>
      <w:r>
        <w:rPr>
          <w:b/>
        </w:rPr>
        <w:t>Affiliations</w:t>
      </w:r>
      <w:r>
        <w:t>: [Affiliations to be added]</w:t>
      </w:r>
    </w:p>
    <w:p>
      <w:pPr>
        <w:spacing w:after="120"/>
      </w:pPr>
      <w:r>
        <w:rPr>
          <w:b/>
        </w:rPr>
        <w:t>Corresponding author</w:t>
      </w:r>
      <w:r>
        <w:t>: [Name, address, email]</w:t>
      </w:r>
    </w:p>
    <w:p>
      <w:pPr>
        <w:spacing w:after="120"/>
      </w:pPr>
      <w:r>
        <w:rPr>
          <w:b/>
        </w:rPr>
        <w:t>Word count</w:t>
      </w:r>
      <w:r>
        <w:t>: Abstract 331 (structured body, excluding keywords); main text 6,901 (Introduction 485, Methods 2,127, Results 2,322, Discussion 1,967; excludes tables, declarations, references and figure list)</w:t>
      </w:r>
    </w:p>
    <w:p>
      <w:pPr>
        <w:pStyle w:val="Heading2"/>
      </w:pPr>
      <w:r>
        <w:rPr>
          <w:rFonts w:ascii="Times New Roman" w:hAnsi="Times New Roman"/>
          <w:color w:val="000000"/>
        </w:rPr>
        <w:t>Abstract</w:t>
      </w:r>
    </w:p>
    <w:p>
      <w:pPr>
        <w:spacing w:after="120"/>
      </w:pPr>
      <w:r>
        <w:rPr>
          <w:b/>
        </w:rPr>
        <w:t>Background.</w:t>
      </w:r>
      <w:r>
        <w:t xml:space="preserve"> The Frailty Index (FI) predicts mortality reliably within single cohorts. Whether its discrimination and calibration survive transfer across cultural and health-system boundaries, and which components of performance loss can be recovered by recalibration, has not been established.</w:t>
      </w:r>
    </w:p>
    <w:p>
      <w:pPr>
        <w:spacing w:after="120"/>
      </w:pPr>
      <w:r>
        <w:rPr>
          <w:b/>
        </w:rPr>
        <w:t>Methods.</w:t>
      </w:r>
      <w:r>
        <w:t xml:space="preserve"> We developed a pooled logistic regression model for four-year all-cause mortality (predictors: FI, age, sex) in CHARLS 2011 (China; n = 7,551 aged ≥60 years; 771 deaths) and validated it externally in five cohorts: CLHLS (China), KLoSA (South Korea), HRS (United States), SHARE (27 European countries) and MHAS (Mexico). The FI comprised 41 harmonised deficits across seven domains, derived from Gateway to Global Aging definitions. A hierarchical recalibration ladder (L0–L3) decomposed performance loss into event-rate drift (L1), slope drift (L2) and full refitting (L3). Six hypotheses were pre-registered in a statistical analysis plan before any outcome–predictor analysis.</w:t>
      </w:r>
    </w:p>
    <w:p>
      <w:pPr>
        <w:spacing w:after="120"/>
      </w:pPr>
      <w:r>
        <w:rPr>
          <w:b/>
        </w:rPr>
        <w:t>Results.</w:t>
      </w:r>
      <w:r>
        <w:t xml:space="preserve"> Adding FI to demographic predictors raised the C-index from 0.736 to 0.771 (ΔC = 0.035; H1 supported). Across external cohorts, C-indices ranged from 0.72 to 0.84 and moved by no more than 0.003 under full recalibration, while L0 observed-to-expected ratios spanned 0.60 to 1.25 (H2 supported). Intercept-only recalibration accounted for 78–94% of the recoverable gain in the Index of Prediction Accuracy across the three validation cohorts (H4 supported). Expanding the training set from one Asian cohort to two produced no meaningful discrimination gain (|ΔC| ≤ 0.001; H3 not supported). In a supplementary analysis, FI showed a smaller cross-cohort |ΔC| than the WHO intrinsic capacity five-domain framework (0.052 vs. 0.095; H5 provisionally supported — CLHLS IC uses binary proxies; see §3.9). Age ranked first in feature importance in all six cohorts, but concordance in deficit-level importance was moderate (median Spearman ρ = 0.41; H6 partially supported).</w:t>
      </w:r>
    </w:p>
    <w:p>
      <w:pPr>
        <w:spacing w:after="120"/>
      </w:pPr>
      <w:r>
        <w:rPr>
          <w:b/>
        </w:rPr>
        <w:t>Conclusions.</w:t>
      </w:r>
      <w:r>
        <w:t xml:space="preserve"> FI discrimination transfers across diverse cultural settings without retraining. Calibration needs local adjustment, which a single intercept update based on the target-population event rate can largely deliver. Training-set diversity does not improve transferability; local recalibration is the more efficient route to deploying FI mortality models in new populations.</w:t>
      </w:r>
    </w:p>
    <w:p>
      <w:pPr>
        <w:spacing w:after="120"/>
      </w:pPr>
      <w:r>
        <w:rPr>
          <w:b/>
        </w:rPr>
        <w:t>Keywords</w:t>
      </w:r>
      <w:r>
        <w:t>: frailty index; mortality prediction; external validation; cross-cultural transferability; recalibration; ageing cohorts</w:t>
      </w:r>
    </w:p>
    <w:p>
      <w:pPr>
        <w:pStyle w:val="Heading2"/>
      </w:pPr>
      <w:r>
        <w:rPr>
          <w:rFonts w:ascii="Times New Roman" w:hAnsi="Times New Roman"/>
          <w:color w:val="000000"/>
        </w:rPr>
        <w:t>1. Introduction</w:t>
      </w:r>
    </w:p>
    <w:p>
      <w:pPr>
        <w:spacing w:after="120"/>
      </w:pPr>
      <w:r>
        <w:t>The global population aged 60 years and older is projected to grow from roughly 1.0 billion in 2020 to nearly 1.4 billion by 2030, and most of that growth will occur in low- and middle-income countries.[REF-1] Health status within this population is strikingly uneven. Within a single chronological age stratum, some individuals carry almost no functional limitation while others live with substantial multisystem disease burden, and their mortality risks can differ several-fold. Identifying who is at elevated risk is therefore a precondition for clinical decision-making, resource allocation and targeted prevention.</w:t>
      </w:r>
    </w:p>
    <w:p>
      <w:pPr>
        <w:spacing w:after="120"/>
      </w:pPr>
      <w:r>
        <w:t>Frailty is the construct most often used to capture that unevenness. Among available instruments, the Frailty Index (FI) proposed by Mitnitski and Rockwood[REF-2,REF-3] has been widely adopted in longitudinal ageing research: it is objectively quantified, flexible in item composition, and does not hinge on any single physical performance test. The FI is the sum of health deficits spanning comorbidity, function, sensory capacity and cognition, divided by the number of non-missing items, giving a continuous score between 0 and 1. Searle and colleagues set out a standard construction procedure,[REF-4] and single-cohort studies in European, North American and Asian populations have since shown the FI to predict four- to eight-year all-cause mortality independently of conventional demographic covariates.[REF-5,REF-6,REF-7]</w:t>
      </w:r>
    </w:p>
    <w:p>
      <w:pPr>
        <w:spacing w:after="120"/>
      </w:pPr>
      <w:r>
        <w:t xml:space="preserve">Almost all of that evidence comes from single high-income cohorts. Cross-cultural transferability has not been evaluated systematically, and two consequences follow. First, the countries ageing fastest, China and Mexico among them, would have to build local models at duplicated cost if models cannot be transported from high-income settings. Second, transfer faces three structural obstacles that a single summary statistic cannot separate: </w:t>
      </w:r>
      <w:r>
        <w:rPr>
          <w:b/>
        </w:rPr>
        <w:t>measurement non-equivalence</w:t>
      </w:r>
      <w:r>
        <w:t xml:space="preserve">, where the same nominal deficit is operationalised through different instruments, cut-points and linguistic contexts; </w:t>
      </w:r>
      <w:r>
        <w:rPr>
          <w:b/>
        </w:rPr>
        <w:t>event-rate divergence</w:t>
      </w:r>
      <w:r>
        <w:t xml:space="preserve">, with four-year mortality running from 8.7% in SHARE and 10.2% in CHARLS to 46.3% in CLHLS; and </w:t>
      </w:r>
      <w:r>
        <w:rPr>
          <w:b/>
        </w:rPr>
        <w:t>case-mix drift</w:t>
      </w:r>
      <w:r>
        <w:t xml:space="preserve"> in age distribution, comorbidity patterns and functional deficit prevalence. Prior multi-cohort ageing studies have generally reported one C-index without separating discrimination loss from calibration failure, and without offering an actionable recalibration framework. Existing prognostic index reviews highlight the need for external validation across populations before clinical deployment.[REF-18]</w:t>
      </w:r>
    </w:p>
    <w:p>
      <w:pPr>
        <w:spacing w:after="120"/>
      </w:pPr>
      <w:r>
        <w:t>We developed a 41-item FI model for four-year all-cause mortality in the China Health and Retirement Longitudinal Study (CHARLS) 2011 baseline cohort (n = 7,551 aged ≥60 years) and validated it externally in CLHLS, KLoSA, HRS, SHARE and MHAS. A hierarchical recalibration ladder (L0–L3) decomposed performance loss into attributable components: event-rate drift (L1), slope drift (L2) and full refitting (L3). This design lets us price each level of intervention separately. Six hypotheses (H1–H6) were pre-registered in a statistical analysis plan before any outcome–predictor analysis, and the study follows the TRIPOD+AI reporting guideline[REF-8] and the PROBAST-AI risk-of-bias framework.[REF-9] We set out to evaluate how far FI discrimination and calibration transfer across cultural settings, to quantify where performance loss comes from, and to determine whether a minimal recalibration step restores practical utility in a new population.</w:t>
      </w:r>
    </w:p>
    <w:p>
      <w:pPr>
        <w:pStyle w:val="Heading2"/>
      </w:pPr>
      <w:r>
        <w:rPr>
          <w:rFonts w:ascii="Times New Roman" w:hAnsi="Times New Roman"/>
          <w:color w:val="000000"/>
        </w:rPr>
        <w:t>2. Methods</w:t>
      </w:r>
    </w:p>
    <w:p>
      <w:pPr>
        <w:pStyle w:val="Heading3"/>
      </w:pPr>
      <w:r>
        <w:rPr>
          <w:rFonts w:ascii="Times New Roman" w:hAnsi="Times New Roman"/>
          <w:color w:val="000000"/>
        </w:rPr>
        <w:t>2.1 Study design</w:t>
      </w:r>
    </w:p>
    <w:p>
      <w:pPr>
        <w:spacing w:after="120"/>
      </w:pPr>
      <w:r>
        <w:t>This is a development-and-external-validation study of a clinical prediction model for four-year all-cause mortality in older adults, across six international longitudinal ageing cohorts. Design and reporting follow the TRIPOD+AI statement[REF-8] and the PROBAST-AI risk-of-bias framework.[REF-9] Three validation aims were pre-specified: internal-to-China transferability (Aim 1, CHARLS to CLHLS); leave-one-cohort-out analysis within an Asian pool (Aim 2); and transfer from the Asian pool to cohorts in the United States, Europe and Mexico (Aim 3). All analytic decisions were locked in a statistical analysis plan (SAP v1.0) before any outcome–predictor association was examined (git commit 9bc7b85, 2026-07-29).</w:t>
      </w:r>
    </w:p>
    <w:p>
      <w:pPr>
        <w:pStyle w:val="Heading3"/>
      </w:pPr>
      <w:r>
        <w:rPr>
          <w:rFonts w:ascii="Times New Roman" w:hAnsi="Times New Roman"/>
          <w:color w:val="000000"/>
        </w:rPr>
        <w:t>2.2 Data sources</w:t>
      </w:r>
    </w:p>
    <w:p>
      <w:pPr>
        <w:spacing w:after="120"/>
      </w:pPr>
      <w:r>
        <w:t>Six publicly available longitudinal ageing cohorts were used (Table 1). All data were obtained through official application to each archive. Raw files were held read-only; derived analytic files were written to a separate directory.</w:t>
      </w:r>
    </w:p>
    <w:p>
      <w:pPr>
        <w:pStyle w:val="Heading3"/>
      </w:pPr>
      <w:r>
        <w:rPr>
          <w:rFonts w:ascii="Times New Roman" w:hAnsi="Times New Roman"/>
          <w:color w:val="000000"/>
        </w:rPr>
        <w:t>2.3 Participants</w:t>
      </w:r>
    </w:p>
    <w:p>
      <w:pPr>
        <w:spacing w:after="120"/>
      </w:pPr>
      <w:r>
        <w:t>Common eligibility criteria were age ≥60 years at baseline, being alive and having completed the baseline personal interview, and a computable FI (§2.5).</w:t>
      </w:r>
    </w:p>
    <w:p>
      <w:pPr>
        <w:spacing w:after="120"/>
      </w:pPr>
      <w:r>
        <w:t xml:space="preserve">Cohort-specific handling was as follows. In </w:t>
      </w:r>
      <w:r>
        <w:rPr>
          <w:b/>
        </w:rPr>
        <w:t>CHARLS</w:t>
      </w:r>
      <w:r>
        <w:t xml:space="preserve">, individual identifiers differ in length between wave 1 (11 digits) and later waves (12 digits), so cross-wave linkage used the Gateway-validated rule </w:t>
      </w:r>
      <w:r>
        <w:rPr>
          <w:rFonts w:ascii="Consolas" w:hAnsi="Consolas"/>
          <w:sz w:val="19"/>
        </w:rPr>
        <w:t>pid_w2+ = householdID_w1 + "0" + id_w1[last 2 digits]</w:t>
      </w:r>
      <w:r>
        <w:t xml:space="preserve">, giving linkage rates of 85.5% for the 2015 wave and 81.3% for 2018. In </w:t>
      </w:r>
      <w:r>
        <w:rPr>
          <w:b/>
        </w:rPr>
        <w:t>CLHLS</w:t>
      </w:r>
      <w:r>
        <w:t xml:space="preserve">, 45 participants whose recorded death date preceded their baseline interview date (range −306 to −1 days) were flagged as pre-baseline deaths; their outcome was set to missing and they were excluded from time-to-event analysis. </w:t>
      </w:r>
      <w:r>
        <w:rPr>
          <w:b/>
        </w:rPr>
        <w:t>SHARE</w:t>
      </w:r>
      <w:r>
        <w:t xml:space="preserve"> was restricted to participants interviewed in 2011 at wave 4, to align with the 2011–2015 follow-up window used elsewhere, retaining 94.1% of wave-4 records (54,550 of 57,982). In </w:t>
      </w:r>
      <w:r>
        <w:rPr>
          <w:b/>
        </w:rPr>
        <w:t>MHAS</w:t>
      </w:r>
      <w:r>
        <w:t>, age was taken from the direct report (</w:t>
      </w:r>
      <w:r>
        <w:rPr>
          <w:rFonts w:ascii="Consolas" w:hAnsi="Consolas"/>
          <w:sz w:val="19"/>
        </w:rPr>
        <w:t>r3agey</w:t>
      </w:r>
      <w:r>
        <w:t>) where available and otherwise derived as interview year minus birth year (</w:t>
      </w:r>
      <w:r>
        <w:rPr>
          <w:rFonts w:ascii="Consolas" w:hAnsi="Consolas"/>
          <w:sz w:val="19"/>
        </w:rPr>
        <w:t>r3iwy − rabyear</w:t>
      </w:r>
      <w:r>
        <w:t xml:space="preserve">), with implausible values (&lt;20 or &gt;110 years) set to missing. For </w:t>
      </w:r>
      <w:r>
        <w:rPr>
          <w:b/>
        </w:rPr>
        <w:t>KLoSA</w:t>
      </w:r>
      <w:r>
        <w:t>, wave 4 (2012) served as baseline and only participants interviewed at that wave were included.</w:t>
      </w:r>
    </w:p>
    <w:p>
      <w:pPr>
        <w:spacing w:after="120"/>
      </w:pPr>
      <w:r>
        <w:t>Participants were excluded for missing baseline age, or when the number of non-missing deficit items fell below the cohort-specific computability threshold (§2.5).</w:t>
      </w:r>
    </w:p>
    <w:p>
      <w:pPr>
        <w:pStyle w:val="Heading3"/>
      </w:pPr>
      <w:r>
        <w:rPr>
          <w:rFonts w:ascii="Times New Roman" w:hAnsi="Times New Roman"/>
          <w:color w:val="000000"/>
        </w:rPr>
        <w:t>2.4 Primary outcome</w:t>
      </w:r>
    </w:p>
    <w:p>
      <w:pPr>
        <w:spacing w:after="120"/>
      </w:pPr>
      <w:r>
        <w:t>The primary outcome was four-year all-cause mortality from baseline.</w:t>
      </w:r>
    </w:p>
    <w:p>
      <w:pPr>
        <w:spacing w:after="120"/>
      </w:pPr>
      <w:r>
        <w:t>CHARLS death records from 2015 onwards carry only a wave-level indicator (</w:t>
      </w:r>
      <w:r>
        <w:rPr>
          <w:rFonts w:ascii="Consolas" w:hAnsi="Consolas"/>
          <w:sz w:val="19"/>
        </w:rPr>
        <w:t>died_by_wave</w:t>
      </w:r>
      <w:r>
        <w:t>) with no exact date, so follow-up was modelled in a discrete-time survival framework[REF-10] with two risk periods: baseline (2011) to the 2013 exit interview, roughly two years, and the 2013 exit interview to the 2015 wave, again roughly two years. The primary binary outcome takes the value 1 if death occurred in either period (approximately 2011–2015) and 0 otherwise. For validation cohorts holding exact death dates (CLHLS, HRS, SHARE, MHAS) the equivalent cut-point was ≤1,461 days (4 × 365.25) after baseline interview. KLoSA vital status came from wave-level survival tracking.</w:t>
      </w:r>
    </w:p>
    <w:p>
      <w:pPr>
        <w:spacing w:after="120"/>
      </w:pPr>
      <w:r>
        <w:t>A pre-specified sensitivity outcome was all-cause mortality within approximately seven years (periods 1 + 2 + 3, 2011–2018), assessable in CHARLS and CLHLS only.</w:t>
      </w:r>
    </w:p>
    <w:p>
      <w:pPr>
        <w:pStyle w:val="Heading3"/>
      </w:pPr>
      <w:r>
        <w:rPr>
          <w:rFonts w:ascii="Times New Roman" w:hAnsi="Times New Roman"/>
          <w:color w:val="000000"/>
        </w:rPr>
        <w:t>2.5 Frailty index construction</w:t>
      </w:r>
    </w:p>
    <w:p>
      <w:pPr>
        <w:spacing w:after="120"/>
      </w:pPr>
      <w:r>
        <w:t>The FI followed the deficit-accumulation model: FI = Σ(deficit scores) / number of non-missing items, bounded [0, 1].[REF-4]</w:t>
      </w:r>
    </w:p>
    <w:p>
      <w:pPr>
        <w:spacing w:after="120"/>
      </w:pPr>
      <w:r>
        <w:rPr>
          <w:b/>
        </w:rPr>
        <w:t>Harmonisation route.</w:t>
      </w:r>
      <w:r>
        <w:t xml:space="preserve"> Gateway to Global Aging distributes harmonised datasets for HRS, SHARE and MHAS, but for CHARLS and KLoSA it distributes only the Stata </w:t>
      </w:r>
      <w:r>
        <w:rPr>
          <w:rFonts w:ascii="Consolas" w:hAnsi="Consolas"/>
          <w:sz w:val="19"/>
        </w:rPr>
        <w:t>.do</w:t>
      </w:r>
      <w:r>
        <w:t xml:space="preserve"> scripts that generate them.[REF-19] Rather than acquire a Stata licence, we parsed those scripts to extract each deficit definition (source variables, missing-value codes, skip-logic rules, recoding statements) and re-implemented them in Python and R. Because the </w:t>
      </w:r>
      <w:r>
        <w:rPr>
          <w:rFonts w:ascii="Consolas" w:hAnsi="Consolas"/>
          <w:sz w:val="19"/>
        </w:rPr>
        <w:t>.do</w:t>
      </w:r>
      <w:r>
        <w:t xml:space="preserve"> file </w:t>
      </w:r>
      <w:r>
        <w:rPr>
          <w:i/>
        </w:rPr>
        <w:t>is</w:t>
      </w:r>
      <w:r>
        <w:t xml:space="preserve"> the definition of a harmonised variable, this route is informationally equivalent to using a pre-built harmonised file. The two differ in who executes the recipe, not in the recipe.</w:t>
      </w:r>
    </w:p>
    <w:p>
      <w:pPr>
        <w:spacing w:after="120"/>
      </w:pPr>
      <w:r>
        <w:t xml:space="preserve">The re-implementation is auditable at item level. Each of the 41 deficits is recorded with the line number of its defining statement in </w:t>
      </w:r>
      <w:r>
        <w:rPr>
          <w:rFonts w:ascii="Consolas" w:hAnsi="Consolas"/>
          <w:sz w:val="19"/>
        </w:rPr>
        <w:t>bbxleyec.do</w:t>
      </w:r>
      <w:r>
        <w:t xml:space="preserve"> (Supplementary Table S1), so a reader can check any item against the official source. That is arguably more transparent than relying on a distributed harmonised file whose internal derivation is not exposed. Extraction hit 44 of 44 target items with no misses; two transcription errors found during verification were corrected before analysis (</w:t>
      </w:r>
      <w:r>
        <w:rPr>
          <w:rFonts w:ascii="Consolas" w:hAnsi="Consolas"/>
          <w:sz w:val="19"/>
        </w:rPr>
        <w:t>hearaid</w:t>
      </w:r>
      <w:r>
        <w:t xml:space="preserve"> source variable </w:t>
      </w:r>
      <w:r>
        <w:rPr>
          <w:rFonts w:ascii="Consolas" w:hAnsi="Consolas"/>
          <w:sz w:val="19"/>
        </w:rPr>
        <w:t>da040</w:t>
      </w:r>
      <w:r>
        <w:t>→</w:t>
      </w:r>
      <w:r>
        <w:rPr>
          <w:rFonts w:ascii="Consolas" w:hAnsi="Consolas"/>
          <w:sz w:val="19"/>
        </w:rPr>
        <w:t>da038</w:t>
      </w:r>
      <w:r>
        <w:t xml:space="preserve">; </w:t>
      </w:r>
      <w:r>
        <w:rPr>
          <w:rFonts w:ascii="Consolas" w:hAnsi="Consolas"/>
          <w:sz w:val="19"/>
        </w:rPr>
        <w:t>slfmem</w:t>
      </w:r>
      <w:r>
        <w:t xml:space="preserve"> </w:t>
      </w:r>
      <w:r>
        <w:rPr>
          <w:rFonts w:ascii="Consolas" w:hAnsi="Consolas"/>
          <w:sz w:val="19"/>
        </w:rPr>
        <w:t>db032</w:t>
      </w:r>
      <w:r>
        <w:t>→</w:t>
      </w:r>
      <w:r>
        <w:rPr>
          <w:rFonts w:ascii="Consolas" w:hAnsi="Consolas"/>
          <w:sz w:val="19"/>
        </w:rPr>
        <w:t>dc004</w:t>
      </w:r>
      <w:r>
        <w:t>).</w:t>
      </w:r>
    </w:p>
    <w:p>
      <w:pPr>
        <w:spacing w:after="120"/>
      </w:pPr>
      <w:r>
        <w:t xml:space="preserve">The main residual risk of this route is implementation divergence from the official build. Three safeguards were applied: item-level line-number provenance as above; cross-referencing of coding conventions against the 11,779 pre-built harmonised variables in Harmonized ELSA G.3; and distributional checks after each cohort's FI was built. Of those checks, </w:t>
      </w:r>
      <w:r>
        <w:rPr>
          <w:rFonts w:ascii="Consolas" w:hAnsi="Consolas"/>
          <w:sz w:val="19"/>
        </w:rPr>
        <w:t>max(FI) ≤ 1</w:t>
      </w:r>
      <w:r>
        <w:t xml:space="preserve"> proved the most informative, catching a Likert-scale direction error in the SHARE and MHAS builds that had pushed FI above 1.</w:t>
      </w:r>
    </w:p>
    <w:p>
      <w:pPr>
        <w:spacing w:after="120"/>
      </w:pPr>
      <w:r>
        <w:t>The final 41-item list (locked 2026-07-28) spans seven domains: chronic conditions (13 items), ADL (6), IADL (5), mobility (9), sensory (3), general health (4) and a cognitive proxy (1, memory self-rating, available in 5 of 6 cohorts). The full specification with source line numbers appears in Supplementary Table S1.</w:t>
      </w:r>
    </w:p>
    <w:p>
      <w:pPr>
        <w:spacing w:after="120"/>
      </w:pPr>
      <w:r>
        <w:t>Coding rules were as follows. All deficits were dichotomised (0 = absent, 1 = present). Likert-scale items (near vision, distance vision, hearing, self-rated health, memory self-rating) were rescaled as (</w:t>
      </w:r>
      <w:r>
        <w:rPr>
          <w:i/>
        </w:rPr>
        <w:t>raw</w:t>
      </w:r>
      <w:r>
        <w:t xml:space="preserve"> − 1) / 4 onto [0, 1] before inclusion. ADL items used the "some difficulty" variant, and the skip-logic imputation rule assigned 0 rather than missing where all prerequisite items were answered "no difficulty" (Gateway </w:t>
      </w:r>
      <w:r>
        <w:rPr>
          <w:rFonts w:ascii="Consolas" w:hAnsi="Consolas"/>
          <w:sz w:val="19"/>
        </w:rPr>
        <w:t>.do</w:t>
      </w:r>
      <w:r>
        <w:t xml:space="preserve"> line 6484). BMI deficits used WHO cut-points (&lt;18.5 or ≥30 kg/m²). An FI was computed only when non-missing items reached ⌈0.8 × available stems⌉ for that cohort, which gives a threshold of 22 for MHAS (27 of 41 stems available) and 33 for the others (41 of 41).</w:t>
      </w:r>
    </w:p>
    <w:p>
      <w:pPr>
        <w:spacing w:after="120"/>
      </w:pPr>
      <w:r>
        <w:t xml:space="preserve">Three items from the original 44-candidate list were dropped before analysis: </w:t>
      </w:r>
      <w:r>
        <w:rPr>
          <w:rFonts w:ascii="Consolas" w:hAnsi="Consolas"/>
          <w:sz w:val="19"/>
        </w:rPr>
        <w:t>hearaid</w:t>
      </w:r>
      <w:r>
        <w:t xml:space="preserve"> (positive rate below 1% in CHARLS, and not comparable across cohorts), </w:t>
      </w:r>
      <w:r>
        <w:rPr>
          <w:rFonts w:ascii="Consolas" w:hAnsi="Consolas"/>
          <w:sz w:val="19"/>
        </w:rPr>
        <w:t>hlthlm_c</w:t>
      </w:r>
      <w:r>
        <w:t xml:space="preserve"> (35.1% missing in CHARLS 60+) and </w:t>
      </w:r>
      <w:r>
        <w:rPr>
          <w:rFonts w:ascii="Consolas" w:hAnsi="Consolas"/>
          <w:sz w:val="19"/>
        </w:rPr>
        <w:t>mbmicata</w:t>
      </w:r>
      <w:r>
        <w:t xml:space="preserve"> (redundant with the continuous BMI item). For HRS, eight stems were unavailable in the harmonised Fat File and documented substitutes were used where feasible; two of those carry measurement-proxy limitations noted in the supplementary methods, namely </w:t>
      </w:r>
      <w:r>
        <w:rPr>
          <w:rFonts w:ascii="Consolas" w:hAnsi="Consolas"/>
          <w:sz w:val="19"/>
        </w:rPr>
        <w:t>dyslipe</w:t>
      </w:r>
      <w:r>
        <w:t xml:space="preserve"> (cholesterol testing behaviour standing in for diagnosis) and </w:t>
      </w:r>
      <w:r>
        <w:rPr>
          <w:rFonts w:ascii="Consolas" w:hAnsi="Consolas"/>
          <w:sz w:val="19"/>
        </w:rPr>
        <w:t>kidneye</w:t>
      </w:r>
      <w:r>
        <w:t xml:space="preserve"> (diabetes-complication kidney disease only).</w:t>
      </w:r>
    </w:p>
    <w:p>
      <w:pPr>
        <w:pStyle w:val="Heading3"/>
      </w:pPr>
      <w:r>
        <w:rPr>
          <w:rFonts w:ascii="Times New Roman" w:hAnsi="Times New Roman"/>
          <w:color w:val="000000"/>
        </w:rPr>
        <w:t>2.6 Covariates</w:t>
      </w:r>
    </w:p>
    <w:p>
      <w:pPr>
        <w:spacing w:after="120"/>
      </w:pPr>
      <w:r>
        <w:t>All models included age (continuous, years) and sex (0 = female, 1 = male). Education was available in all six cohorts, with 100% identifier linkage and 0.00–0.53% missingness. It was nonetheless excluded from the primary model to preserve the pre-registered specification, because the availability audit post-dated outcome unblinding. Cross-cohort comparability would require mapping three survey-specific education scales (CHARLS 11-level, CLHLS years of schooling, KLoSA 4-level) onto the Gateway-harmonised ISCED three-level variable used by HRS, SHARE and MHAS, and that mapping was necessarily made after unblinding. Education adjustment is examined in post hoc sensitivity analysis SA-3 (§2.9).</w:t>
      </w:r>
    </w:p>
    <w:p>
      <w:pPr>
        <w:spacing w:after="120"/>
      </w:pPr>
      <w:r>
        <w:t xml:space="preserve">For Aims 2 and 3, sex was omitted from the specification because the KLoSA FI file carries no harmonised sex variable. To keep one model form across all LOCO and Asian-pool analyses we used </w:t>
      </w:r>
      <w:r>
        <w:rPr>
          <w:rFonts w:ascii="Consolas" w:hAnsi="Consolas"/>
          <w:sz w:val="19"/>
        </w:rPr>
        <w:t>event ~ fi_full + age</w:t>
      </w:r>
      <w:r>
        <w:t xml:space="preserve">. Aim 1 retained sex: </w:t>
      </w:r>
      <w:r>
        <w:rPr>
          <w:rFonts w:ascii="Consolas" w:hAnsi="Consolas"/>
          <w:sz w:val="19"/>
        </w:rPr>
        <w:t>event ~ fi_full + age + sex</w:t>
      </w:r>
      <w:r>
        <w:t>. This difference in specification means Aim 1 and Aims 2/3 performance figures are not directly comparable; Aim 1 provides an indicative upper bound on discrimination achievable when sex is available.</w:t>
      </w:r>
    </w:p>
    <w:p>
      <w:pPr>
        <w:pStyle w:val="Heading3"/>
      </w:pPr>
      <w:r>
        <w:rPr>
          <w:rFonts w:ascii="Times New Roman" w:hAnsi="Times New Roman"/>
          <w:color w:val="000000"/>
        </w:rPr>
        <w:t>2.7 Missing data</w:t>
      </w:r>
    </w:p>
    <w:p>
      <w:pPr>
        <w:spacing w:after="120"/>
      </w:pPr>
      <w:r>
        <w:t>FI missingness was handled by the computability threshold (§2.5); participants with too many missing deficit items were excluded and no external imputation was applied to FI components.</w:t>
      </w:r>
    </w:p>
    <w:p>
      <w:pPr>
        <w:spacing w:after="120"/>
      </w:pPr>
      <w:r>
        <w:t>Loss to follow-up was treated as censoring, not imputed as survival. In CLHLS, 2,072 of 9,207 FI-eligible participants (22.9%) had a missing four-year outcome because the death date was irrecoverable or follow-up was lost. Complete-case analysis was primary; an inverse-probability-of-censoring weighting (IPCW) sensitivity analysis was pre-specified and is reported in §3.7. Age and sex were near-complete in all cohorts (&lt;0.5% missing), so no imputation was required.</w:t>
      </w:r>
    </w:p>
    <w:p>
      <w:pPr>
        <w:pStyle w:val="Heading3"/>
      </w:pPr>
      <w:r>
        <w:rPr>
          <w:rFonts w:ascii="Times New Roman" w:hAnsi="Times New Roman"/>
          <w:color w:val="000000"/>
        </w:rPr>
        <w:t>2.8 Statistical analysis</w:t>
      </w:r>
    </w:p>
    <w:p>
      <w:pPr>
        <w:spacing w:after="120"/>
      </w:pPr>
      <w:r>
        <w:rPr>
          <w:b/>
        </w:rPr>
        <w:t>Model development.</w:t>
      </w:r>
      <w:r>
        <w:t xml:space="preserve"> The development dataset was a person-period long table with one row per participant per risk period: 14,551 rows, 7,551 participants, 771 events across periods 1 and 2. Two pooled logistic regression models were fitted:</w:t>
      </w:r>
    </w:p>
    <w:p>
      <w:pPr>
        <w:pStyle w:val="ListBullet"/>
      </w:pPr>
      <w:r>
        <w:t>Model A (demographic baseline): logit(</w:t>
      </w:r>
      <w:r>
        <w:rPr>
          <w:i/>
        </w:rPr>
        <w:t>P</w:t>
      </w:r>
      <w:r>
        <w:t>ₜ) = β₀ + β_age·age + β_sex·sex + γₜ</w:t>
      </w:r>
    </w:p>
    <w:p>
      <w:pPr>
        <w:pStyle w:val="ListBullet"/>
      </w:pPr>
      <w:r>
        <w:t>Model B (FI model, primary): logit(</w:t>
      </w:r>
      <w:r>
        <w:rPr>
          <w:i/>
        </w:rPr>
        <w:t>P</w:t>
      </w:r>
      <w:r>
        <w:t>ₜ) = β₀ + β_FI·FI + β_age·age + β_sex·sex + γₜ</w:t>
      </w:r>
    </w:p>
    <w:p>
      <w:pPr>
        <w:spacing w:after="120"/>
      </w:pPr>
      <w:r>
        <w:t>where γₜ is a period indicator (period 2 vs. 1). A complementary log-log model was fitted alongside as a sensitivity check on the link-function assumption; it yielded C-index and calibration estimates within 0.001 of the pooled logistic results, so the link-function choice is not material to the conclusions.</w:t>
      </w:r>
    </w:p>
    <w:p>
      <w:pPr>
        <w:spacing w:after="120"/>
      </w:pPr>
      <w:r>
        <w:t xml:space="preserve">Four-year cumulative predicted probability in external cohorts was derived as </w:t>
      </w:r>
      <w:r>
        <w:rPr>
          <w:i/>
        </w:rPr>
        <w:t>P</w:t>
      </w:r>
      <w:r>
        <w:t xml:space="preserve">(4-year death) = 1 − (1 − </w:t>
      </w:r>
      <w:r>
        <w:rPr>
          <w:i/>
        </w:rPr>
        <w:t>ĥ</w:t>
      </w:r>
      <w:r>
        <w:t xml:space="preserve">₁)(1 − </w:t>
      </w:r>
      <w:r>
        <w:rPr>
          <w:i/>
        </w:rPr>
        <w:t>ĥ</w:t>
      </w:r>
      <w:r>
        <w:t xml:space="preserve">₂), where </w:t>
      </w:r>
      <w:r>
        <w:rPr>
          <w:i/>
        </w:rPr>
        <w:t>ĥ</w:t>
      </w:r>
      <w:r>
        <w:t>ₜ = logistic(β̂′</w:t>
      </w:r>
      <w:r>
        <w:rPr>
          <w:b/>
        </w:rPr>
        <w:t>x</w:t>
      </w:r>
      <w:r>
        <w:t xml:space="preserve"> + γ̂ₜ), applying CHARLS-frozen coefficients without refitting.</w:t>
      </w:r>
    </w:p>
    <w:p>
      <w:pPr>
        <w:spacing w:after="120"/>
      </w:pPr>
      <w:r>
        <w:t>Optimism correction used Harrell's person-level bootstrap (B = 200). Mean optimism was 0.0004 (SD 0.0085; 95% bootstrap interval −0.015 to +0.019), giving an optimism-corrected C-index of 0.7701 against an apparent 0.7705, a shrinkage factor of 0.9995. Overfitting in this sample is therefore negligible.</w:t>
      </w:r>
    </w:p>
    <w:p>
      <w:pPr>
        <w:spacing w:after="120"/>
      </w:pPr>
      <w:r>
        <w:rPr>
          <w:b/>
        </w:rPr>
        <w:t>Validation structure.</w:t>
      </w:r>
      <w:r>
        <w:t xml:space="preserve"> Aim 1 froze CHARLS Model B coefficients and applied them to CLHLS, computing the full metric set. Aim 2 ran three leave-one-cohort-out rounds: CLHLS + KLoSA training with CHARLS as test (Round A); CHARLS + KLoSA training with CLHLS as test (Round B); and CHARLS + CLHLS training with KLoSA as test (Round C). To separate training-set diversity from sample size, a down-sampling bootstrap (200 replications, reduced to the CHARLS n = 7,551) served as the control comparison for H3. Aim 3 pooled CHARLS, CLHLS and KLoSA into an Asian training set (N = 19,934; 4,563 events; event rate 22.9%) and applied the frozen pool coefficients separately to HRS, SHARE and MHAS, with an additional analysis of country-level C-indices across SHARE's 19 participating countries and regions.</w:t>
      </w:r>
    </w:p>
    <w:p>
      <w:pPr>
        <w:spacing w:after="120"/>
      </w:pPr>
      <w:r>
        <w:rPr>
          <w:b/>
        </w:rPr>
        <w:t>Performance metrics.</w:t>
      </w:r>
      <w:r>
        <w:t xml:space="preserve"> Discrimination was assessed by Harrell's C-index[REF-13] with 95% bootstrap confidence intervals, treating ≥0.70 as clinically useful, and by FI incremental discrimination (ΔC = C_B − C_A), for which the H1 threshold was ΔC ≥ 0.02. Calibration was assessed by the observed-to-expected ratio (ideal 1.0), calibration intercept (ideal 0) and calibration slope (ideal 1.0). Overall accuracy used the Brier score and the Index of Prediction Accuracy (IPA = 1 − Brier / Brier_null),[REF-12] where values above 0 indicate performance better than a null model.</w:t>
      </w:r>
    </w:p>
    <w:p>
      <w:pPr>
        <w:spacing w:after="120"/>
      </w:pPr>
      <w:r>
        <w:rPr>
          <w:b/>
        </w:rPr>
        <w:t>Recalibration ladder.</w:t>
      </w:r>
      <w:r>
        <w:t xml:space="preserve"> For each source–target pair in Aim 3, and for the L1 update in Aim 2, four successive levels were applied:[REF-11] L0, the frozen model with no adjustment; L1, an intercept update maximising the log-likelihood with slope fixed at 1; L2, a two-parameter intercept-and-slope calibration on the linear predictor; and L3, a full refit of </w:t>
      </w:r>
      <w:r>
        <w:rPr>
          <w:rFonts w:ascii="Consolas" w:hAnsi="Consolas"/>
          <w:sz w:val="19"/>
        </w:rPr>
        <w:t>event ~ fi_full + age</w:t>
      </w:r>
      <w:r>
        <w:t>. The ladder isolates the contribution of event-rate drift (L0→L1), slope drift (L1→L2) and predictor-effect heterogeneity (L2→L3). L3 is treated as the empirical calibration ceiling achievable on the available target-cohort data; in cohorts with very small event counts overfitting at L3 could narrow this gap, but EPV values of 58–350 across all cohorts make this unlikely here.</w:t>
      </w:r>
    </w:p>
    <w:p>
      <w:pPr>
        <w:pStyle w:val="Heading3"/>
      </w:pPr>
      <w:r>
        <w:rPr>
          <w:rFonts w:ascii="Times New Roman" w:hAnsi="Times New Roman"/>
          <w:color w:val="000000"/>
        </w:rPr>
        <w:t>2.9 Sensitivity analyses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after="0"/>
            </w:pPr>
            <w:r>
              <w:rPr>
                <w:b/>
                <w:sz w:val="17"/>
              </w:rPr>
            </w:r>
            <w:r>
              <w:rPr>
                <w:b/>
                <w:sz w:val="17"/>
              </w:rPr>
              <w:t>ID</w:t>
            </w:r>
          </w:p>
        </w:tc>
        <w:tc>
          <w:tcPr>
            <w:tcW w:type="dxa" w:w="2268"/>
          </w:tcPr>
          <w:p>
            <w:pPr>
              <w:spacing w:line="240" w:lineRule="auto" w:after="0"/>
            </w:pPr>
            <w:r>
              <w:rPr>
                <w:b/>
                <w:sz w:val="17"/>
              </w:rPr>
            </w:r>
            <w:r>
              <w:rPr>
                <w:b/>
                <w:sz w:val="17"/>
              </w:rPr>
              <w:t>Analysis</w:t>
            </w:r>
          </w:p>
        </w:tc>
        <w:tc>
          <w:tcPr>
            <w:tcW w:type="dxa" w:w="2268"/>
          </w:tcPr>
          <w:p>
            <w:pPr>
              <w:spacing w:line="240" w:lineRule="auto" w:after="0"/>
            </w:pPr>
            <w:r>
              <w:rPr>
                <w:b/>
                <w:sz w:val="17"/>
              </w:rPr>
            </w:r>
            <w:r>
              <w:rPr>
                <w:b/>
                <w:sz w:val="17"/>
              </w:rPr>
              <w:t>Specification</w:t>
            </w:r>
          </w:p>
        </w:tc>
        <w:tc>
          <w:tcPr>
            <w:tcW w:type="dxa" w:w="2268"/>
          </w:tcPr>
          <w:p>
            <w:pPr>
              <w:spacing w:line="240" w:lineRule="auto" w:after="0"/>
            </w:pPr>
            <w:r>
              <w:rPr>
                <w:b/>
                <w:sz w:val="17"/>
              </w:rPr>
            </w:r>
          </w:p>
        </w:tc>
      </w:tr>
      <w:tr>
        <w:tc>
          <w:tcPr>
            <w:tcW w:type="dxa" w:w="2268"/>
          </w:tcPr>
          <w:p>
            <w:pPr>
              <w:spacing w:line="240" w:lineRule="auto" w:after="0"/>
            </w:pPr>
            <w:r>
              <w:rPr>
                <w:sz w:val="17"/>
              </w:rPr>
            </w:r>
            <w:r>
              <w:rPr>
                <w:sz w:val="17"/>
              </w:rPr>
              <w:t>SA-1</w:t>
            </w:r>
          </w:p>
        </w:tc>
        <w:tc>
          <w:tcPr>
            <w:tcW w:type="dxa" w:w="2268"/>
          </w:tcPr>
          <w:p>
            <w:pPr>
              <w:spacing w:line="240" w:lineRule="auto" w:after="0"/>
            </w:pPr>
            <w:r>
              <w:rPr>
                <w:sz w:val="17"/>
              </w:rPr>
            </w:r>
            <w:r>
              <w:rPr>
                <w:sz w:val="17"/>
              </w:rPr>
              <w:t>FI_core (19 items)</w:t>
            </w:r>
          </w:p>
        </w:tc>
        <w:tc>
          <w:tcPr>
            <w:tcW w:type="dxa" w:w="2268"/>
          </w:tcPr>
          <w:p>
            <w:pPr>
              <w:spacing w:line="240" w:lineRule="auto" w:after="0"/>
            </w:pPr>
            <w:r>
              <w:rPr>
                <w:sz w:val="17"/>
              </w:rPr>
            </w:r>
            <w:r>
              <w:rPr>
                <w:sz w:val="17"/>
              </w:rPr>
              <w:t>Strict cross-cohort common item set; unified threshold ⌈0.8 × 19⌉ = 16; applied to Aims 1 and 3 (§3.10)</w:t>
            </w:r>
          </w:p>
        </w:tc>
        <w:tc>
          <w:tcPr>
            <w:tcW w:type="dxa" w:w="2268"/>
          </w:tcPr>
          <w:p>
            <w:pPr>
              <w:spacing w:line="240" w:lineRule="auto" w:after="0"/>
            </w:pPr>
            <w:r>
              <w:rPr>
                <w:sz w:val="17"/>
              </w:rPr>
            </w:r>
          </w:p>
        </w:tc>
      </w:tr>
      <w:tr>
        <w:tc>
          <w:tcPr>
            <w:tcW w:type="dxa" w:w="2268"/>
          </w:tcPr>
          <w:p>
            <w:pPr>
              <w:spacing w:line="240" w:lineRule="auto" w:after="0"/>
            </w:pPr>
            <w:r>
              <w:rPr>
                <w:sz w:val="17"/>
              </w:rPr>
            </w:r>
            <w:r>
              <w:rPr>
                <w:sz w:val="17"/>
              </w:rPr>
              <w:t>SA-2</w:t>
            </w:r>
          </w:p>
        </w:tc>
        <w:tc>
          <w:tcPr>
            <w:tcW w:type="dxa" w:w="2268"/>
          </w:tcPr>
          <w:p>
            <w:pPr>
              <w:spacing w:line="240" w:lineRule="auto" w:after="0"/>
            </w:pPr>
            <w:r>
              <w:rPr>
                <w:sz w:val="17"/>
              </w:rPr>
            </w:r>
            <w:r>
              <w:rPr>
                <w:sz w:val="17"/>
              </w:rPr>
              <w:t>IPCW (CLHLS)</w:t>
            </w:r>
          </w:p>
        </w:tc>
        <w:tc>
          <w:tcPr>
            <w:tcW w:type="dxa" w:w="2268"/>
          </w:tcPr>
          <w:p>
            <w:pPr>
              <w:spacing w:line="240" w:lineRule="auto" w:after="0"/>
            </w:pPr>
            <w:r>
              <w:rPr>
                <w:sz w:val="17"/>
              </w:rPr>
            </w:r>
            <w:r>
              <w:rPr>
                <w:sz w:val="17"/>
              </w:rPr>
              <w:t>Censoring model P(observed \</w:t>
            </w:r>
          </w:p>
        </w:tc>
        <w:tc>
          <w:tcPr>
            <w:tcW w:type="dxa" w:w="2268"/>
          </w:tcPr>
          <w:p>
            <w:pPr>
              <w:spacing w:line="240" w:lineRule="auto" w:after="0"/>
            </w:pPr>
            <w:r>
              <w:rPr>
                <w:sz w:val="17"/>
              </w:rPr>
            </w:r>
            <w:r>
              <w:rPr>
                <w:sz w:val="17"/>
              </w:rPr>
              <w:t>fi_full, age, sex); weights truncated at the 99th percentile</w:t>
            </w:r>
          </w:p>
        </w:tc>
      </w:tr>
      <w:tr>
        <w:tc>
          <w:tcPr>
            <w:tcW w:type="dxa" w:w="2268"/>
          </w:tcPr>
          <w:p>
            <w:pPr>
              <w:spacing w:line="240" w:lineRule="auto" w:after="0"/>
            </w:pPr>
            <w:r>
              <w:rPr>
                <w:sz w:val="17"/>
              </w:rPr>
            </w:r>
            <w:r>
              <w:rPr>
                <w:sz w:val="17"/>
              </w:rPr>
              <w:t>SA-3†</w:t>
            </w:r>
          </w:p>
        </w:tc>
        <w:tc>
          <w:tcPr>
            <w:tcW w:type="dxa" w:w="2268"/>
          </w:tcPr>
          <w:p>
            <w:pPr>
              <w:spacing w:line="240" w:lineRule="auto" w:after="0"/>
            </w:pPr>
            <w:r>
              <w:rPr>
                <w:sz w:val="17"/>
              </w:rPr>
            </w:r>
            <w:r>
              <w:rPr>
                <w:sz w:val="17"/>
              </w:rPr>
              <w:t>Education adjustment (Aim 1)</w:t>
            </w:r>
          </w:p>
        </w:tc>
        <w:tc>
          <w:tcPr>
            <w:tcW w:type="dxa" w:w="2268"/>
          </w:tcPr>
          <w:p>
            <w:pPr>
              <w:spacing w:line="240" w:lineRule="auto" w:after="0"/>
            </w:pPr>
            <w:r>
              <w:rPr>
                <w:sz w:val="17"/>
              </w:rPr>
            </w:r>
            <w:r>
              <w:rPr>
                <w:sz w:val="17"/>
              </w:rPr>
              <w:t xml:space="preserve">Main model plus </w:t>
            </w:r>
            <w:r>
              <w:rPr>
                <w:rFonts w:ascii="Consolas" w:hAnsi="Consolas"/>
                <w:sz w:val="17"/>
              </w:rPr>
              <w:t>edu_isced</w:t>
            </w:r>
            <w:r>
              <w:rPr>
                <w:sz w:val="17"/>
              </w:rPr>
              <w:t xml:space="preserve"> (ISCED three-level ordered integer); complete-case</w:t>
            </w:r>
          </w:p>
        </w:tc>
        <w:tc>
          <w:tcPr>
            <w:tcW w:type="dxa" w:w="2268"/>
          </w:tcPr>
          <w:p>
            <w:pPr>
              <w:spacing w:line="240" w:lineRule="auto" w:after="0"/>
            </w:pPr>
            <w:r>
              <w:rPr>
                <w:sz w:val="17"/>
              </w:rPr>
            </w:r>
          </w:p>
        </w:tc>
      </w:tr>
    </w:tbl>
    <w:p>
      <w:pPr>
        <w:spacing w:after="80"/>
      </w:pPr>
    </w:p>
    <w:p>
      <w:pPr>
        <w:spacing w:after="120"/>
      </w:pPr>
      <w:r>
        <w:t>†</w:t>
      </w:r>
      <w:r>
        <w:rPr>
          <w:b/>
        </w:rPr>
        <w:t>SA-3 is post hoc.</w:t>
      </w:r>
      <w:r>
        <w:t xml:space="preserve"> SA-1 and SA-2 were pre-specified in SAP v1.0. SA-3 was added by SAP amendment A-001 (2026-07-30), after outcome unblinding, once an audit refuted an earlier project record stating that education could not be reliably linked. The education mapping was frozen in A-001 before the analysis ran: CHARLS </w:t>
      </w:r>
      <w:r>
        <w:rPr>
          <w:rFonts w:ascii="Consolas" w:hAnsi="Consolas"/>
          <w:sz w:val="19"/>
        </w:rPr>
        <w:t>bd001</w:t>
      </w:r>
      <w:r>
        <w:t xml:space="preserve"> 1–5→1, 6–7→2, 8–11→3; CLHLS </w:t>
      </w:r>
      <w:r>
        <w:rPr>
          <w:rFonts w:ascii="Consolas" w:hAnsi="Consolas"/>
          <w:sz w:val="19"/>
        </w:rPr>
        <w:t>f1</w:t>
      </w:r>
      <w:r>
        <w:t xml:space="preserve"> (years) 0–9→1, 10–12→2, ≥13→3, with 88/99 treated as missing; HRS, SHARE and MHAS use Gateway </w:t>
      </w:r>
      <w:r>
        <w:rPr>
          <w:rFonts w:ascii="Consolas" w:hAnsi="Consolas"/>
          <w:sz w:val="19"/>
        </w:rPr>
        <w:t>raeducl</w:t>
      </w:r>
      <w:r>
        <w:t xml:space="preserve"> natively. SA-3 was confined to Aim 1 because the Aim 2/3 specification omits sex, so adding education there would create a covariate structure not comparable with the primary analysis.</w:t>
      </w:r>
    </w:p>
    <w:p>
      <w:pPr>
        <w:pStyle w:val="Heading3"/>
      </w:pPr>
      <w:r>
        <w:rPr>
          <w:rFonts w:ascii="Times New Roman" w:hAnsi="Times New Roman"/>
          <w:color w:val="000000"/>
        </w:rPr>
        <w:t>2.10 Feature importance analysis</w:t>
      </w:r>
    </w:p>
    <w:p>
      <w:pPr>
        <w:spacing w:after="120"/>
      </w:pPr>
      <w:r>
        <w:t>For each cohort a logistic regression was fitted on FI_core (19 items) plus age. The absolute standardised coefficient |β_standardised| served as the importance measure; for a generalised linear model with main effects only, this is the exact linear-SHAP value. Cross-cohort concordance was assessed with a 6 × 6 Spearman rank-correlation matrix. The pre-registered H6 criteria were that age ranks first in all six cohorts and that the median pairwise Spearman ρ reaches 0.70.</w:t>
      </w:r>
    </w:p>
    <w:p>
      <w:pPr>
        <w:pStyle w:val="Heading3"/>
      </w:pPr>
      <w:r>
        <w:rPr>
          <w:rFonts w:ascii="Times New Roman" w:hAnsi="Times New Roman"/>
          <w:color w:val="000000"/>
        </w:rPr>
        <w:t>2.11 Software, code and reporting</w:t>
      </w:r>
    </w:p>
    <w:p>
      <w:pPr>
        <w:spacing w:after="120"/>
      </w:pPr>
      <w:r>
        <w:t xml:space="preserve">Analyses were run in R 4.4.1 (R Core Team, 2024), with </w:t>
      </w:r>
      <w:r>
        <w:rPr>
          <w:rFonts w:ascii="Consolas" w:hAnsi="Consolas"/>
          <w:sz w:val="19"/>
        </w:rPr>
        <w:t>arrow</w:t>
      </w:r>
      <w:r>
        <w:t xml:space="preserve"> for parquet I/O, </w:t>
      </w:r>
      <w:r>
        <w:rPr>
          <w:rFonts w:ascii="Consolas" w:hAnsi="Consolas"/>
          <w:sz w:val="19"/>
        </w:rPr>
        <w:t>survival</w:t>
      </w:r>
      <w:r>
        <w:t xml:space="preserve"> for the C-index, </w:t>
      </w:r>
      <w:r>
        <w:rPr>
          <w:rFonts w:ascii="Consolas" w:hAnsi="Consolas"/>
          <w:sz w:val="19"/>
        </w:rPr>
        <w:t>pROC</w:t>
      </w:r>
      <w:r>
        <w:t xml:space="preserve"> for AUC and </w:t>
      </w:r>
      <w:r>
        <w:rPr>
          <w:rFonts w:ascii="Consolas" w:hAnsi="Consolas"/>
          <w:sz w:val="19"/>
        </w:rPr>
        <w:t>tidyverse</w:t>
      </w:r>
      <w:r>
        <w:t xml:space="preserve"> for data wrangling. Data harmonisation and FI extraction used Python 3.10. Analysis code is archived at https://github.com/alsoran007/Elderly, including the SAP pre-registration timestamp (commit 9bc7b85). Raw cohort data must be requested from each archive separately and cannot be redistributed.</w:t>
      </w:r>
    </w:p>
    <w:p>
      <w:pPr>
        <w:spacing w:after="120"/>
      </w:pPr>
      <w:r>
        <w:t>Reporting follows the TRIPOD+AI checklist (Supplementary Table S3).[REF-8] Risk of bias and applicability were assessed with PROBAST-AI.[REF-9] The SAP was locked before any outcome–predictor analysis using a git commit timestamp; amendments are tracked append-only. Results for H1–H6 are reported as pre-specified, without post-hoc adjustment.</w:t>
      </w:r>
    </w:p>
    <w:p>
      <w:pPr>
        <w:spacing w:after="120"/>
      </w:pPr>
      <w:r>
        <w:t>Under PROBAST-AI, risk of bias was judged low for the development cohort across all four domains (participants, predictors, outcome, analysis). Among validation cohorts, the outcome domain was rated moderate concern for CLHLS on account of 22.9% missing outcome data, and low for the rest. The analysis domain was rated low concern throughout, given the pre-registered SAP, the complete-case primary analysis with IPCW sensitivity, and the absence of predictor selection after outcome inspection.</w:t>
      </w:r>
    </w:p>
    <w:p>
      <w:pPr>
        <w:pStyle w:val="Heading2"/>
      </w:pPr>
      <w:r>
        <w:rPr>
          <w:rFonts w:ascii="Times New Roman" w:hAnsi="Times New Roman"/>
          <w:color w:val="000000"/>
        </w:rPr>
        <w:t>3. Results</w:t>
      </w:r>
    </w:p>
    <w:p>
      <w:pPr>
        <w:pStyle w:val="Heading3"/>
      </w:pPr>
      <w:r>
        <w:rPr>
          <w:rFonts w:ascii="Times New Roman" w:hAnsi="Times New Roman"/>
          <w:color w:val="000000"/>
        </w:rPr>
        <w:t>3.1 Participants and cohort overview</w:t>
      </w:r>
    </w:p>
    <w:p>
      <w:pPr>
        <w:spacing w:after="120"/>
      </w:pPr>
      <w:r>
        <w:t>All six cohorts completed FI computability screening for participants aged ≥60 years. Table 1 summarises the analytic samples and their outcome distributions, and Figure 1 shows the flow from source cohorts to analytic samples, including the two cohorts excluded at the screening stage. CHARLS, CLHLS and KLoSA form the Asian development pool; HRS, SHARE and MHAS serve as external validation cohorts. FI-eligible counts denote participants meeting the computability threshold; the complete-case sample additionally requires an observed four-year outcome and non-missing covariates.</w:t>
      </w:r>
    </w:p>
    <w:p/>
    <w:p>
      <w:pPr>
        <w:spacing w:line="240" w:lineRule="auto"/>
        <w:jc w:val="center"/>
      </w:pPr>
      <w:r>
        <w:drawing>
          <wp:inline xmlns:a="http://schemas.openxmlformats.org/drawingml/2006/main" xmlns:pic="http://schemas.openxmlformats.org/drawingml/2006/picture">
            <wp:extent cx="5760000" cy="3645381"/>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3645381"/>
                    </a:xfrm>
                    <a:prstGeom prst="rect"/>
                  </pic:spPr>
                </pic:pic>
              </a:graphicData>
            </a:graphic>
          </wp:inline>
        </w:drawing>
      </w:r>
    </w:p>
    <w:p>
      <w:pPr>
        <w:spacing w:line="240" w:lineRule="auto" w:after="120"/>
        <w:jc w:val="center"/>
      </w:pPr>
      <w:r>
        <w:rPr>
          <w:b/>
          <w:sz w:val="18"/>
        </w:rPr>
        <w:t>[Figure 1]</w:t>
      </w:r>
    </w:p>
    <w:p/>
    <w:p>
      <w:pPr>
        <w:spacing w:after="120"/>
      </w:pPr>
      <w:r>
        <w:rPr>
          <w:b/>
        </w:rPr>
        <w:t>Table 1. Baseline characteristics and four-year outcomes by cohort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after="0"/>
            </w:pPr>
            <w:r>
              <w:rPr>
                <w:b/>
                <w:sz w:val="17"/>
              </w:rPr>
            </w:r>
            <w:r>
              <w:rPr>
                <w:b/>
                <w:sz w:val="17"/>
              </w:rPr>
              <w:t>Cohort</w:t>
            </w:r>
          </w:p>
        </w:tc>
        <w:tc>
          <w:tcPr>
            <w:tcW w:type="dxa" w:w="1296"/>
          </w:tcPr>
          <w:p>
            <w:pPr>
              <w:spacing w:line="240" w:lineRule="auto" w:after="0"/>
            </w:pPr>
            <w:r>
              <w:rPr>
                <w:b/>
                <w:sz w:val="17"/>
              </w:rPr>
            </w:r>
            <w:r>
              <w:rPr>
                <w:b/>
                <w:sz w:val="17"/>
              </w:rPr>
              <w:t>Role</w:t>
            </w:r>
          </w:p>
        </w:tc>
        <w:tc>
          <w:tcPr>
            <w:tcW w:type="dxa" w:w="1296"/>
          </w:tcPr>
          <w:p>
            <w:pPr>
              <w:spacing w:line="240" w:lineRule="auto" w:after="0"/>
            </w:pPr>
            <w:r>
              <w:rPr>
                <w:b/>
                <w:sz w:val="17"/>
              </w:rPr>
            </w:r>
            <w:r>
              <w:rPr>
                <w:b/>
                <w:sz w:val="17"/>
              </w:rPr>
              <w:t>FI-eligible ≥60 N</w:t>
            </w:r>
          </w:p>
        </w:tc>
        <w:tc>
          <w:tcPr>
            <w:tcW w:type="dxa" w:w="1296"/>
          </w:tcPr>
          <w:p>
            <w:pPr>
              <w:spacing w:line="240" w:lineRule="auto" w:after="0"/>
            </w:pPr>
            <w:r>
              <w:rPr>
                <w:b/>
                <w:sz w:val="17"/>
              </w:rPr>
            </w:r>
            <w:r>
              <w:rPr>
                <w:b/>
                <w:sz w:val="17"/>
              </w:rPr>
              <w:t>FI median</w:t>
            </w:r>
          </w:p>
        </w:tc>
        <w:tc>
          <w:tcPr>
            <w:tcW w:type="dxa" w:w="1296"/>
          </w:tcPr>
          <w:p>
            <w:pPr>
              <w:spacing w:line="240" w:lineRule="auto" w:after="0"/>
            </w:pPr>
            <w:r>
              <w:rPr>
                <w:b/>
                <w:sz w:val="17"/>
              </w:rPr>
            </w:r>
            <w:r>
              <w:rPr>
                <w:b/>
                <w:sz w:val="17"/>
              </w:rPr>
              <w:t>Complete-case N</w:t>
            </w:r>
          </w:p>
        </w:tc>
        <w:tc>
          <w:tcPr>
            <w:tcW w:type="dxa" w:w="1296"/>
          </w:tcPr>
          <w:p>
            <w:pPr>
              <w:spacing w:line="240" w:lineRule="auto" w:after="0"/>
            </w:pPr>
            <w:r>
              <w:rPr>
                <w:b/>
                <w:sz w:val="17"/>
              </w:rPr>
            </w:r>
            <w:r>
              <w:rPr>
                <w:b/>
                <w:sz w:val="17"/>
              </w:rPr>
              <w:t>Events</w:t>
            </w:r>
          </w:p>
        </w:tc>
        <w:tc>
          <w:tcPr>
            <w:tcW w:type="dxa" w:w="1296"/>
          </w:tcPr>
          <w:p>
            <w:pPr>
              <w:spacing w:line="240" w:lineRule="auto" w:after="0"/>
            </w:pPr>
            <w:r>
              <w:rPr>
                <w:b/>
                <w:sz w:val="17"/>
              </w:rPr>
            </w:r>
            <w:r>
              <w:rPr>
                <w:b/>
                <w:sz w:val="17"/>
              </w:rPr>
              <w:t>Event rate</w:t>
            </w:r>
          </w:p>
        </w:tc>
      </w:tr>
      <w:tr>
        <w:tc>
          <w:tcPr>
            <w:tcW w:type="dxa" w:w="1296"/>
          </w:tcPr>
          <w:p>
            <w:pPr>
              <w:spacing w:line="240" w:lineRule="auto" w:after="0"/>
            </w:pPr>
            <w:r>
              <w:rPr>
                <w:sz w:val="17"/>
              </w:rPr>
            </w:r>
            <w:r>
              <w:rPr>
                <w:sz w:val="17"/>
              </w:rPr>
              <w:t>CHARLS</w:t>
            </w:r>
          </w:p>
        </w:tc>
        <w:tc>
          <w:tcPr>
            <w:tcW w:type="dxa" w:w="1296"/>
          </w:tcPr>
          <w:p>
            <w:pPr>
              <w:spacing w:line="240" w:lineRule="auto" w:after="0"/>
            </w:pPr>
            <w:r>
              <w:rPr>
                <w:sz w:val="17"/>
              </w:rPr>
            </w:r>
            <w:r>
              <w:rPr>
                <w:sz w:val="17"/>
              </w:rPr>
              <w:t>Development</w:t>
            </w:r>
          </w:p>
        </w:tc>
        <w:tc>
          <w:tcPr>
            <w:tcW w:type="dxa" w:w="1296"/>
          </w:tcPr>
          <w:p>
            <w:pPr>
              <w:spacing w:line="240" w:lineRule="auto" w:after="0"/>
            </w:pPr>
            <w:r>
              <w:rPr>
                <w:sz w:val="17"/>
              </w:rPr>
            </w:r>
            <w:r>
              <w:rPr>
                <w:sz w:val="17"/>
              </w:rPr>
              <w:t>7,551</w:t>
            </w:r>
          </w:p>
        </w:tc>
        <w:tc>
          <w:tcPr>
            <w:tcW w:type="dxa" w:w="1296"/>
          </w:tcPr>
          <w:p>
            <w:pPr>
              <w:spacing w:line="240" w:lineRule="auto" w:after="0"/>
            </w:pPr>
            <w:r>
              <w:rPr>
                <w:sz w:val="17"/>
              </w:rPr>
            </w:r>
            <w:r>
              <w:rPr>
                <w:sz w:val="17"/>
              </w:rPr>
              <w:t>0.200</w:t>
            </w:r>
          </w:p>
        </w:tc>
        <w:tc>
          <w:tcPr>
            <w:tcW w:type="dxa" w:w="1296"/>
          </w:tcPr>
          <w:p>
            <w:pPr>
              <w:spacing w:line="240" w:lineRule="auto" w:after="0"/>
            </w:pPr>
            <w:r>
              <w:rPr>
                <w:sz w:val="17"/>
              </w:rPr>
            </w:r>
            <w:r>
              <w:rPr>
                <w:sz w:val="17"/>
              </w:rPr>
              <w:t>7,546</w:t>
            </w:r>
          </w:p>
        </w:tc>
        <w:tc>
          <w:tcPr>
            <w:tcW w:type="dxa" w:w="1296"/>
          </w:tcPr>
          <w:p>
            <w:pPr>
              <w:spacing w:line="240" w:lineRule="auto" w:after="0"/>
            </w:pPr>
            <w:r>
              <w:rPr>
                <w:sz w:val="17"/>
              </w:rPr>
            </w:r>
            <w:r>
              <w:rPr>
                <w:sz w:val="17"/>
              </w:rPr>
              <w:t>771</w:t>
            </w:r>
          </w:p>
        </w:tc>
        <w:tc>
          <w:tcPr>
            <w:tcW w:type="dxa" w:w="1296"/>
          </w:tcPr>
          <w:p>
            <w:pPr>
              <w:spacing w:line="240" w:lineRule="auto" w:after="0"/>
            </w:pPr>
            <w:r>
              <w:rPr>
                <w:sz w:val="17"/>
              </w:rPr>
            </w:r>
            <w:r>
              <w:rPr>
                <w:sz w:val="17"/>
              </w:rPr>
              <w:t>10.2%</w:t>
            </w:r>
          </w:p>
        </w:tc>
      </w:tr>
      <w:tr>
        <w:tc>
          <w:tcPr>
            <w:tcW w:type="dxa" w:w="1296"/>
          </w:tcPr>
          <w:p>
            <w:pPr>
              <w:spacing w:line="240" w:lineRule="auto" w:after="0"/>
            </w:pPr>
            <w:r>
              <w:rPr>
                <w:sz w:val="17"/>
              </w:rPr>
            </w:r>
            <w:r>
              <w:rPr>
                <w:sz w:val="17"/>
              </w:rPr>
              <w:t>CLHLS</w:t>
            </w:r>
          </w:p>
        </w:tc>
        <w:tc>
          <w:tcPr>
            <w:tcW w:type="dxa" w:w="1296"/>
          </w:tcPr>
          <w:p>
            <w:pPr>
              <w:spacing w:line="240" w:lineRule="auto" w:after="0"/>
            </w:pPr>
            <w:r>
              <w:rPr>
                <w:sz w:val="17"/>
              </w:rPr>
            </w:r>
            <w:r>
              <w:rPr>
                <w:sz w:val="17"/>
              </w:rPr>
              <w:t>Aim 1 / Asian pool</w:t>
            </w:r>
          </w:p>
        </w:tc>
        <w:tc>
          <w:tcPr>
            <w:tcW w:type="dxa" w:w="1296"/>
          </w:tcPr>
          <w:p>
            <w:pPr>
              <w:spacing w:line="240" w:lineRule="auto" w:after="0"/>
            </w:pPr>
            <w:r>
              <w:rPr>
                <w:sz w:val="17"/>
              </w:rPr>
            </w:r>
            <w:r>
              <w:rPr>
                <w:sz w:val="17"/>
              </w:rPr>
              <w:t>9,207</w:t>
            </w:r>
          </w:p>
        </w:tc>
        <w:tc>
          <w:tcPr>
            <w:tcW w:type="dxa" w:w="1296"/>
          </w:tcPr>
          <w:p>
            <w:pPr>
              <w:spacing w:line="240" w:lineRule="auto" w:after="0"/>
            </w:pPr>
            <w:r>
              <w:rPr>
                <w:sz w:val="17"/>
              </w:rPr>
            </w:r>
            <w:r>
              <w:rPr>
                <w:sz w:val="17"/>
              </w:rPr>
              <w:t>0.169</w:t>
            </w:r>
          </w:p>
        </w:tc>
        <w:tc>
          <w:tcPr>
            <w:tcW w:type="dxa" w:w="1296"/>
          </w:tcPr>
          <w:p>
            <w:pPr>
              <w:spacing w:line="240" w:lineRule="auto" w:after="0"/>
            </w:pPr>
            <w:r>
              <w:rPr>
                <w:sz w:val="17"/>
              </w:rPr>
            </w:r>
            <w:r>
              <w:rPr>
                <w:sz w:val="17"/>
              </w:rPr>
              <w:t>7,095†</w:t>
            </w:r>
          </w:p>
        </w:tc>
        <w:tc>
          <w:tcPr>
            <w:tcW w:type="dxa" w:w="1296"/>
          </w:tcPr>
          <w:p>
            <w:pPr>
              <w:spacing w:line="240" w:lineRule="auto" w:after="0"/>
            </w:pPr>
            <w:r>
              <w:rPr>
                <w:sz w:val="17"/>
              </w:rPr>
            </w:r>
            <w:r>
              <w:rPr>
                <w:sz w:val="17"/>
              </w:rPr>
              <w:t>3,282</w:t>
            </w:r>
          </w:p>
        </w:tc>
        <w:tc>
          <w:tcPr>
            <w:tcW w:type="dxa" w:w="1296"/>
          </w:tcPr>
          <w:p>
            <w:pPr>
              <w:spacing w:line="240" w:lineRule="auto" w:after="0"/>
            </w:pPr>
            <w:r>
              <w:rPr>
                <w:sz w:val="17"/>
              </w:rPr>
            </w:r>
            <w:r>
              <w:rPr>
                <w:sz w:val="17"/>
              </w:rPr>
              <w:t>46.3%</w:t>
            </w:r>
          </w:p>
        </w:tc>
      </w:tr>
      <w:tr>
        <w:tc>
          <w:tcPr>
            <w:tcW w:type="dxa" w:w="1296"/>
          </w:tcPr>
          <w:p>
            <w:pPr>
              <w:spacing w:line="240" w:lineRule="auto" w:after="0"/>
            </w:pPr>
            <w:r>
              <w:rPr>
                <w:sz w:val="17"/>
              </w:rPr>
            </w:r>
            <w:r>
              <w:rPr>
                <w:sz w:val="17"/>
              </w:rPr>
              <w:t>KLoSA</w:t>
            </w:r>
          </w:p>
        </w:tc>
        <w:tc>
          <w:tcPr>
            <w:tcW w:type="dxa" w:w="1296"/>
          </w:tcPr>
          <w:p>
            <w:pPr>
              <w:spacing w:line="240" w:lineRule="auto" w:after="0"/>
            </w:pPr>
            <w:r>
              <w:rPr>
                <w:sz w:val="17"/>
              </w:rPr>
            </w:r>
            <w:r>
              <w:rPr>
                <w:sz w:val="17"/>
              </w:rPr>
              <w:t>Asian pool</w:t>
            </w:r>
          </w:p>
        </w:tc>
        <w:tc>
          <w:tcPr>
            <w:tcW w:type="dxa" w:w="1296"/>
          </w:tcPr>
          <w:p>
            <w:pPr>
              <w:spacing w:line="240" w:lineRule="auto" w:after="0"/>
            </w:pPr>
            <w:r>
              <w:rPr>
                <w:sz w:val="17"/>
              </w:rPr>
            </w:r>
            <w:r>
              <w:rPr>
                <w:sz w:val="17"/>
              </w:rPr>
              <w:t>5,289</w:t>
            </w:r>
          </w:p>
        </w:tc>
        <w:tc>
          <w:tcPr>
            <w:tcW w:type="dxa" w:w="1296"/>
          </w:tcPr>
          <w:p>
            <w:pPr>
              <w:spacing w:line="240" w:lineRule="auto" w:after="0"/>
            </w:pPr>
            <w:r>
              <w:rPr>
                <w:sz w:val="17"/>
              </w:rPr>
            </w:r>
            <w:r>
              <w:rPr>
                <w:sz w:val="17"/>
              </w:rPr>
              <w:t>0.095</w:t>
            </w:r>
          </w:p>
        </w:tc>
        <w:tc>
          <w:tcPr>
            <w:tcW w:type="dxa" w:w="1296"/>
          </w:tcPr>
          <w:p>
            <w:pPr>
              <w:spacing w:line="240" w:lineRule="auto" w:after="0"/>
            </w:pPr>
            <w:r>
              <w:rPr>
                <w:sz w:val="17"/>
              </w:rPr>
            </w:r>
            <w:r>
              <w:rPr>
                <w:sz w:val="17"/>
              </w:rPr>
              <w:t>5,288</w:t>
            </w:r>
          </w:p>
        </w:tc>
        <w:tc>
          <w:tcPr>
            <w:tcW w:type="dxa" w:w="1296"/>
          </w:tcPr>
          <w:p>
            <w:pPr>
              <w:spacing w:line="240" w:lineRule="auto" w:after="0"/>
            </w:pPr>
            <w:r>
              <w:rPr>
                <w:sz w:val="17"/>
              </w:rPr>
            </w:r>
            <w:r>
              <w:rPr>
                <w:sz w:val="17"/>
              </w:rPr>
              <w:t>510</w:t>
            </w:r>
          </w:p>
        </w:tc>
        <w:tc>
          <w:tcPr>
            <w:tcW w:type="dxa" w:w="1296"/>
          </w:tcPr>
          <w:p>
            <w:pPr>
              <w:spacing w:line="240" w:lineRule="auto" w:after="0"/>
            </w:pPr>
            <w:r>
              <w:rPr>
                <w:sz w:val="17"/>
              </w:rPr>
            </w:r>
            <w:r>
              <w:rPr>
                <w:sz w:val="17"/>
              </w:rPr>
              <w:t>9.6%</w:t>
            </w:r>
          </w:p>
        </w:tc>
      </w:tr>
      <w:tr>
        <w:tc>
          <w:tcPr>
            <w:tcW w:type="dxa" w:w="1296"/>
          </w:tcPr>
          <w:p>
            <w:pPr>
              <w:spacing w:line="240" w:lineRule="auto" w:after="0"/>
            </w:pPr>
            <w:r>
              <w:rPr>
                <w:sz w:val="17"/>
              </w:rPr>
            </w:r>
            <w:r>
              <w:rPr>
                <w:sz w:val="17"/>
              </w:rPr>
              <w:t>HRS</w:t>
            </w:r>
          </w:p>
        </w:tc>
        <w:tc>
          <w:tcPr>
            <w:tcW w:type="dxa" w:w="1296"/>
          </w:tcPr>
          <w:p>
            <w:pPr>
              <w:spacing w:line="240" w:lineRule="auto" w:after="0"/>
            </w:pPr>
            <w:r>
              <w:rPr>
                <w:sz w:val="17"/>
              </w:rPr>
            </w:r>
            <w:r>
              <w:rPr>
                <w:sz w:val="17"/>
              </w:rPr>
              <w:t>External validation</w:t>
            </w:r>
          </w:p>
        </w:tc>
        <w:tc>
          <w:tcPr>
            <w:tcW w:type="dxa" w:w="1296"/>
          </w:tcPr>
          <w:p>
            <w:pPr>
              <w:spacing w:line="240" w:lineRule="auto" w:after="0"/>
            </w:pPr>
            <w:r>
              <w:rPr>
                <w:sz w:val="17"/>
              </w:rPr>
            </w:r>
            <w:r>
              <w:rPr>
                <w:sz w:val="17"/>
              </w:rPr>
              <w:t>10,707</w:t>
            </w:r>
          </w:p>
        </w:tc>
        <w:tc>
          <w:tcPr>
            <w:tcW w:type="dxa" w:w="1296"/>
          </w:tcPr>
          <w:p>
            <w:pPr>
              <w:spacing w:line="240" w:lineRule="auto" w:after="0"/>
            </w:pPr>
            <w:r>
              <w:rPr>
                <w:sz w:val="17"/>
              </w:rPr>
            </w:r>
            <w:r>
              <w:rPr>
                <w:sz w:val="17"/>
              </w:rPr>
              <w:t>0.287</w:t>
            </w:r>
          </w:p>
        </w:tc>
        <w:tc>
          <w:tcPr>
            <w:tcW w:type="dxa" w:w="1296"/>
          </w:tcPr>
          <w:p>
            <w:pPr>
              <w:spacing w:line="240" w:lineRule="auto" w:after="0"/>
            </w:pPr>
            <w:r>
              <w:rPr>
                <w:sz w:val="17"/>
              </w:rPr>
            </w:r>
            <w:r>
              <w:rPr>
                <w:sz w:val="17"/>
              </w:rPr>
              <w:t>10,707</w:t>
            </w:r>
          </w:p>
        </w:tc>
        <w:tc>
          <w:tcPr>
            <w:tcW w:type="dxa" w:w="1296"/>
          </w:tcPr>
          <w:p>
            <w:pPr>
              <w:spacing w:line="240" w:lineRule="auto" w:after="0"/>
            </w:pPr>
            <w:r>
              <w:rPr>
                <w:sz w:val="17"/>
              </w:rPr>
            </w:r>
            <w:r>
              <w:rPr>
                <w:sz w:val="17"/>
              </w:rPr>
              <w:t>2,138</w:t>
            </w:r>
          </w:p>
        </w:tc>
        <w:tc>
          <w:tcPr>
            <w:tcW w:type="dxa" w:w="1296"/>
          </w:tcPr>
          <w:p>
            <w:pPr>
              <w:spacing w:line="240" w:lineRule="auto" w:after="0"/>
            </w:pPr>
            <w:r>
              <w:rPr>
                <w:sz w:val="17"/>
              </w:rPr>
            </w:r>
            <w:r>
              <w:rPr>
                <w:sz w:val="17"/>
              </w:rPr>
              <w:t>20.0%</w:t>
            </w:r>
          </w:p>
        </w:tc>
      </w:tr>
      <w:tr>
        <w:tc>
          <w:tcPr>
            <w:tcW w:type="dxa" w:w="1296"/>
          </w:tcPr>
          <w:p>
            <w:pPr>
              <w:spacing w:line="240" w:lineRule="auto" w:after="0"/>
            </w:pPr>
            <w:r>
              <w:rPr>
                <w:sz w:val="17"/>
              </w:rPr>
            </w:r>
            <w:r>
              <w:rPr>
                <w:sz w:val="17"/>
              </w:rPr>
              <w:t>SHARE</w:t>
            </w:r>
          </w:p>
        </w:tc>
        <w:tc>
          <w:tcPr>
            <w:tcW w:type="dxa" w:w="1296"/>
          </w:tcPr>
          <w:p>
            <w:pPr>
              <w:spacing w:line="240" w:lineRule="auto" w:after="0"/>
            </w:pPr>
            <w:r>
              <w:rPr>
                <w:sz w:val="17"/>
              </w:rPr>
            </w:r>
            <w:r>
              <w:rPr>
                <w:sz w:val="17"/>
              </w:rPr>
              <w:t>External validation</w:t>
            </w:r>
          </w:p>
        </w:tc>
        <w:tc>
          <w:tcPr>
            <w:tcW w:type="dxa" w:w="1296"/>
          </w:tcPr>
          <w:p>
            <w:pPr>
              <w:spacing w:line="240" w:lineRule="auto" w:after="0"/>
            </w:pPr>
            <w:r>
              <w:rPr>
                <w:sz w:val="17"/>
              </w:rPr>
            </w:r>
            <w:r>
              <w:rPr>
                <w:sz w:val="17"/>
              </w:rPr>
              <w:t>36,361</w:t>
            </w:r>
          </w:p>
        </w:tc>
        <w:tc>
          <w:tcPr>
            <w:tcW w:type="dxa" w:w="1296"/>
          </w:tcPr>
          <w:p>
            <w:pPr>
              <w:spacing w:line="240" w:lineRule="auto" w:after="0"/>
            </w:pPr>
            <w:r>
              <w:rPr>
                <w:sz w:val="17"/>
              </w:rPr>
            </w:r>
            <w:r>
              <w:rPr>
                <w:sz w:val="17"/>
              </w:rPr>
              <w:t>0.169</w:t>
            </w:r>
          </w:p>
        </w:tc>
        <w:tc>
          <w:tcPr>
            <w:tcW w:type="dxa" w:w="1296"/>
          </w:tcPr>
          <w:p>
            <w:pPr>
              <w:spacing w:line="240" w:lineRule="auto" w:after="0"/>
            </w:pPr>
            <w:r>
              <w:rPr>
                <w:sz w:val="17"/>
              </w:rPr>
            </w:r>
            <w:r>
              <w:rPr>
                <w:sz w:val="17"/>
              </w:rPr>
              <w:t>36,352</w:t>
            </w:r>
          </w:p>
        </w:tc>
        <w:tc>
          <w:tcPr>
            <w:tcW w:type="dxa" w:w="1296"/>
          </w:tcPr>
          <w:p>
            <w:pPr>
              <w:spacing w:line="240" w:lineRule="auto" w:after="0"/>
            </w:pPr>
            <w:r>
              <w:rPr>
                <w:sz w:val="17"/>
              </w:rPr>
            </w:r>
            <w:r>
              <w:rPr>
                <w:sz w:val="17"/>
              </w:rPr>
              <w:t>3,165</w:t>
            </w:r>
          </w:p>
        </w:tc>
        <w:tc>
          <w:tcPr>
            <w:tcW w:type="dxa" w:w="1296"/>
          </w:tcPr>
          <w:p>
            <w:pPr>
              <w:spacing w:line="240" w:lineRule="auto" w:after="0"/>
            </w:pPr>
            <w:r>
              <w:rPr>
                <w:sz w:val="17"/>
              </w:rPr>
            </w:r>
            <w:r>
              <w:rPr>
                <w:sz w:val="17"/>
              </w:rPr>
              <w:t>8.7%</w:t>
            </w:r>
          </w:p>
        </w:tc>
      </w:tr>
      <w:tr>
        <w:tc>
          <w:tcPr>
            <w:tcW w:type="dxa" w:w="1296"/>
          </w:tcPr>
          <w:p>
            <w:pPr>
              <w:spacing w:line="240" w:lineRule="auto" w:after="0"/>
            </w:pPr>
            <w:r>
              <w:rPr>
                <w:sz w:val="17"/>
              </w:rPr>
            </w:r>
            <w:r>
              <w:rPr>
                <w:sz w:val="17"/>
              </w:rPr>
              <w:t>MHAS</w:t>
            </w:r>
          </w:p>
        </w:tc>
        <w:tc>
          <w:tcPr>
            <w:tcW w:type="dxa" w:w="1296"/>
          </w:tcPr>
          <w:p>
            <w:pPr>
              <w:spacing w:line="240" w:lineRule="auto" w:after="0"/>
            </w:pPr>
            <w:r>
              <w:rPr>
                <w:sz w:val="17"/>
              </w:rPr>
            </w:r>
            <w:r>
              <w:rPr>
                <w:sz w:val="17"/>
              </w:rPr>
              <w:t>External validation</w:t>
            </w:r>
          </w:p>
        </w:tc>
        <w:tc>
          <w:tcPr>
            <w:tcW w:type="dxa" w:w="1296"/>
          </w:tcPr>
          <w:p>
            <w:pPr>
              <w:spacing w:line="240" w:lineRule="auto" w:after="0"/>
            </w:pPr>
            <w:r>
              <w:rPr>
                <w:sz w:val="17"/>
              </w:rPr>
            </w:r>
            <w:r>
              <w:rPr>
                <w:sz w:val="17"/>
              </w:rPr>
              <w:t>9,094</w:t>
            </w:r>
          </w:p>
        </w:tc>
        <w:tc>
          <w:tcPr>
            <w:tcW w:type="dxa" w:w="1296"/>
          </w:tcPr>
          <w:p>
            <w:pPr>
              <w:spacing w:line="240" w:lineRule="auto" w:after="0"/>
            </w:pPr>
            <w:r>
              <w:rPr>
                <w:sz w:val="17"/>
              </w:rPr>
            </w:r>
            <w:r>
              <w:rPr>
                <w:sz w:val="17"/>
              </w:rPr>
              <w:t>0.220</w:t>
            </w:r>
          </w:p>
        </w:tc>
        <w:tc>
          <w:tcPr>
            <w:tcW w:type="dxa" w:w="1296"/>
          </w:tcPr>
          <w:p>
            <w:pPr>
              <w:spacing w:line="240" w:lineRule="auto" w:after="0"/>
            </w:pPr>
            <w:r>
              <w:rPr>
                <w:sz w:val="17"/>
              </w:rPr>
            </w:r>
            <w:r>
              <w:rPr>
                <w:sz w:val="17"/>
              </w:rPr>
              <w:t>9,081</w:t>
            </w:r>
          </w:p>
        </w:tc>
        <w:tc>
          <w:tcPr>
            <w:tcW w:type="dxa" w:w="1296"/>
          </w:tcPr>
          <w:p>
            <w:pPr>
              <w:spacing w:line="240" w:lineRule="auto" w:after="0"/>
            </w:pPr>
            <w:r>
              <w:rPr>
                <w:sz w:val="17"/>
              </w:rPr>
            </w:r>
            <w:r>
              <w:rPr>
                <w:sz w:val="17"/>
              </w:rPr>
              <w:t>924</w:t>
            </w:r>
          </w:p>
        </w:tc>
        <w:tc>
          <w:tcPr>
            <w:tcW w:type="dxa" w:w="1296"/>
          </w:tcPr>
          <w:p>
            <w:pPr>
              <w:spacing w:line="240" w:lineRule="auto" w:after="0"/>
            </w:pPr>
            <w:r>
              <w:rPr>
                <w:sz w:val="17"/>
              </w:rPr>
            </w:r>
            <w:r>
              <w:rPr>
                <w:sz w:val="17"/>
              </w:rPr>
              <w:t>10.2%</w:t>
            </w:r>
          </w:p>
        </w:tc>
      </w:tr>
    </w:tbl>
    <w:p>
      <w:pPr>
        <w:spacing w:after="80"/>
      </w:pPr>
    </w:p>
    <w:p>
      <w:pPr>
        <w:spacing w:after="120"/>
      </w:pPr>
      <w:r>
        <w:t>†2,112 FI-eligible CLHLS participants (22.9%) had missing four-year outcomes and were excluded from complete-case analyses.</w:t>
      </w:r>
    </w:p>
    <w:p>
      <w:pPr>
        <w:spacing w:after="120"/>
      </w:pPr>
      <w:r>
        <w:t>FI median is for the cohort-specific 60+ subset. Event rate = events / complete-case N.</w:t>
      </w:r>
    </w:p>
    <w:p>
      <w:pPr>
        <w:spacing w:after="120"/>
      </w:pPr>
      <w:r>
        <w:t>CHARLS = China Health and Retirement Longitudinal Study;[REF-20] CLHLS = Chinese Longitudinal Healthy Longevity Survey;[REF-21] KLoSA = Korean Longitudinal Study of Ageing;[REF-22] HRS = Health and Retirement Study;[REF-23] SHARE = Survey of Health, Ageing and Retirement in Europe;[REF-24] MHAS = Mexican Health and Aging Study.[REF-25]</w:t>
      </w:r>
    </w:p>
    <w:p>
      <w:pPr>
        <w:spacing w:after="120"/>
      </w:pPr>
      <w:r>
        <w:t>The FI median was lowest in KLoSA (0.095) and highest in HRS (0.287), with the remaining cohorts between 0.169 and 0.220. The low KLoSA median fits that cohort's relatively young, community-dwelling sample and its low ADL and IADL deficit rates; data quality checks turned up no coding errors. No cohort produced an FI value above 1.0. MHAS used 27 cohort-available stems under the cohort-specific threshold, and HRS used documented substitutions for eight unavailable items (§2.5).</w:t>
      </w:r>
    </w:p>
    <w:p>
      <w:pPr>
        <w:pStyle w:val="Heading3"/>
      </w:pPr>
      <w:r>
        <w:rPr>
          <w:rFonts w:ascii="Times New Roman" w:hAnsi="Times New Roman"/>
          <w:color w:val="000000"/>
        </w:rPr>
        <w:t>3.2 FI distribution and data completeness</w:t>
      </w:r>
    </w:p>
    <w:p>
      <w:pPr>
        <w:spacing w:after="120"/>
      </w:pPr>
      <w:r>
        <w:t>FI construction followed the locked 41-item specification, with ordinal health items rescaled to [0, 1] before inclusion. CHARLS, CLHLS, KLoSA, HRS and SHARE each reached 41 of 41 stems, HRS with validated substitutions; MHAS reached 27 of 41 under its cohort-specific threshold.</w:t>
      </w:r>
    </w:p>
    <w:p>
      <w:pPr>
        <w:spacing w:after="120"/>
      </w:pPr>
      <w:r>
        <w:t>Distributions differed markedly between cohorts (Figure 2): KLoSA at a median of 0.095, HRS at 0.287, SHARE and CLHLS both at 0.169. That spread reflects differences in case-mix, item availability and underlying event rates, which means no single numeric FI value can serve as a universal frailty cut-point without accounting for cohort context. Item-level positive rates across all six cohorts are given in Supplementary Table S2.</w:t>
      </w:r>
    </w:p>
    <w:p/>
    <w:p>
      <w:pPr>
        <w:spacing w:line="240" w:lineRule="auto"/>
        <w:jc w:val="center"/>
      </w:pPr>
      <w:r>
        <w:drawing>
          <wp:inline xmlns:a="http://schemas.openxmlformats.org/drawingml/2006/main" xmlns:pic="http://schemas.openxmlformats.org/drawingml/2006/picture">
            <wp:extent cx="5760000" cy="3360339"/>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000" cy="3360339"/>
                    </a:xfrm>
                    <a:prstGeom prst="rect"/>
                  </pic:spPr>
                </pic:pic>
              </a:graphicData>
            </a:graphic>
          </wp:inline>
        </w:drawing>
      </w:r>
    </w:p>
    <w:p>
      <w:pPr>
        <w:spacing w:line="240" w:lineRule="auto" w:after="120"/>
        <w:jc w:val="center"/>
      </w:pPr>
      <w:r>
        <w:rPr>
          <w:b/>
          <w:sz w:val="18"/>
        </w:rPr>
        <w:t>[Figure 2]</w:t>
      </w:r>
    </w:p>
    <w:p/>
    <w:p>
      <w:pPr>
        <w:spacing w:after="120"/>
      </w:pPr>
      <w:r>
        <w:t>CLHLS needed particular attention for outcome missingness. Of 9,207 FI-eligible participants, 7,095 had an observable four-year outcome and 2,112 (22.9%) did not: 45 pre-baseline deaths flagged as not-at-risk, and 2,067 with irrecoverable follow-up or death dates. Complete-case analysis did not assign survival status to participants with unknown outcomes. Education was available in all six cohorts but was excluded from the primary model to preserve the pre-registered specification; its effect is quantified in SA-3 (§3.11).</w:t>
      </w:r>
    </w:p>
    <w:p>
      <w:pPr>
        <w:pStyle w:val="Heading3"/>
      </w:pPr>
      <w:r>
        <w:rPr>
          <w:rFonts w:ascii="Times New Roman" w:hAnsi="Times New Roman"/>
          <w:color w:val="000000"/>
        </w:rPr>
        <w:t>3.3 Model development in CHARLS</w:t>
      </w:r>
    </w:p>
    <w:p>
      <w:pPr>
        <w:spacing w:after="120"/>
      </w:pPr>
      <w:r>
        <w:t>The CHARLS development dataset comprised 7,546 participants contributing 14,551 complete person-period rows across risk periods 1 and 2, with 771 deaths. Model A included age, sex and a period indicator; Model B added FI. Coefficients appear in Table 2.</w:t>
      </w:r>
    </w:p>
    <w:p>
      <w:pPr>
        <w:spacing w:after="120"/>
      </w:pPr>
      <w:r>
        <w:rPr>
          <w:b/>
        </w:rPr>
        <w:t>Table 2. Pooled logistic regression coefficients, CHARLS development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pPr>
            <w:r>
              <w:rPr>
                <w:b/>
                <w:sz w:val="17"/>
              </w:rPr>
            </w:r>
            <w:r>
              <w:rPr>
                <w:b/>
                <w:sz w:val="17"/>
              </w:rPr>
              <w:t>Model</w:t>
            </w:r>
          </w:p>
        </w:tc>
        <w:tc>
          <w:tcPr>
            <w:tcW w:type="dxa" w:w="1814"/>
          </w:tcPr>
          <w:p>
            <w:pPr>
              <w:spacing w:line="240" w:lineRule="auto" w:after="0"/>
            </w:pPr>
            <w:r>
              <w:rPr>
                <w:b/>
                <w:sz w:val="17"/>
              </w:rPr>
            </w:r>
            <w:r>
              <w:rPr>
                <w:b/>
                <w:sz w:val="17"/>
              </w:rPr>
              <w:t>Term</w:t>
            </w:r>
          </w:p>
        </w:tc>
        <w:tc>
          <w:tcPr>
            <w:tcW w:type="dxa" w:w="1814"/>
          </w:tcPr>
          <w:p>
            <w:pPr>
              <w:spacing w:line="240" w:lineRule="auto" w:after="0"/>
            </w:pPr>
            <w:r>
              <w:rPr>
                <w:b/>
                <w:sz w:val="17"/>
              </w:rPr>
            </w:r>
            <w:r>
              <w:rPr>
                <w:b/>
                <w:sz w:val="17"/>
              </w:rPr>
              <w:t>β</w:t>
            </w:r>
          </w:p>
        </w:tc>
        <w:tc>
          <w:tcPr>
            <w:tcW w:type="dxa" w:w="1814"/>
          </w:tcPr>
          <w:p>
            <w:pPr>
              <w:spacing w:line="240" w:lineRule="auto" w:after="0"/>
            </w:pPr>
            <w:r>
              <w:rPr>
                <w:b/>
                <w:sz w:val="17"/>
              </w:rPr>
            </w:r>
            <w:r>
              <w:rPr>
                <w:b/>
                <w:sz w:val="17"/>
              </w:rPr>
              <w:t>SE</w:t>
            </w:r>
          </w:p>
        </w:tc>
        <w:tc>
          <w:tcPr>
            <w:tcW w:type="dxa" w:w="1814"/>
          </w:tcPr>
          <w:p>
            <w:pPr>
              <w:spacing w:line="240" w:lineRule="auto" w:after="0"/>
            </w:pPr>
            <w:r>
              <w:rPr>
                <w:b/>
                <w:sz w:val="17"/>
              </w:rPr>
            </w:r>
            <w:r>
              <w:rPr>
                <w:b/>
                <w:sz w:val="17"/>
              </w:rPr>
              <w:t>p</w:t>
            </w:r>
          </w:p>
        </w:tc>
      </w:tr>
      <w:tr>
        <w:tc>
          <w:tcPr>
            <w:tcW w:type="dxa" w:w="1814"/>
          </w:tcPr>
          <w:p>
            <w:pPr>
              <w:spacing w:line="240" w:lineRule="auto" w:after="0"/>
            </w:pPr>
            <w:r>
              <w:rPr>
                <w:sz w:val="17"/>
              </w:rPr>
            </w:r>
            <w:r>
              <w:rPr>
                <w:b/>
                <w:sz w:val="17"/>
              </w:rPr>
              <w:t>Model A</w:t>
            </w:r>
          </w:p>
        </w:tc>
        <w:tc>
          <w:tcPr>
            <w:tcW w:type="dxa" w:w="1814"/>
          </w:tcPr>
          <w:p>
            <w:pPr>
              <w:spacing w:line="240" w:lineRule="auto" w:after="0"/>
            </w:pPr>
            <w:r>
              <w:rPr>
                <w:sz w:val="17"/>
              </w:rPr>
            </w:r>
            <w:r>
              <w:rPr>
                <w:sz w:val="17"/>
              </w:rPr>
              <w:t>Age (per year)</w:t>
            </w:r>
          </w:p>
        </w:tc>
        <w:tc>
          <w:tcPr>
            <w:tcW w:type="dxa" w:w="1814"/>
          </w:tcPr>
          <w:p>
            <w:pPr>
              <w:spacing w:line="240" w:lineRule="auto" w:after="0"/>
            </w:pPr>
            <w:r>
              <w:rPr>
                <w:sz w:val="17"/>
              </w:rPr>
            </w:r>
            <w:r>
              <w:rPr>
                <w:sz w:val="17"/>
              </w:rPr>
              <w:t>0.1108</w:t>
            </w:r>
          </w:p>
        </w:tc>
        <w:tc>
          <w:tcPr>
            <w:tcW w:type="dxa" w:w="1814"/>
          </w:tcPr>
          <w:p>
            <w:pPr>
              <w:spacing w:line="240" w:lineRule="auto" w:after="0"/>
            </w:pPr>
            <w:r>
              <w:rPr>
                <w:sz w:val="17"/>
              </w:rPr>
            </w:r>
            <w:r>
              <w:rPr>
                <w:sz w:val="17"/>
              </w:rPr>
              <w:t>—</w:t>
            </w:r>
          </w:p>
        </w:tc>
        <w:tc>
          <w:tcPr>
            <w:tcW w:type="dxa" w:w="1814"/>
          </w:tcPr>
          <w:p>
            <w:pPr>
              <w:spacing w:line="240" w:lineRule="auto" w:after="0"/>
            </w:pPr>
            <w:r>
              <w:rPr>
                <w:sz w:val="17"/>
              </w:rPr>
            </w:r>
            <w:r>
              <w:rPr>
                <w:sz w:val="17"/>
              </w:rPr>
              <w:t>&lt;0.001</w:t>
            </w:r>
          </w:p>
        </w:tc>
      </w:tr>
      <w:tr>
        <w:tc>
          <w:tcPr>
            <w:tcW w:type="dxa" w:w="1814"/>
          </w:tcPr>
          <w:p>
            <w:pPr>
              <w:spacing w:line="240" w:lineRule="auto" w:after="0"/>
            </w:pPr>
            <w:r>
              <w:rPr>
                <w:sz w:val="17"/>
              </w:rPr>
            </w:r>
          </w:p>
        </w:tc>
        <w:tc>
          <w:tcPr>
            <w:tcW w:type="dxa" w:w="1814"/>
          </w:tcPr>
          <w:p>
            <w:pPr>
              <w:spacing w:line="240" w:lineRule="auto" w:after="0"/>
            </w:pPr>
            <w:r>
              <w:rPr>
                <w:sz w:val="17"/>
              </w:rPr>
            </w:r>
            <w:r>
              <w:rPr>
                <w:sz w:val="17"/>
              </w:rPr>
              <w:t>Female</w:t>
            </w:r>
          </w:p>
        </w:tc>
        <w:tc>
          <w:tcPr>
            <w:tcW w:type="dxa" w:w="1814"/>
          </w:tcPr>
          <w:p>
            <w:pPr>
              <w:spacing w:line="240" w:lineRule="auto" w:after="0"/>
            </w:pPr>
            <w:r>
              <w:rPr>
                <w:sz w:val="17"/>
              </w:rPr>
            </w:r>
            <w:r>
              <w:rPr>
                <w:sz w:val="17"/>
              </w:rPr>
              <w:t>−0.3523</w:t>
            </w:r>
          </w:p>
        </w:tc>
        <w:tc>
          <w:tcPr>
            <w:tcW w:type="dxa" w:w="1814"/>
          </w:tcPr>
          <w:p>
            <w:pPr>
              <w:spacing w:line="240" w:lineRule="auto" w:after="0"/>
            </w:pPr>
            <w:r>
              <w:rPr>
                <w:sz w:val="17"/>
              </w:rPr>
            </w:r>
            <w:r>
              <w:rPr>
                <w:sz w:val="17"/>
              </w:rPr>
              <w:t>—</w:t>
            </w:r>
          </w:p>
        </w:tc>
        <w:tc>
          <w:tcPr>
            <w:tcW w:type="dxa" w:w="1814"/>
          </w:tcPr>
          <w:p>
            <w:pPr>
              <w:spacing w:line="240" w:lineRule="auto" w:after="0"/>
            </w:pPr>
            <w:r>
              <w:rPr>
                <w:sz w:val="17"/>
              </w:rPr>
            </w:r>
            <w:r>
              <w:rPr>
                <w:sz w:val="17"/>
              </w:rPr>
              <w:t>&lt;0.001</w:t>
            </w:r>
          </w:p>
        </w:tc>
      </w:tr>
      <w:tr>
        <w:tc>
          <w:tcPr>
            <w:tcW w:type="dxa" w:w="1814"/>
          </w:tcPr>
          <w:p>
            <w:pPr>
              <w:spacing w:line="240" w:lineRule="auto" w:after="0"/>
            </w:pPr>
            <w:r>
              <w:rPr>
                <w:sz w:val="17"/>
              </w:rPr>
            </w:r>
          </w:p>
        </w:tc>
        <w:tc>
          <w:tcPr>
            <w:tcW w:type="dxa" w:w="1814"/>
          </w:tcPr>
          <w:p>
            <w:pPr>
              <w:spacing w:line="240" w:lineRule="auto" w:after="0"/>
            </w:pPr>
            <w:r>
              <w:rPr>
                <w:sz w:val="17"/>
              </w:rPr>
            </w:r>
            <w:r>
              <w:rPr>
                <w:sz w:val="17"/>
              </w:rPr>
              <w:t>Period 2 vs. 1</w:t>
            </w:r>
          </w:p>
        </w:tc>
        <w:tc>
          <w:tcPr>
            <w:tcW w:type="dxa" w:w="1814"/>
          </w:tcPr>
          <w:p>
            <w:pPr>
              <w:spacing w:line="240" w:lineRule="auto" w:after="0"/>
            </w:pPr>
            <w:r>
              <w:rPr>
                <w:sz w:val="17"/>
              </w:rPr>
            </w:r>
            <w:r>
              <w:rPr>
                <w:sz w:val="17"/>
              </w:rPr>
              <w:t>0.4233</w:t>
            </w:r>
          </w:p>
        </w:tc>
        <w:tc>
          <w:tcPr>
            <w:tcW w:type="dxa" w:w="1814"/>
          </w:tcPr>
          <w:p>
            <w:pPr>
              <w:spacing w:line="240" w:lineRule="auto" w:after="0"/>
            </w:pPr>
            <w:r>
              <w:rPr>
                <w:sz w:val="17"/>
              </w:rPr>
            </w:r>
            <w:r>
              <w:rPr>
                <w:sz w:val="17"/>
              </w:rPr>
              <w:t>—</w:t>
            </w:r>
          </w:p>
        </w:tc>
        <w:tc>
          <w:tcPr>
            <w:tcW w:type="dxa" w:w="1814"/>
          </w:tcPr>
          <w:p>
            <w:pPr>
              <w:spacing w:line="240" w:lineRule="auto" w:after="0"/>
            </w:pPr>
            <w:r>
              <w:rPr>
                <w:sz w:val="17"/>
              </w:rPr>
            </w:r>
            <w:r>
              <w:rPr>
                <w:sz w:val="17"/>
              </w:rPr>
              <w:t>&lt;0.001</w:t>
            </w:r>
          </w:p>
        </w:tc>
      </w:tr>
      <w:tr>
        <w:tc>
          <w:tcPr>
            <w:tcW w:type="dxa" w:w="1814"/>
          </w:tcPr>
          <w:p>
            <w:pPr>
              <w:spacing w:line="240" w:lineRule="auto" w:after="0"/>
            </w:pPr>
            <w:r>
              <w:rPr>
                <w:sz w:val="17"/>
              </w:rPr>
            </w:r>
            <w:r>
              <w:rPr>
                <w:b/>
                <w:sz w:val="17"/>
              </w:rPr>
              <w:t>Model B</w:t>
            </w:r>
          </w:p>
        </w:tc>
        <w:tc>
          <w:tcPr>
            <w:tcW w:type="dxa" w:w="1814"/>
          </w:tcPr>
          <w:p>
            <w:pPr>
              <w:spacing w:line="240" w:lineRule="auto" w:after="0"/>
            </w:pPr>
            <w:r>
              <w:rPr>
                <w:sz w:val="17"/>
              </w:rPr>
            </w:r>
            <w:r>
              <w:rPr>
                <w:sz w:val="17"/>
              </w:rPr>
              <w:t>Intercept</w:t>
            </w:r>
          </w:p>
        </w:tc>
        <w:tc>
          <w:tcPr>
            <w:tcW w:type="dxa" w:w="1814"/>
          </w:tcPr>
          <w:p>
            <w:pPr>
              <w:spacing w:line="240" w:lineRule="auto" w:after="0"/>
            </w:pPr>
            <w:r>
              <w:rPr>
                <w:sz w:val="17"/>
              </w:rPr>
            </w:r>
            <w:r>
              <w:rPr>
                <w:sz w:val="17"/>
              </w:rPr>
              <w:t>−10.4820</w:t>
            </w:r>
          </w:p>
        </w:tc>
        <w:tc>
          <w:tcPr>
            <w:tcW w:type="dxa" w:w="1814"/>
          </w:tcPr>
          <w:p>
            <w:pPr>
              <w:spacing w:line="240" w:lineRule="auto" w:after="0"/>
            </w:pPr>
            <w:r>
              <w:rPr>
                <w:sz w:val="17"/>
              </w:rPr>
            </w:r>
            <w:r>
              <w:rPr>
                <w:sz w:val="17"/>
              </w:rPr>
              <w:t>0.3608</w:t>
            </w:r>
          </w:p>
        </w:tc>
        <w:tc>
          <w:tcPr>
            <w:tcW w:type="dxa" w:w="1814"/>
          </w:tcPr>
          <w:p>
            <w:pPr>
              <w:spacing w:line="240" w:lineRule="auto" w:after="0"/>
            </w:pPr>
            <w:r>
              <w:rPr>
                <w:sz w:val="17"/>
              </w:rPr>
            </w:r>
            <w:r>
              <w:rPr>
                <w:sz w:val="17"/>
              </w:rPr>
              <w:t>&lt;0.001</w:t>
            </w:r>
          </w:p>
        </w:tc>
      </w:tr>
      <w:tr>
        <w:tc>
          <w:tcPr>
            <w:tcW w:type="dxa" w:w="1814"/>
          </w:tcPr>
          <w:p>
            <w:pPr>
              <w:spacing w:line="240" w:lineRule="auto" w:after="0"/>
            </w:pPr>
            <w:r>
              <w:rPr>
                <w:sz w:val="17"/>
              </w:rPr>
            </w:r>
          </w:p>
        </w:tc>
        <w:tc>
          <w:tcPr>
            <w:tcW w:type="dxa" w:w="1814"/>
          </w:tcPr>
          <w:p>
            <w:pPr>
              <w:spacing w:line="240" w:lineRule="auto" w:after="0"/>
            </w:pPr>
            <w:r>
              <w:rPr>
                <w:sz w:val="17"/>
              </w:rPr>
            </w:r>
            <w:r>
              <w:rPr>
                <w:b/>
                <w:sz w:val="17"/>
              </w:rPr>
              <w:t>FI (per unit)</w:t>
            </w:r>
          </w:p>
        </w:tc>
        <w:tc>
          <w:tcPr>
            <w:tcW w:type="dxa" w:w="1814"/>
          </w:tcPr>
          <w:p>
            <w:pPr>
              <w:spacing w:line="240" w:lineRule="auto" w:after="0"/>
            </w:pPr>
            <w:r>
              <w:rPr>
                <w:sz w:val="17"/>
              </w:rPr>
            </w:r>
            <w:r>
              <w:rPr>
                <w:b/>
                <w:sz w:val="17"/>
              </w:rPr>
              <w:t>3.5467</w:t>
            </w:r>
          </w:p>
        </w:tc>
        <w:tc>
          <w:tcPr>
            <w:tcW w:type="dxa" w:w="1814"/>
          </w:tcPr>
          <w:p>
            <w:pPr>
              <w:spacing w:line="240" w:lineRule="auto" w:after="0"/>
            </w:pPr>
            <w:r>
              <w:rPr>
                <w:sz w:val="17"/>
              </w:rPr>
            </w:r>
            <w:r>
              <w:rPr>
                <w:sz w:val="17"/>
              </w:rPr>
              <w:t>0.2450</w:t>
            </w:r>
          </w:p>
        </w:tc>
        <w:tc>
          <w:tcPr>
            <w:tcW w:type="dxa" w:w="1814"/>
          </w:tcPr>
          <w:p>
            <w:pPr>
              <w:spacing w:line="240" w:lineRule="auto" w:after="0"/>
            </w:pPr>
            <w:r>
              <w:rPr>
                <w:sz w:val="17"/>
              </w:rPr>
            </w:r>
            <w:r>
              <w:rPr>
                <w:sz w:val="17"/>
              </w:rPr>
              <w:t>&lt;10⁻⁴⁷</w:t>
            </w:r>
          </w:p>
        </w:tc>
      </w:tr>
      <w:tr>
        <w:tc>
          <w:tcPr>
            <w:tcW w:type="dxa" w:w="1814"/>
          </w:tcPr>
          <w:p>
            <w:pPr>
              <w:spacing w:line="240" w:lineRule="auto" w:after="0"/>
            </w:pPr>
            <w:r>
              <w:rPr>
                <w:sz w:val="17"/>
              </w:rPr>
            </w:r>
          </w:p>
        </w:tc>
        <w:tc>
          <w:tcPr>
            <w:tcW w:type="dxa" w:w="1814"/>
          </w:tcPr>
          <w:p>
            <w:pPr>
              <w:spacing w:line="240" w:lineRule="auto" w:after="0"/>
            </w:pPr>
            <w:r>
              <w:rPr>
                <w:sz w:val="17"/>
              </w:rPr>
            </w:r>
            <w:r>
              <w:rPr>
                <w:b/>
                <w:sz w:val="17"/>
              </w:rPr>
              <w:t>Age (per year)</w:t>
            </w:r>
          </w:p>
        </w:tc>
        <w:tc>
          <w:tcPr>
            <w:tcW w:type="dxa" w:w="1814"/>
          </w:tcPr>
          <w:p>
            <w:pPr>
              <w:spacing w:line="240" w:lineRule="auto" w:after="0"/>
            </w:pPr>
            <w:r>
              <w:rPr>
                <w:sz w:val="17"/>
              </w:rPr>
            </w:r>
            <w:r>
              <w:rPr>
                <w:b/>
                <w:sz w:val="17"/>
              </w:rPr>
              <w:t>0.0936</w:t>
            </w:r>
          </w:p>
        </w:tc>
        <w:tc>
          <w:tcPr>
            <w:tcW w:type="dxa" w:w="1814"/>
          </w:tcPr>
          <w:p>
            <w:pPr>
              <w:spacing w:line="240" w:lineRule="auto" w:after="0"/>
            </w:pPr>
            <w:r>
              <w:rPr>
                <w:sz w:val="17"/>
              </w:rPr>
            </w:r>
            <w:r>
              <w:rPr>
                <w:sz w:val="17"/>
              </w:rPr>
              <w:t>0.0050</w:t>
            </w:r>
          </w:p>
        </w:tc>
        <w:tc>
          <w:tcPr>
            <w:tcW w:type="dxa" w:w="1814"/>
          </w:tcPr>
          <w:p>
            <w:pPr>
              <w:spacing w:line="240" w:lineRule="auto" w:after="0"/>
            </w:pPr>
            <w:r>
              <w:rPr>
                <w:sz w:val="17"/>
              </w:rPr>
            </w:r>
            <w:r>
              <w:rPr>
                <w:sz w:val="17"/>
              </w:rPr>
              <w:t>&lt;10⁻⁷⁹</w:t>
            </w:r>
          </w:p>
        </w:tc>
      </w:tr>
      <w:tr>
        <w:tc>
          <w:tcPr>
            <w:tcW w:type="dxa" w:w="1814"/>
          </w:tcPr>
          <w:p>
            <w:pPr>
              <w:spacing w:line="240" w:lineRule="auto" w:after="0"/>
            </w:pPr>
            <w:r>
              <w:rPr>
                <w:sz w:val="17"/>
              </w:rPr>
            </w:r>
          </w:p>
        </w:tc>
        <w:tc>
          <w:tcPr>
            <w:tcW w:type="dxa" w:w="1814"/>
          </w:tcPr>
          <w:p>
            <w:pPr>
              <w:spacing w:line="240" w:lineRule="auto" w:after="0"/>
            </w:pPr>
            <w:r>
              <w:rPr>
                <w:sz w:val="17"/>
              </w:rPr>
            </w:r>
            <w:r>
              <w:rPr>
                <w:sz w:val="17"/>
              </w:rPr>
              <w:t>Female</w:t>
            </w:r>
          </w:p>
        </w:tc>
        <w:tc>
          <w:tcPr>
            <w:tcW w:type="dxa" w:w="1814"/>
          </w:tcPr>
          <w:p>
            <w:pPr>
              <w:spacing w:line="240" w:lineRule="auto" w:after="0"/>
            </w:pPr>
            <w:r>
              <w:rPr>
                <w:sz w:val="17"/>
              </w:rPr>
            </w:r>
            <w:r>
              <w:rPr>
                <w:sz w:val="17"/>
              </w:rPr>
              <w:t>−0.5155</w:t>
            </w:r>
          </w:p>
        </w:tc>
        <w:tc>
          <w:tcPr>
            <w:tcW w:type="dxa" w:w="1814"/>
          </w:tcPr>
          <w:p>
            <w:pPr>
              <w:spacing w:line="240" w:lineRule="auto" w:after="0"/>
            </w:pPr>
            <w:r>
              <w:rPr>
                <w:sz w:val="17"/>
              </w:rPr>
            </w:r>
            <w:r>
              <w:rPr>
                <w:sz w:val="17"/>
              </w:rPr>
              <w:t>0.0790</w:t>
            </w:r>
          </w:p>
        </w:tc>
        <w:tc>
          <w:tcPr>
            <w:tcW w:type="dxa" w:w="1814"/>
          </w:tcPr>
          <w:p>
            <w:pPr>
              <w:spacing w:line="240" w:lineRule="auto" w:after="0"/>
            </w:pPr>
            <w:r>
              <w:rPr>
                <w:sz w:val="17"/>
              </w:rPr>
            </w:r>
            <w:r>
              <w:rPr>
                <w:sz w:val="17"/>
              </w:rPr>
              <w:t>&lt;10⁻¹⁰</w:t>
            </w:r>
          </w:p>
        </w:tc>
      </w:tr>
      <w:tr>
        <w:tc>
          <w:tcPr>
            <w:tcW w:type="dxa" w:w="1814"/>
          </w:tcPr>
          <w:p>
            <w:pPr>
              <w:spacing w:line="240" w:lineRule="auto" w:after="0"/>
            </w:pPr>
            <w:r>
              <w:rPr>
                <w:sz w:val="17"/>
              </w:rPr>
            </w:r>
          </w:p>
        </w:tc>
        <w:tc>
          <w:tcPr>
            <w:tcW w:type="dxa" w:w="1814"/>
          </w:tcPr>
          <w:p>
            <w:pPr>
              <w:spacing w:line="240" w:lineRule="auto" w:after="0"/>
            </w:pPr>
            <w:r>
              <w:rPr>
                <w:sz w:val="17"/>
              </w:rPr>
            </w:r>
            <w:r>
              <w:rPr>
                <w:sz w:val="17"/>
              </w:rPr>
              <w:t>Period 2 vs. 1</w:t>
            </w:r>
          </w:p>
        </w:tc>
        <w:tc>
          <w:tcPr>
            <w:tcW w:type="dxa" w:w="1814"/>
          </w:tcPr>
          <w:p>
            <w:pPr>
              <w:spacing w:line="240" w:lineRule="auto" w:after="0"/>
            </w:pPr>
            <w:r>
              <w:rPr>
                <w:sz w:val="17"/>
              </w:rPr>
            </w:r>
            <w:r>
              <w:rPr>
                <w:sz w:val="17"/>
              </w:rPr>
              <w:t>0.4753</w:t>
            </w:r>
          </w:p>
        </w:tc>
        <w:tc>
          <w:tcPr>
            <w:tcW w:type="dxa" w:w="1814"/>
          </w:tcPr>
          <w:p>
            <w:pPr>
              <w:spacing w:line="240" w:lineRule="auto" w:after="0"/>
            </w:pPr>
            <w:r>
              <w:rPr>
                <w:sz w:val="17"/>
              </w:rPr>
            </w:r>
            <w:r>
              <w:rPr>
                <w:sz w:val="17"/>
              </w:rPr>
              <w:t>0.0781</w:t>
            </w:r>
          </w:p>
        </w:tc>
        <w:tc>
          <w:tcPr>
            <w:tcW w:type="dxa" w:w="1814"/>
          </w:tcPr>
          <w:p>
            <w:pPr>
              <w:spacing w:line="240" w:lineRule="auto" w:after="0"/>
            </w:pPr>
            <w:r>
              <w:rPr>
                <w:sz w:val="17"/>
              </w:rPr>
            </w:r>
            <w:r>
              <w:rPr>
                <w:sz w:val="17"/>
              </w:rPr>
              <w:t>&lt;10⁻⁹</w:t>
            </w:r>
          </w:p>
        </w:tc>
      </w:tr>
    </w:tbl>
    <w:p>
      <w:pPr>
        <w:spacing w:after="80"/>
      </w:pPr>
    </w:p>
    <w:p>
      <w:pPr>
        <w:spacing w:after="120"/>
      </w:pPr>
      <w:r>
        <w:t xml:space="preserve">FI = frailty index (range 0–1). Model A: </w:t>
      </w:r>
      <w:r>
        <w:rPr>
          <w:rFonts w:ascii="Consolas" w:hAnsi="Consolas"/>
          <w:sz w:val="19"/>
        </w:rPr>
        <w:t>event ~ age + female + period</w:t>
      </w:r>
      <w:r>
        <w:t xml:space="preserve">; Model B: </w:t>
      </w:r>
      <w:r>
        <w:rPr>
          <w:rFonts w:ascii="Consolas" w:hAnsi="Consolas"/>
          <w:sz w:val="19"/>
        </w:rPr>
        <w:t>event ~ fi_full + age + female + period</w:t>
      </w:r>
      <w:r>
        <w:t>. Standard errors were not retained in the archived Model A output.</w:t>
      </w:r>
    </w:p>
    <w:p>
      <w:pPr>
        <w:spacing w:after="120"/>
      </w:pPr>
      <w:r>
        <w:t xml:space="preserve">Model A reached an apparent C-index of 0.7355. Adding FI raised it to 0.7705, an increment of ΔC = 0.0351, so the pre-specified H1 threshold of ΔC ≥ 0.02 was met and </w:t>
      </w:r>
      <w:r>
        <w:rPr>
          <w:b/>
        </w:rPr>
        <w:t>H1 is supported</w:t>
      </w:r>
      <w:r>
        <w:t>.</w:t>
      </w:r>
    </w:p>
    <w:p>
      <w:pPr>
        <w:spacing w:after="120"/>
      </w:pPr>
      <w:r>
        <w:t>Person-level bootstrap internal validation (B = 200) gave mean optimism of 0.0004 (SD 0.0085; 95% bootstrap interval −0.015 to +0.019) and an optimism-corrected C-index of 0.7701, a shrinkage factor of 0.9995. With four predictors and 771 events (EPV = 193), Model B shows essentially no overfitting, and apparent and corrected estimates agree to three decimal places.</w:t>
      </w:r>
    </w:p>
    <w:p>
      <w:pPr>
        <w:pStyle w:val="Heading3"/>
      </w:pPr>
      <w:r>
        <w:rPr>
          <w:rFonts w:ascii="Times New Roman" w:hAnsi="Times New Roman"/>
          <w:color w:val="000000"/>
        </w:rPr>
        <w:t>3.4 Aim 1: external validation in CLHLS</w:t>
      </w:r>
    </w:p>
    <w:p>
      <w:pPr>
        <w:spacing w:after="120"/>
      </w:pPr>
      <w:r>
        <w:t>CHARLS Model B coefficients were frozen and four-year cumulative risk was predicted in CLHLS. The 7,095 complete-case participants contributed 3,282 deaths, a 46.3% event rate compared with 10.2% in the development set.</w:t>
      </w:r>
    </w:p>
    <w:p>
      <w:pPr>
        <w:spacing w:after="120"/>
      </w:pPr>
      <w:r>
        <w:t>Discrimination was well preserved: C-index 0.8389 (bootstrap 95% CI 0.8301–0.8481). Calibration was not: O:E ratio 1.2473, calibration intercept 0.5976, calibration slope 0.9393, with Brier score 0.1751 and IPA 0.2957. The frozen model therefore ranked risk well while systematically under-predicting its absolute level.</w:t>
      </w:r>
    </w:p>
    <w:p>
      <w:pPr>
        <w:spacing w:after="120"/>
      </w:pPr>
      <w:r>
        <w:t>The demographic-only Model A sharpens both halves of that result (Table 2 for coefficients; Figure 3A for ROC curves). On discrimination, Model A reached C = 0.8051 in CLHLS, so FI contributed ΔC = 0.0339 externally against 0.0351 in development — a gap of 0.0012, indicating that FI's incremental value is not confined to the sample that selected it. On calibration the comparison inverts: Model A was better calibrated than Model B (O:E 1.044 vs. 1.247; mean predicted risk 0.443 vs. 0.371 against an observed 0.463) while remaining worse on overall accuracy (IPA 0.273 vs. 0.296). Discrimination and calibration therefore moved in opposite directions within this cohort pair; the mechanism is examined in §4.3. Because H2 as pre-registered concerns only the relative magnitude of decay in the two dimensions, this directional inversion is an additional observation rather than part of the H2 test.</w:t>
      </w:r>
    </w:p>
    <w:p/>
    <w:p>
      <w:pPr>
        <w:spacing w:line="240" w:lineRule="auto"/>
        <w:jc w:val="center"/>
      </w:pPr>
      <w:r>
        <w:drawing>
          <wp:inline xmlns:a="http://schemas.openxmlformats.org/drawingml/2006/main" xmlns:pic="http://schemas.openxmlformats.org/drawingml/2006/picture">
            <wp:extent cx="5760000" cy="2879323"/>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760000" cy="2879323"/>
                    </a:xfrm>
                    <a:prstGeom prst="rect"/>
                  </pic:spPr>
                </pic:pic>
              </a:graphicData>
            </a:graphic>
          </wp:inline>
        </w:drawing>
      </w:r>
    </w:p>
    <w:p>
      <w:pPr>
        <w:spacing w:line="240" w:lineRule="auto" w:after="120"/>
        <w:jc w:val="center"/>
      </w:pPr>
      <w:r>
        <w:rPr>
          <w:b/>
          <w:sz w:val="18"/>
        </w:rPr>
        <w:t>[Figure 3]</w:t>
      </w:r>
    </w:p>
    <w:p/>
    <w:p>
      <w:pPr>
        <w:spacing w:after="120"/>
      </w:pPr>
      <w:r>
        <w:t>Under-prediction was concentrated in the middle of the risk distribution (Figure 3B): predicted versus observed mortality was 4.0% vs. 4.9% at decile 1, 23.8% vs. 40.3% at decile 5, and 47.2% vs. 65.9% at decile 7, converging at both extremes. This is the expected signature of transporting a model from a low-event-rate to a high-event-rate cohort.</w:t>
      </w:r>
    </w:p>
    <w:p>
      <w:pPr>
        <w:pStyle w:val="Heading3"/>
      </w:pPr>
      <w:r>
        <w:rPr>
          <w:rFonts w:ascii="Times New Roman" w:hAnsi="Times New Roman"/>
          <w:color w:val="000000"/>
        </w:rPr>
        <w:t>3.5 Aim 2: leave-one-cohort-out transfer within Asia</w:t>
      </w:r>
    </w:p>
    <w:p>
      <w:pPr>
        <w:spacing w:after="120"/>
      </w:pPr>
      <w:r>
        <w:t xml:space="preserve">All LOCO analyses used </w:t>
      </w:r>
      <w:r>
        <w:rPr>
          <w:rFonts w:ascii="Consolas" w:hAnsi="Consolas"/>
          <w:sz w:val="19"/>
        </w:rPr>
        <w:t>event ~ fi_full + age</w:t>
      </w:r>
      <w:r>
        <w:t xml:space="preserve"> (sex was omitted to accommodate KLoSA). Performance is summarised in Table 3.</w:t>
      </w:r>
    </w:p>
    <w:p>
      <w:pPr>
        <w:spacing w:after="120"/>
      </w:pPr>
      <w:r>
        <w:rPr>
          <w:b/>
        </w:rPr>
        <w:t>Table 3. LOCO and Asian-pool external validation performance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after="0"/>
            </w:pPr>
            <w:r>
              <w:rPr>
                <w:b/>
                <w:sz w:val="17"/>
              </w:rPr>
            </w:r>
            <w:r>
              <w:rPr>
                <w:b/>
                <w:sz w:val="17"/>
              </w:rPr>
              <w:t>Analysis</w:t>
            </w:r>
          </w:p>
        </w:tc>
        <w:tc>
          <w:tcPr>
            <w:tcW w:type="dxa" w:w="1134"/>
          </w:tcPr>
          <w:p>
            <w:pPr>
              <w:spacing w:line="240" w:lineRule="auto" w:after="0"/>
            </w:pPr>
            <w:r>
              <w:rPr>
                <w:b/>
                <w:sz w:val="17"/>
              </w:rPr>
            </w:r>
            <w:r>
              <w:rPr>
                <w:b/>
                <w:sz w:val="17"/>
              </w:rPr>
              <w:t>Train</w:t>
            </w:r>
          </w:p>
        </w:tc>
        <w:tc>
          <w:tcPr>
            <w:tcW w:type="dxa" w:w="1134"/>
          </w:tcPr>
          <w:p>
            <w:pPr>
              <w:spacing w:line="240" w:lineRule="auto" w:after="0"/>
            </w:pPr>
            <w:r>
              <w:rPr>
                <w:b/>
                <w:sz w:val="17"/>
              </w:rPr>
            </w:r>
            <w:r>
              <w:rPr>
                <w:b/>
                <w:sz w:val="17"/>
              </w:rPr>
              <w:t>Test</w:t>
            </w:r>
          </w:p>
        </w:tc>
        <w:tc>
          <w:tcPr>
            <w:tcW w:type="dxa" w:w="1134"/>
          </w:tcPr>
          <w:p>
            <w:pPr>
              <w:spacing w:line="240" w:lineRule="auto" w:after="0"/>
            </w:pPr>
            <w:r>
              <w:rPr>
                <w:b/>
                <w:sz w:val="17"/>
              </w:rPr>
            </w:r>
            <w:r>
              <w:rPr>
                <w:b/>
                <w:sz w:val="17"/>
              </w:rPr>
              <w:t>Level</w:t>
            </w:r>
          </w:p>
        </w:tc>
        <w:tc>
          <w:tcPr>
            <w:tcW w:type="dxa" w:w="1134"/>
          </w:tcPr>
          <w:p>
            <w:pPr>
              <w:spacing w:line="240" w:lineRule="auto" w:after="0"/>
            </w:pPr>
            <w:r>
              <w:rPr>
                <w:b/>
                <w:sz w:val="17"/>
              </w:rPr>
            </w:r>
            <w:r>
              <w:rPr>
                <w:b/>
                <w:sz w:val="17"/>
              </w:rPr>
              <w:t>C-index (95% CI)</w:t>
            </w:r>
          </w:p>
        </w:tc>
        <w:tc>
          <w:tcPr>
            <w:tcW w:type="dxa" w:w="1134"/>
          </w:tcPr>
          <w:p>
            <w:pPr>
              <w:spacing w:line="240" w:lineRule="auto" w:after="0"/>
            </w:pPr>
            <w:r>
              <w:rPr>
                <w:b/>
                <w:sz w:val="17"/>
              </w:rPr>
            </w:r>
            <w:r>
              <w:rPr>
                <w:b/>
                <w:sz w:val="17"/>
              </w:rPr>
              <w:t>O:E</w:t>
            </w:r>
          </w:p>
        </w:tc>
        <w:tc>
          <w:tcPr>
            <w:tcW w:type="dxa" w:w="1134"/>
          </w:tcPr>
          <w:p>
            <w:pPr>
              <w:spacing w:line="240" w:lineRule="auto" w:after="0"/>
            </w:pPr>
            <w:r>
              <w:rPr>
                <w:b/>
                <w:sz w:val="17"/>
              </w:rPr>
            </w:r>
            <w:r>
              <w:rPr>
                <w:b/>
                <w:sz w:val="17"/>
              </w:rPr>
              <w:t>Cal. slope</w:t>
            </w:r>
          </w:p>
        </w:tc>
        <w:tc>
          <w:tcPr>
            <w:tcW w:type="dxa" w:w="1134"/>
          </w:tcPr>
          <w:p>
            <w:pPr>
              <w:spacing w:line="240" w:lineRule="auto" w:after="0"/>
            </w:pPr>
            <w:r>
              <w:rPr>
                <w:b/>
                <w:sz w:val="17"/>
              </w:rPr>
            </w:r>
            <w:r>
              <w:rPr>
                <w:b/>
                <w:sz w:val="17"/>
              </w:rPr>
              <w:t>IPA</w:t>
            </w:r>
          </w:p>
        </w:tc>
      </w:tr>
      <w:tr>
        <w:tc>
          <w:tcPr>
            <w:tcW w:type="dxa" w:w="1134"/>
          </w:tcPr>
          <w:p>
            <w:pPr>
              <w:spacing w:line="240" w:lineRule="auto" w:after="0"/>
            </w:pPr>
            <w:r>
              <w:rPr>
                <w:sz w:val="17"/>
              </w:rPr>
            </w:r>
            <w:r>
              <w:rPr>
                <w:sz w:val="17"/>
              </w:rPr>
              <w:t>Baseline</w:t>
            </w:r>
          </w:p>
        </w:tc>
        <w:tc>
          <w:tcPr>
            <w:tcW w:type="dxa" w:w="1134"/>
          </w:tcPr>
          <w:p>
            <w:pPr>
              <w:spacing w:line="240" w:lineRule="auto" w:after="0"/>
            </w:pPr>
            <w:r>
              <w:rPr>
                <w:sz w:val="17"/>
              </w:rPr>
            </w:r>
            <w:r>
              <w:rPr>
                <w:sz w:val="17"/>
              </w:rPr>
              <w:t>CHARLS</w:t>
            </w:r>
          </w:p>
        </w:tc>
        <w:tc>
          <w:tcPr>
            <w:tcW w:type="dxa" w:w="1134"/>
          </w:tcPr>
          <w:p>
            <w:pPr>
              <w:spacing w:line="240" w:lineRule="auto" w:after="0"/>
            </w:pPr>
            <w:r>
              <w:rPr>
                <w:sz w:val="17"/>
              </w:rPr>
            </w:r>
            <w:r>
              <w:rPr>
                <w:sz w:val="17"/>
              </w:rPr>
              <w:t>CLHLS</w:t>
            </w:r>
          </w:p>
        </w:tc>
        <w:tc>
          <w:tcPr>
            <w:tcW w:type="dxa" w:w="1134"/>
          </w:tcPr>
          <w:p>
            <w:pPr>
              <w:spacing w:line="240" w:lineRule="auto" w:after="0"/>
            </w:pPr>
            <w:r>
              <w:rPr>
                <w:sz w:val="17"/>
              </w:rPr>
            </w:r>
            <w:r>
              <w:rPr>
                <w:sz w:val="17"/>
              </w:rPr>
              <w:t>raw</w:t>
            </w:r>
          </w:p>
        </w:tc>
        <w:tc>
          <w:tcPr>
            <w:tcW w:type="dxa" w:w="1134"/>
          </w:tcPr>
          <w:p>
            <w:pPr>
              <w:spacing w:line="240" w:lineRule="auto" w:after="0"/>
            </w:pPr>
            <w:r>
              <w:rPr>
                <w:sz w:val="17"/>
              </w:rPr>
            </w:r>
            <w:r>
              <w:rPr>
                <w:sz w:val="17"/>
              </w:rPr>
              <w:t>0.8334 (0.8246–0.8417)</w:t>
            </w:r>
          </w:p>
        </w:tc>
        <w:tc>
          <w:tcPr>
            <w:tcW w:type="dxa" w:w="1134"/>
          </w:tcPr>
          <w:p>
            <w:pPr>
              <w:spacing w:line="240" w:lineRule="auto" w:after="0"/>
            </w:pPr>
            <w:r>
              <w:rPr>
                <w:sz w:val="17"/>
              </w:rPr>
            </w:r>
            <w:r>
              <w:rPr>
                <w:sz w:val="17"/>
              </w:rPr>
              <w:t>1.276</w:t>
            </w:r>
          </w:p>
        </w:tc>
        <w:tc>
          <w:tcPr>
            <w:tcW w:type="dxa" w:w="1134"/>
          </w:tcPr>
          <w:p>
            <w:pPr>
              <w:spacing w:line="240" w:lineRule="auto" w:after="0"/>
            </w:pPr>
            <w:r>
              <w:rPr>
                <w:sz w:val="17"/>
              </w:rPr>
            </w:r>
            <w:r>
              <w:rPr>
                <w:sz w:val="17"/>
              </w:rPr>
              <w:t>0.990</w:t>
            </w:r>
          </w:p>
        </w:tc>
        <w:tc>
          <w:tcPr>
            <w:tcW w:type="dxa" w:w="1134"/>
          </w:tcPr>
          <w:p>
            <w:pPr>
              <w:spacing w:line="240" w:lineRule="auto" w:after="0"/>
            </w:pPr>
            <w:r>
              <w:rPr>
                <w:sz w:val="17"/>
              </w:rPr>
            </w:r>
            <w:r>
              <w:rPr>
                <w:sz w:val="17"/>
              </w:rPr>
              <w:t>0.282</w:t>
            </w:r>
          </w:p>
        </w:tc>
      </w:tr>
      <w:tr>
        <w:tc>
          <w:tcPr>
            <w:tcW w:type="dxa" w:w="1134"/>
          </w:tcPr>
          <w:p>
            <w:pPr>
              <w:spacing w:line="240" w:lineRule="auto" w:after="0"/>
            </w:pPr>
            <w:r>
              <w:rPr>
                <w:sz w:val="17"/>
              </w:rPr>
            </w:r>
            <w:r>
              <w:rPr>
                <w:sz w:val="17"/>
              </w:rPr>
              <w:t>Baseline</w:t>
            </w:r>
          </w:p>
        </w:tc>
        <w:tc>
          <w:tcPr>
            <w:tcW w:type="dxa" w:w="1134"/>
          </w:tcPr>
          <w:p>
            <w:pPr>
              <w:spacing w:line="240" w:lineRule="auto" w:after="0"/>
            </w:pPr>
            <w:r>
              <w:rPr>
                <w:sz w:val="17"/>
              </w:rPr>
            </w:r>
            <w:r>
              <w:rPr>
                <w:sz w:val="17"/>
              </w:rPr>
              <w:t>CHARLS</w:t>
            </w:r>
          </w:p>
        </w:tc>
        <w:tc>
          <w:tcPr>
            <w:tcW w:type="dxa" w:w="1134"/>
          </w:tcPr>
          <w:p>
            <w:pPr>
              <w:spacing w:line="240" w:lineRule="auto" w:after="0"/>
            </w:pPr>
            <w:r>
              <w:rPr>
                <w:sz w:val="17"/>
              </w:rPr>
            </w:r>
            <w:r>
              <w:rPr>
                <w:sz w:val="17"/>
              </w:rPr>
              <w:t>KLoSA</w:t>
            </w:r>
          </w:p>
        </w:tc>
        <w:tc>
          <w:tcPr>
            <w:tcW w:type="dxa" w:w="1134"/>
          </w:tcPr>
          <w:p>
            <w:pPr>
              <w:spacing w:line="240" w:lineRule="auto" w:after="0"/>
            </w:pPr>
            <w:r>
              <w:rPr>
                <w:sz w:val="17"/>
              </w:rPr>
            </w:r>
            <w:r>
              <w:rPr>
                <w:sz w:val="17"/>
              </w:rPr>
              <w:t>raw</w:t>
            </w:r>
          </w:p>
        </w:tc>
        <w:tc>
          <w:tcPr>
            <w:tcW w:type="dxa" w:w="1134"/>
          </w:tcPr>
          <w:p>
            <w:pPr>
              <w:spacing w:line="240" w:lineRule="auto" w:after="0"/>
            </w:pPr>
            <w:r>
              <w:rPr>
                <w:sz w:val="17"/>
              </w:rPr>
            </w:r>
            <w:r>
              <w:rPr>
                <w:sz w:val="17"/>
              </w:rPr>
              <w:t>0.8023 (0.7825–0.8220)</w:t>
            </w:r>
          </w:p>
        </w:tc>
        <w:tc>
          <w:tcPr>
            <w:tcW w:type="dxa" w:w="1134"/>
          </w:tcPr>
          <w:p>
            <w:pPr>
              <w:spacing w:line="240" w:lineRule="auto" w:after="0"/>
            </w:pPr>
            <w:r>
              <w:rPr>
                <w:sz w:val="17"/>
              </w:rPr>
            </w:r>
            <w:r>
              <w:rPr>
                <w:sz w:val="17"/>
              </w:rPr>
              <w:t>0.971</w:t>
            </w:r>
          </w:p>
        </w:tc>
        <w:tc>
          <w:tcPr>
            <w:tcW w:type="dxa" w:w="1134"/>
          </w:tcPr>
          <w:p>
            <w:pPr>
              <w:spacing w:line="240" w:lineRule="auto" w:after="0"/>
            </w:pPr>
            <w:r>
              <w:rPr>
                <w:sz w:val="17"/>
              </w:rPr>
            </w:r>
            <w:r>
              <w:rPr>
                <w:sz w:val="17"/>
              </w:rPr>
              <w:t>1.179</w:t>
            </w:r>
          </w:p>
        </w:tc>
        <w:tc>
          <w:tcPr>
            <w:tcW w:type="dxa" w:w="1134"/>
          </w:tcPr>
          <w:p>
            <w:pPr>
              <w:spacing w:line="240" w:lineRule="auto" w:after="0"/>
            </w:pPr>
            <w:r>
              <w:rPr>
                <w:sz w:val="17"/>
              </w:rPr>
            </w:r>
            <w:r>
              <w:rPr>
                <w:sz w:val="17"/>
              </w:rPr>
              <w:t>0.161</w:t>
            </w:r>
          </w:p>
        </w:tc>
      </w:tr>
      <w:tr>
        <w:tc>
          <w:tcPr>
            <w:tcW w:type="dxa" w:w="1134"/>
          </w:tcPr>
          <w:p>
            <w:pPr>
              <w:spacing w:line="240" w:lineRule="auto" w:after="0"/>
            </w:pPr>
            <w:r>
              <w:rPr>
                <w:sz w:val="17"/>
              </w:rPr>
            </w:r>
            <w:r>
              <w:rPr>
                <w:sz w:val="17"/>
              </w:rPr>
              <w:t>Round A</w:t>
            </w:r>
          </w:p>
        </w:tc>
        <w:tc>
          <w:tcPr>
            <w:tcW w:type="dxa" w:w="1134"/>
          </w:tcPr>
          <w:p>
            <w:pPr>
              <w:spacing w:line="240" w:lineRule="auto" w:after="0"/>
            </w:pPr>
            <w:r>
              <w:rPr>
                <w:sz w:val="17"/>
              </w:rPr>
            </w:r>
            <w:r>
              <w:rPr>
                <w:sz w:val="17"/>
              </w:rPr>
              <w:t>CLHLS+KLoSA</w:t>
            </w:r>
          </w:p>
        </w:tc>
        <w:tc>
          <w:tcPr>
            <w:tcW w:type="dxa" w:w="1134"/>
          </w:tcPr>
          <w:p>
            <w:pPr>
              <w:spacing w:line="240" w:lineRule="auto" w:after="0"/>
            </w:pPr>
            <w:r>
              <w:rPr>
                <w:sz w:val="17"/>
              </w:rPr>
            </w:r>
            <w:r>
              <w:rPr>
                <w:sz w:val="17"/>
              </w:rPr>
              <w:t>CHARLS</w:t>
            </w:r>
          </w:p>
        </w:tc>
        <w:tc>
          <w:tcPr>
            <w:tcW w:type="dxa" w:w="1134"/>
          </w:tcPr>
          <w:p>
            <w:pPr>
              <w:spacing w:line="240" w:lineRule="auto" w:after="0"/>
            </w:pPr>
            <w:r>
              <w:rPr>
                <w:sz w:val="17"/>
              </w:rPr>
            </w:r>
            <w:r>
              <w:rPr>
                <w:sz w:val="17"/>
              </w:rPr>
              <w:t>raw</w:t>
            </w:r>
          </w:p>
        </w:tc>
        <w:tc>
          <w:tcPr>
            <w:tcW w:type="dxa" w:w="1134"/>
          </w:tcPr>
          <w:p>
            <w:pPr>
              <w:spacing w:line="240" w:lineRule="auto" w:after="0"/>
            </w:pPr>
            <w:r>
              <w:rPr>
                <w:sz w:val="17"/>
              </w:rPr>
            </w:r>
            <w:r>
              <w:rPr>
                <w:sz w:val="17"/>
              </w:rPr>
              <w:t>0.7588 (0.7400–0.7780)</w:t>
            </w:r>
          </w:p>
        </w:tc>
        <w:tc>
          <w:tcPr>
            <w:tcW w:type="dxa" w:w="1134"/>
          </w:tcPr>
          <w:p>
            <w:pPr>
              <w:spacing w:line="240" w:lineRule="auto" w:after="0"/>
            </w:pPr>
            <w:r>
              <w:rPr>
                <w:sz w:val="17"/>
              </w:rPr>
            </w:r>
            <w:r>
              <w:rPr>
                <w:sz w:val="17"/>
              </w:rPr>
              <w:t>0.669</w:t>
            </w:r>
          </w:p>
        </w:tc>
        <w:tc>
          <w:tcPr>
            <w:tcW w:type="dxa" w:w="1134"/>
          </w:tcPr>
          <w:p>
            <w:pPr>
              <w:spacing w:line="240" w:lineRule="auto" w:after="0"/>
            </w:pPr>
            <w:r>
              <w:rPr>
                <w:sz w:val="17"/>
              </w:rPr>
            </w:r>
            <w:r>
              <w:rPr>
                <w:sz w:val="17"/>
              </w:rPr>
              <w:t>0.851</w:t>
            </w:r>
          </w:p>
        </w:tc>
        <w:tc>
          <w:tcPr>
            <w:tcW w:type="dxa" w:w="1134"/>
          </w:tcPr>
          <w:p>
            <w:pPr>
              <w:spacing w:line="240" w:lineRule="auto" w:after="0"/>
            </w:pPr>
            <w:r>
              <w:rPr>
                <w:sz w:val="17"/>
              </w:rPr>
            </w:r>
            <w:r>
              <w:rPr>
                <w:sz w:val="17"/>
              </w:rPr>
              <w:t>0.060</w:t>
            </w:r>
          </w:p>
        </w:tc>
      </w:tr>
      <w:tr>
        <w:tc>
          <w:tcPr>
            <w:tcW w:type="dxa" w:w="1134"/>
          </w:tcPr>
          <w:p>
            <w:pPr>
              <w:spacing w:line="240" w:lineRule="auto" w:after="0"/>
            </w:pPr>
            <w:r>
              <w:rPr>
                <w:sz w:val="17"/>
              </w:rPr>
            </w:r>
            <w:r>
              <w:rPr>
                <w:sz w:val="17"/>
              </w:rPr>
              <w:t>Round A</w:t>
            </w:r>
          </w:p>
        </w:tc>
        <w:tc>
          <w:tcPr>
            <w:tcW w:type="dxa" w:w="1134"/>
          </w:tcPr>
          <w:p>
            <w:pPr>
              <w:spacing w:line="240" w:lineRule="auto" w:after="0"/>
            </w:pPr>
            <w:r>
              <w:rPr>
                <w:sz w:val="17"/>
              </w:rPr>
            </w:r>
            <w:r>
              <w:rPr>
                <w:sz w:val="17"/>
              </w:rPr>
              <w:t>CLHLS+KLoSA</w:t>
            </w:r>
          </w:p>
        </w:tc>
        <w:tc>
          <w:tcPr>
            <w:tcW w:type="dxa" w:w="1134"/>
          </w:tcPr>
          <w:p>
            <w:pPr>
              <w:spacing w:line="240" w:lineRule="auto" w:after="0"/>
            </w:pPr>
            <w:r>
              <w:rPr>
                <w:sz w:val="17"/>
              </w:rPr>
            </w:r>
            <w:r>
              <w:rPr>
                <w:sz w:val="17"/>
              </w:rPr>
              <w:t>CHARLS</w:t>
            </w:r>
          </w:p>
        </w:tc>
        <w:tc>
          <w:tcPr>
            <w:tcW w:type="dxa" w:w="1134"/>
          </w:tcPr>
          <w:p>
            <w:pPr>
              <w:spacing w:line="240" w:lineRule="auto" w:after="0"/>
            </w:pPr>
            <w:r>
              <w:rPr>
                <w:sz w:val="17"/>
              </w:rPr>
            </w:r>
            <w:r>
              <w:rPr>
                <w:sz w:val="17"/>
              </w:rPr>
              <w:t>L1</w:t>
            </w:r>
          </w:p>
        </w:tc>
        <w:tc>
          <w:tcPr>
            <w:tcW w:type="dxa" w:w="1134"/>
          </w:tcPr>
          <w:p>
            <w:pPr>
              <w:spacing w:line="240" w:lineRule="auto" w:after="0"/>
            </w:pPr>
            <w:r>
              <w:rPr>
                <w:sz w:val="17"/>
              </w:rPr>
            </w:r>
            <w:r>
              <w:rPr>
                <w:sz w:val="17"/>
              </w:rPr>
              <w:t>0.7588 (0.7435–0.7762)</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0.851</w:t>
            </w:r>
          </w:p>
        </w:tc>
        <w:tc>
          <w:tcPr>
            <w:tcW w:type="dxa" w:w="1134"/>
          </w:tcPr>
          <w:p>
            <w:pPr>
              <w:spacing w:line="240" w:lineRule="auto" w:after="0"/>
            </w:pPr>
            <w:r>
              <w:rPr>
                <w:sz w:val="17"/>
              </w:rPr>
            </w:r>
            <w:r>
              <w:rPr>
                <w:sz w:val="17"/>
              </w:rPr>
              <w:t>0.114</w:t>
            </w:r>
          </w:p>
        </w:tc>
      </w:tr>
      <w:tr>
        <w:tc>
          <w:tcPr>
            <w:tcW w:type="dxa" w:w="1134"/>
          </w:tcPr>
          <w:p>
            <w:pPr>
              <w:spacing w:line="240" w:lineRule="auto" w:after="0"/>
            </w:pPr>
            <w:r>
              <w:rPr>
                <w:sz w:val="17"/>
              </w:rPr>
            </w:r>
            <w:r>
              <w:rPr>
                <w:sz w:val="17"/>
              </w:rPr>
              <w:t>Round B</w:t>
            </w:r>
          </w:p>
        </w:tc>
        <w:tc>
          <w:tcPr>
            <w:tcW w:type="dxa" w:w="1134"/>
          </w:tcPr>
          <w:p>
            <w:pPr>
              <w:spacing w:line="240" w:lineRule="auto" w:after="0"/>
            </w:pPr>
            <w:r>
              <w:rPr>
                <w:sz w:val="17"/>
              </w:rPr>
            </w:r>
            <w:r>
              <w:rPr>
                <w:sz w:val="17"/>
              </w:rPr>
              <w:t>CHARLS+KLoSA</w:t>
            </w:r>
          </w:p>
        </w:tc>
        <w:tc>
          <w:tcPr>
            <w:tcW w:type="dxa" w:w="1134"/>
          </w:tcPr>
          <w:p>
            <w:pPr>
              <w:spacing w:line="240" w:lineRule="auto" w:after="0"/>
            </w:pPr>
            <w:r>
              <w:rPr>
                <w:sz w:val="17"/>
              </w:rPr>
            </w:r>
            <w:r>
              <w:rPr>
                <w:sz w:val="17"/>
              </w:rPr>
              <w:t>CLHLS</w:t>
            </w:r>
          </w:p>
        </w:tc>
        <w:tc>
          <w:tcPr>
            <w:tcW w:type="dxa" w:w="1134"/>
          </w:tcPr>
          <w:p>
            <w:pPr>
              <w:spacing w:line="240" w:lineRule="auto" w:after="0"/>
            </w:pPr>
            <w:r>
              <w:rPr>
                <w:sz w:val="17"/>
              </w:rPr>
            </w:r>
            <w:r>
              <w:rPr>
                <w:sz w:val="17"/>
              </w:rPr>
              <w:t>raw</w:t>
            </w:r>
          </w:p>
        </w:tc>
        <w:tc>
          <w:tcPr>
            <w:tcW w:type="dxa" w:w="1134"/>
          </w:tcPr>
          <w:p>
            <w:pPr>
              <w:spacing w:line="240" w:lineRule="auto" w:after="0"/>
            </w:pPr>
            <w:r>
              <w:rPr>
                <w:sz w:val="17"/>
              </w:rPr>
            </w:r>
            <w:r>
              <w:rPr>
                <w:sz w:val="17"/>
              </w:rPr>
              <w:t>0.8346 (0.8268–0.8448)</w:t>
            </w:r>
          </w:p>
        </w:tc>
        <w:tc>
          <w:tcPr>
            <w:tcW w:type="dxa" w:w="1134"/>
          </w:tcPr>
          <w:p>
            <w:pPr>
              <w:spacing w:line="240" w:lineRule="auto" w:after="0"/>
            </w:pPr>
            <w:r>
              <w:rPr>
                <w:sz w:val="17"/>
              </w:rPr>
            </w:r>
            <w:r>
              <w:rPr>
                <w:sz w:val="17"/>
              </w:rPr>
              <w:t>1.266</w:t>
            </w:r>
          </w:p>
        </w:tc>
        <w:tc>
          <w:tcPr>
            <w:tcW w:type="dxa" w:w="1134"/>
          </w:tcPr>
          <w:p>
            <w:pPr>
              <w:spacing w:line="240" w:lineRule="auto" w:after="0"/>
            </w:pPr>
            <w:r>
              <w:rPr>
                <w:sz w:val="17"/>
              </w:rPr>
            </w:r>
            <w:r>
              <w:rPr>
                <w:sz w:val="17"/>
              </w:rPr>
              <w:t>0.936</w:t>
            </w:r>
          </w:p>
        </w:tc>
        <w:tc>
          <w:tcPr>
            <w:tcW w:type="dxa" w:w="1134"/>
          </w:tcPr>
          <w:p>
            <w:pPr>
              <w:spacing w:line="240" w:lineRule="auto" w:after="0"/>
            </w:pPr>
            <w:r>
              <w:rPr>
                <w:sz w:val="17"/>
              </w:rPr>
            </w:r>
            <w:r>
              <w:rPr>
                <w:sz w:val="17"/>
              </w:rPr>
              <w:t>0.286</w:t>
            </w:r>
          </w:p>
        </w:tc>
      </w:tr>
      <w:tr>
        <w:tc>
          <w:tcPr>
            <w:tcW w:type="dxa" w:w="1134"/>
          </w:tcPr>
          <w:p>
            <w:pPr>
              <w:spacing w:line="240" w:lineRule="auto" w:after="0"/>
            </w:pPr>
            <w:r>
              <w:rPr>
                <w:sz w:val="17"/>
              </w:rPr>
            </w:r>
            <w:r>
              <w:rPr>
                <w:sz w:val="17"/>
              </w:rPr>
              <w:t>Round B</w:t>
            </w:r>
          </w:p>
        </w:tc>
        <w:tc>
          <w:tcPr>
            <w:tcW w:type="dxa" w:w="1134"/>
          </w:tcPr>
          <w:p>
            <w:pPr>
              <w:spacing w:line="240" w:lineRule="auto" w:after="0"/>
            </w:pPr>
            <w:r>
              <w:rPr>
                <w:sz w:val="17"/>
              </w:rPr>
            </w:r>
            <w:r>
              <w:rPr>
                <w:sz w:val="17"/>
              </w:rPr>
              <w:t>CHARLS+KLoSA</w:t>
            </w:r>
          </w:p>
        </w:tc>
        <w:tc>
          <w:tcPr>
            <w:tcW w:type="dxa" w:w="1134"/>
          </w:tcPr>
          <w:p>
            <w:pPr>
              <w:spacing w:line="240" w:lineRule="auto" w:after="0"/>
            </w:pPr>
            <w:r>
              <w:rPr>
                <w:sz w:val="17"/>
              </w:rPr>
            </w:r>
            <w:r>
              <w:rPr>
                <w:sz w:val="17"/>
              </w:rPr>
              <w:t>CLHLS</w:t>
            </w:r>
          </w:p>
        </w:tc>
        <w:tc>
          <w:tcPr>
            <w:tcW w:type="dxa" w:w="1134"/>
          </w:tcPr>
          <w:p>
            <w:pPr>
              <w:spacing w:line="240" w:lineRule="auto" w:after="0"/>
            </w:pPr>
            <w:r>
              <w:rPr>
                <w:sz w:val="17"/>
              </w:rPr>
            </w:r>
            <w:r>
              <w:rPr>
                <w:sz w:val="17"/>
              </w:rPr>
              <w:t>L1</w:t>
            </w:r>
          </w:p>
        </w:tc>
        <w:tc>
          <w:tcPr>
            <w:tcW w:type="dxa" w:w="1134"/>
          </w:tcPr>
          <w:p>
            <w:pPr>
              <w:spacing w:line="240" w:lineRule="auto" w:after="0"/>
            </w:pPr>
            <w:r>
              <w:rPr>
                <w:sz w:val="17"/>
              </w:rPr>
            </w:r>
            <w:r>
              <w:rPr>
                <w:sz w:val="17"/>
              </w:rPr>
              <w:t>0.8346 (0.8249–0.8443)</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0.936</w:t>
            </w:r>
          </w:p>
        </w:tc>
        <w:tc>
          <w:tcPr>
            <w:tcW w:type="dxa" w:w="1134"/>
          </w:tcPr>
          <w:p>
            <w:pPr>
              <w:spacing w:line="240" w:lineRule="auto" w:after="0"/>
            </w:pPr>
            <w:r>
              <w:rPr>
                <w:sz w:val="17"/>
              </w:rPr>
            </w:r>
            <w:r>
              <w:rPr>
                <w:sz w:val="17"/>
              </w:rPr>
              <w:t>0.337</w:t>
            </w:r>
          </w:p>
        </w:tc>
      </w:tr>
      <w:tr>
        <w:tc>
          <w:tcPr>
            <w:tcW w:type="dxa" w:w="1134"/>
          </w:tcPr>
          <w:p>
            <w:pPr>
              <w:spacing w:line="240" w:lineRule="auto" w:after="0"/>
            </w:pPr>
            <w:r>
              <w:rPr>
                <w:sz w:val="17"/>
              </w:rPr>
            </w:r>
            <w:r>
              <w:rPr>
                <w:sz w:val="17"/>
              </w:rPr>
              <w:t>Round C</w:t>
            </w:r>
          </w:p>
        </w:tc>
        <w:tc>
          <w:tcPr>
            <w:tcW w:type="dxa" w:w="1134"/>
          </w:tcPr>
          <w:p>
            <w:pPr>
              <w:spacing w:line="240" w:lineRule="auto" w:after="0"/>
            </w:pPr>
            <w:r>
              <w:rPr>
                <w:sz w:val="17"/>
              </w:rPr>
            </w:r>
            <w:r>
              <w:rPr>
                <w:sz w:val="17"/>
              </w:rPr>
              <w:t>CHARLS+CLHLS</w:t>
            </w:r>
          </w:p>
        </w:tc>
        <w:tc>
          <w:tcPr>
            <w:tcW w:type="dxa" w:w="1134"/>
          </w:tcPr>
          <w:p>
            <w:pPr>
              <w:spacing w:line="240" w:lineRule="auto" w:after="0"/>
            </w:pPr>
            <w:r>
              <w:rPr>
                <w:sz w:val="17"/>
              </w:rPr>
            </w:r>
            <w:r>
              <w:rPr>
                <w:sz w:val="17"/>
              </w:rPr>
              <w:t>KLoSA</w:t>
            </w:r>
          </w:p>
        </w:tc>
        <w:tc>
          <w:tcPr>
            <w:tcW w:type="dxa" w:w="1134"/>
          </w:tcPr>
          <w:p>
            <w:pPr>
              <w:spacing w:line="240" w:lineRule="auto" w:after="0"/>
            </w:pPr>
            <w:r>
              <w:rPr>
                <w:sz w:val="17"/>
              </w:rPr>
            </w:r>
            <w:r>
              <w:rPr>
                <w:sz w:val="17"/>
              </w:rPr>
              <w:t>raw</w:t>
            </w:r>
          </w:p>
        </w:tc>
        <w:tc>
          <w:tcPr>
            <w:tcW w:type="dxa" w:w="1134"/>
          </w:tcPr>
          <w:p>
            <w:pPr>
              <w:spacing w:line="240" w:lineRule="auto" w:after="0"/>
            </w:pPr>
            <w:r>
              <w:rPr>
                <w:sz w:val="17"/>
              </w:rPr>
            </w:r>
            <w:r>
              <w:rPr>
                <w:sz w:val="17"/>
              </w:rPr>
              <w:t>0.8011 (0.7824–0.8218)</w:t>
            </w:r>
          </w:p>
        </w:tc>
        <w:tc>
          <w:tcPr>
            <w:tcW w:type="dxa" w:w="1134"/>
          </w:tcPr>
          <w:p>
            <w:pPr>
              <w:spacing w:line="240" w:lineRule="auto" w:after="0"/>
            </w:pPr>
            <w:r>
              <w:rPr>
                <w:sz w:val="17"/>
              </w:rPr>
            </w:r>
            <w:r>
              <w:rPr>
                <w:sz w:val="17"/>
              </w:rPr>
              <w:t>0.758</w:t>
            </w:r>
          </w:p>
        </w:tc>
        <w:tc>
          <w:tcPr>
            <w:tcW w:type="dxa" w:w="1134"/>
          </w:tcPr>
          <w:p>
            <w:pPr>
              <w:spacing w:line="240" w:lineRule="auto" w:after="0"/>
            </w:pPr>
            <w:r>
              <w:rPr>
                <w:sz w:val="17"/>
              </w:rPr>
            </w:r>
            <w:r>
              <w:rPr>
                <w:sz w:val="17"/>
              </w:rPr>
              <w:t>1.076</w:t>
            </w:r>
          </w:p>
        </w:tc>
        <w:tc>
          <w:tcPr>
            <w:tcW w:type="dxa" w:w="1134"/>
          </w:tcPr>
          <w:p>
            <w:pPr>
              <w:spacing w:line="240" w:lineRule="auto" w:after="0"/>
            </w:pPr>
            <w:r>
              <w:rPr>
                <w:sz w:val="17"/>
              </w:rPr>
            </w:r>
            <w:r>
              <w:rPr>
                <w:sz w:val="17"/>
              </w:rPr>
              <w:t>0.148</w:t>
            </w:r>
          </w:p>
        </w:tc>
      </w:tr>
      <w:tr>
        <w:tc>
          <w:tcPr>
            <w:tcW w:type="dxa" w:w="1134"/>
          </w:tcPr>
          <w:p>
            <w:pPr>
              <w:spacing w:line="240" w:lineRule="auto" w:after="0"/>
            </w:pPr>
            <w:r>
              <w:rPr>
                <w:sz w:val="17"/>
              </w:rPr>
            </w:r>
            <w:r>
              <w:rPr>
                <w:sz w:val="17"/>
              </w:rPr>
              <w:t>Round C</w:t>
            </w:r>
          </w:p>
        </w:tc>
        <w:tc>
          <w:tcPr>
            <w:tcW w:type="dxa" w:w="1134"/>
          </w:tcPr>
          <w:p>
            <w:pPr>
              <w:spacing w:line="240" w:lineRule="auto" w:after="0"/>
            </w:pPr>
            <w:r>
              <w:rPr>
                <w:sz w:val="17"/>
              </w:rPr>
            </w:r>
            <w:r>
              <w:rPr>
                <w:sz w:val="17"/>
              </w:rPr>
              <w:t>CHARLS+CLHLS</w:t>
            </w:r>
          </w:p>
        </w:tc>
        <w:tc>
          <w:tcPr>
            <w:tcW w:type="dxa" w:w="1134"/>
          </w:tcPr>
          <w:p>
            <w:pPr>
              <w:spacing w:line="240" w:lineRule="auto" w:after="0"/>
            </w:pPr>
            <w:r>
              <w:rPr>
                <w:sz w:val="17"/>
              </w:rPr>
            </w:r>
            <w:r>
              <w:rPr>
                <w:sz w:val="17"/>
              </w:rPr>
              <w:t>KLoSA</w:t>
            </w:r>
          </w:p>
        </w:tc>
        <w:tc>
          <w:tcPr>
            <w:tcW w:type="dxa" w:w="1134"/>
          </w:tcPr>
          <w:p>
            <w:pPr>
              <w:spacing w:line="240" w:lineRule="auto" w:after="0"/>
            </w:pPr>
            <w:r>
              <w:rPr>
                <w:sz w:val="17"/>
              </w:rPr>
            </w:r>
            <w:r>
              <w:rPr>
                <w:sz w:val="17"/>
              </w:rPr>
              <w:t>L1</w:t>
            </w:r>
          </w:p>
        </w:tc>
        <w:tc>
          <w:tcPr>
            <w:tcW w:type="dxa" w:w="1134"/>
          </w:tcPr>
          <w:p>
            <w:pPr>
              <w:spacing w:line="240" w:lineRule="auto" w:after="0"/>
            </w:pPr>
            <w:r>
              <w:rPr>
                <w:sz w:val="17"/>
              </w:rPr>
            </w:r>
            <w:r>
              <w:rPr>
                <w:sz w:val="17"/>
              </w:rPr>
              <w:t>0.8011 (0.7800–0.8232)</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1.076</w:t>
            </w:r>
          </w:p>
        </w:tc>
        <w:tc>
          <w:tcPr>
            <w:tcW w:type="dxa" w:w="1134"/>
          </w:tcPr>
          <w:p>
            <w:pPr>
              <w:spacing w:line="240" w:lineRule="auto" w:after="0"/>
            </w:pPr>
            <w:r>
              <w:rPr>
                <w:sz w:val="17"/>
              </w:rPr>
            </w:r>
            <w:r>
              <w:rPr>
                <w:sz w:val="17"/>
              </w:rPr>
              <w:t>0.161</w:t>
            </w:r>
          </w:p>
        </w:tc>
      </w:tr>
      <w:tr>
        <w:tc>
          <w:tcPr>
            <w:tcW w:type="dxa" w:w="1134"/>
          </w:tcPr>
          <w:p>
            <w:pPr>
              <w:spacing w:line="240" w:lineRule="auto" w:after="0"/>
            </w:pPr>
            <w:r>
              <w:rPr>
                <w:sz w:val="17"/>
              </w:rPr>
            </w:r>
            <w:r>
              <w:rPr>
                <w:b/>
                <w:sz w:val="17"/>
              </w:rPr>
              <w:t>Aim 3: Asian pool → global external validation</w:t>
            </w:r>
          </w:p>
        </w:tc>
        <w:tc>
          <w:tcPr>
            <w:tcW w:type="dxa" w:w="1134"/>
          </w:tcPr>
          <w:p>
            <w:pPr>
              <w:spacing w:line="240" w:lineRule="auto" w:after="0"/>
            </w:pPr>
            <w:r>
              <w:rPr>
                <w:sz w:val="17"/>
              </w:rPr>
            </w:r>
          </w:p>
        </w:tc>
        <w:tc>
          <w:tcPr>
            <w:tcW w:type="dxa" w:w="1134"/>
          </w:tcPr>
          <w:p>
            <w:pPr>
              <w:spacing w:line="240" w:lineRule="auto" w:after="0"/>
            </w:pPr>
            <w:r>
              <w:rPr>
                <w:sz w:val="17"/>
              </w:rPr>
            </w:r>
          </w:p>
        </w:tc>
        <w:tc>
          <w:tcPr>
            <w:tcW w:type="dxa" w:w="1134"/>
          </w:tcPr>
          <w:p>
            <w:pPr>
              <w:spacing w:line="240" w:lineRule="auto" w:after="0"/>
            </w:pPr>
            <w:r>
              <w:rPr>
                <w:sz w:val="17"/>
              </w:rPr>
            </w:r>
          </w:p>
        </w:tc>
        <w:tc>
          <w:tcPr>
            <w:tcW w:type="dxa" w:w="1134"/>
          </w:tcPr>
          <w:p>
            <w:pPr>
              <w:spacing w:line="240" w:lineRule="auto" w:after="0"/>
            </w:pPr>
            <w:r>
              <w:rPr>
                <w:sz w:val="17"/>
              </w:rPr>
            </w:r>
          </w:p>
        </w:tc>
        <w:tc>
          <w:tcPr>
            <w:tcW w:type="dxa" w:w="1134"/>
          </w:tcPr>
          <w:p>
            <w:pPr>
              <w:spacing w:line="240" w:lineRule="auto" w:after="0"/>
            </w:pPr>
            <w:r>
              <w:rPr>
                <w:sz w:val="17"/>
              </w:rPr>
            </w:r>
          </w:p>
        </w:tc>
        <w:tc>
          <w:tcPr>
            <w:tcW w:type="dxa" w:w="1134"/>
          </w:tcPr>
          <w:p>
            <w:pPr>
              <w:spacing w:line="240" w:lineRule="auto" w:after="0"/>
            </w:pPr>
            <w:r>
              <w:rPr>
                <w:sz w:val="17"/>
              </w:rPr>
            </w:r>
          </w:p>
        </w:tc>
        <w:tc>
          <w:tcPr>
            <w:tcW w:type="dxa" w:w="1134"/>
          </w:tcPr>
          <w:p>
            <w:pPr>
              <w:spacing w:line="240" w:lineRule="auto" w:after="0"/>
            </w:pPr>
            <w:r>
              <w:rPr>
                <w:sz w:val="17"/>
              </w:rPr>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HRS</w:t>
            </w:r>
          </w:p>
        </w:tc>
        <w:tc>
          <w:tcPr>
            <w:tcW w:type="dxa" w:w="1134"/>
          </w:tcPr>
          <w:p>
            <w:pPr>
              <w:spacing w:line="240" w:lineRule="auto" w:after="0"/>
            </w:pPr>
            <w:r>
              <w:rPr>
                <w:sz w:val="17"/>
              </w:rPr>
            </w:r>
            <w:r>
              <w:rPr>
                <w:sz w:val="17"/>
              </w:rPr>
              <w:t>L0</w:t>
            </w:r>
          </w:p>
        </w:tc>
        <w:tc>
          <w:tcPr>
            <w:tcW w:type="dxa" w:w="1134"/>
          </w:tcPr>
          <w:p>
            <w:pPr>
              <w:spacing w:line="240" w:lineRule="auto" w:after="0"/>
            </w:pPr>
            <w:r>
              <w:rPr>
                <w:sz w:val="17"/>
              </w:rPr>
            </w:r>
            <w:r>
              <w:rPr>
                <w:sz w:val="17"/>
              </w:rPr>
              <w:t>0.7901 (0.7807–0.7992)</w:t>
            </w:r>
          </w:p>
        </w:tc>
        <w:tc>
          <w:tcPr>
            <w:tcW w:type="dxa" w:w="1134"/>
          </w:tcPr>
          <w:p>
            <w:pPr>
              <w:spacing w:line="240" w:lineRule="auto" w:after="0"/>
            </w:pPr>
            <w:r>
              <w:rPr>
                <w:sz w:val="17"/>
              </w:rPr>
            </w:r>
            <w:r>
              <w:rPr>
                <w:sz w:val="17"/>
              </w:rPr>
              <w:t>0.821</w:t>
            </w:r>
          </w:p>
        </w:tc>
        <w:tc>
          <w:tcPr>
            <w:tcW w:type="dxa" w:w="1134"/>
          </w:tcPr>
          <w:p>
            <w:pPr>
              <w:spacing w:line="240" w:lineRule="auto" w:after="0"/>
            </w:pPr>
            <w:r>
              <w:rPr>
                <w:sz w:val="17"/>
              </w:rPr>
            </w:r>
            <w:r>
              <w:rPr>
                <w:sz w:val="17"/>
              </w:rPr>
              <w:t>0.967</w:t>
            </w:r>
          </w:p>
        </w:tc>
        <w:tc>
          <w:tcPr>
            <w:tcW w:type="dxa" w:w="1134"/>
          </w:tcPr>
          <w:p>
            <w:pPr>
              <w:spacing w:line="240" w:lineRule="auto" w:after="0"/>
            </w:pPr>
            <w:r>
              <w:rPr>
                <w:sz w:val="17"/>
              </w:rPr>
            </w:r>
            <w:r>
              <w:rPr>
                <w:sz w:val="17"/>
              </w:rPr>
              <w:t>0.193</w:t>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HRS</w:t>
            </w:r>
          </w:p>
        </w:tc>
        <w:tc>
          <w:tcPr>
            <w:tcW w:type="dxa" w:w="1134"/>
          </w:tcPr>
          <w:p>
            <w:pPr>
              <w:spacing w:line="240" w:lineRule="auto" w:after="0"/>
            </w:pPr>
            <w:r>
              <w:rPr>
                <w:sz w:val="17"/>
              </w:rPr>
            </w:r>
            <w:r>
              <w:rPr>
                <w:sz w:val="17"/>
              </w:rPr>
              <w:t>L3</w:t>
            </w:r>
          </w:p>
        </w:tc>
        <w:tc>
          <w:tcPr>
            <w:tcW w:type="dxa" w:w="1134"/>
          </w:tcPr>
          <w:p>
            <w:pPr>
              <w:spacing w:line="240" w:lineRule="auto" w:after="0"/>
            </w:pPr>
            <w:r>
              <w:rPr>
                <w:sz w:val="17"/>
              </w:rPr>
            </w:r>
            <w:r>
              <w:rPr>
                <w:sz w:val="17"/>
              </w:rPr>
              <w:t>0.7929 (0.7818–0.8038)</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0.211</w:t>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SHARE</w:t>
            </w:r>
          </w:p>
        </w:tc>
        <w:tc>
          <w:tcPr>
            <w:tcW w:type="dxa" w:w="1134"/>
          </w:tcPr>
          <w:p>
            <w:pPr>
              <w:spacing w:line="240" w:lineRule="auto" w:after="0"/>
            </w:pPr>
            <w:r>
              <w:rPr>
                <w:sz w:val="17"/>
              </w:rPr>
            </w:r>
            <w:r>
              <w:rPr>
                <w:sz w:val="17"/>
              </w:rPr>
              <w:t>L0</w:t>
            </w:r>
          </w:p>
        </w:tc>
        <w:tc>
          <w:tcPr>
            <w:tcW w:type="dxa" w:w="1134"/>
          </w:tcPr>
          <w:p>
            <w:pPr>
              <w:spacing w:line="240" w:lineRule="auto" w:after="0"/>
            </w:pPr>
            <w:r>
              <w:rPr>
                <w:sz w:val="17"/>
              </w:rPr>
            </w:r>
            <w:r>
              <w:rPr>
                <w:sz w:val="17"/>
              </w:rPr>
              <w:t>0.7780 (0.7699–0.7873)</w:t>
            </w:r>
          </w:p>
        </w:tc>
        <w:tc>
          <w:tcPr>
            <w:tcW w:type="dxa" w:w="1134"/>
          </w:tcPr>
          <w:p>
            <w:pPr>
              <w:spacing w:line="240" w:lineRule="auto" w:after="0"/>
            </w:pPr>
            <w:r>
              <w:rPr>
                <w:sz w:val="17"/>
              </w:rPr>
            </w:r>
            <w:r>
              <w:rPr>
                <w:sz w:val="17"/>
              </w:rPr>
              <w:t>0.599</w:t>
            </w:r>
          </w:p>
        </w:tc>
        <w:tc>
          <w:tcPr>
            <w:tcW w:type="dxa" w:w="1134"/>
          </w:tcPr>
          <w:p>
            <w:pPr>
              <w:spacing w:line="240" w:lineRule="auto" w:after="0"/>
            </w:pPr>
            <w:r>
              <w:rPr>
                <w:sz w:val="17"/>
              </w:rPr>
            </w:r>
            <w:r>
              <w:rPr>
                <w:sz w:val="17"/>
              </w:rPr>
              <w:t>0.838</w:t>
            </w:r>
          </w:p>
        </w:tc>
        <w:tc>
          <w:tcPr>
            <w:tcW w:type="dxa" w:w="1134"/>
          </w:tcPr>
          <w:p>
            <w:pPr>
              <w:spacing w:line="240" w:lineRule="auto" w:after="0"/>
            </w:pPr>
            <w:r>
              <w:rPr>
                <w:sz w:val="17"/>
              </w:rPr>
            </w:r>
            <w:r>
              <w:rPr>
                <w:sz w:val="17"/>
              </w:rPr>
              <w:t>0.028</w:t>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SHARE</w:t>
            </w:r>
          </w:p>
        </w:tc>
        <w:tc>
          <w:tcPr>
            <w:tcW w:type="dxa" w:w="1134"/>
          </w:tcPr>
          <w:p>
            <w:pPr>
              <w:spacing w:line="240" w:lineRule="auto" w:after="0"/>
            </w:pPr>
            <w:r>
              <w:rPr>
                <w:sz w:val="17"/>
              </w:rPr>
            </w:r>
            <w:r>
              <w:rPr>
                <w:sz w:val="17"/>
              </w:rPr>
              <w:t>L3</w:t>
            </w:r>
          </w:p>
        </w:tc>
        <w:tc>
          <w:tcPr>
            <w:tcW w:type="dxa" w:w="1134"/>
          </w:tcPr>
          <w:p>
            <w:pPr>
              <w:spacing w:line="240" w:lineRule="auto" w:after="0"/>
            </w:pPr>
            <w:r>
              <w:rPr>
                <w:sz w:val="17"/>
              </w:rPr>
            </w:r>
            <w:r>
              <w:rPr>
                <w:sz w:val="17"/>
              </w:rPr>
              <w:t>0.7797 (0.7721–0.7878)</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0.119</w:t>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MHAS</w:t>
            </w:r>
          </w:p>
        </w:tc>
        <w:tc>
          <w:tcPr>
            <w:tcW w:type="dxa" w:w="1134"/>
          </w:tcPr>
          <w:p>
            <w:pPr>
              <w:spacing w:line="240" w:lineRule="auto" w:after="0"/>
            </w:pPr>
            <w:r>
              <w:rPr>
                <w:sz w:val="17"/>
              </w:rPr>
            </w:r>
            <w:r>
              <w:rPr>
                <w:sz w:val="17"/>
              </w:rPr>
              <w:t>L0</w:t>
            </w:r>
          </w:p>
        </w:tc>
        <w:tc>
          <w:tcPr>
            <w:tcW w:type="dxa" w:w="1134"/>
          </w:tcPr>
          <w:p>
            <w:pPr>
              <w:spacing w:line="240" w:lineRule="auto" w:after="0"/>
            </w:pPr>
            <w:r>
              <w:rPr>
                <w:sz w:val="17"/>
              </w:rPr>
            </w:r>
            <w:r>
              <w:rPr>
                <w:sz w:val="17"/>
              </w:rPr>
              <w:t>0.7243 (0.7040–0.7432)</w:t>
            </w:r>
          </w:p>
        </w:tc>
        <w:tc>
          <w:tcPr>
            <w:tcW w:type="dxa" w:w="1134"/>
          </w:tcPr>
          <w:p>
            <w:pPr>
              <w:spacing w:line="240" w:lineRule="auto" w:after="0"/>
            </w:pPr>
            <w:r>
              <w:rPr>
                <w:sz w:val="17"/>
              </w:rPr>
            </w:r>
            <w:r>
              <w:rPr>
                <w:sz w:val="17"/>
              </w:rPr>
              <w:t>0.677</w:t>
            </w:r>
          </w:p>
        </w:tc>
        <w:tc>
          <w:tcPr>
            <w:tcW w:type="dxa" w:w="1134"/>
          </w:tcPr>
          <w:p>
            <w:pPr>
              <w:spacing w:line="240" w:lineRule="auto" w:after="0"/>
            </w:pPr>
            <w:r>
              <w:rPr>
                <w:sz w:val="17"/>
              </w:rPr>
            </w:r>
            <w:r>
              <w:rPr>
                <w:sz w:val="17"/>
              </w:rPr>
              <w:t>0.686</w:t>
            </w:r>
          </w:p>
        </w:tc>
        <w:tc>
          <w:tcPr>
            <w:tcW w:type="dxa" w:w="1134"/>
          </w:tcPr>
          <w:p>
            <w:pPr>
              <w:spacing w:line="240" w:lineRule="auto" w:after="0"/>
            </w:pPr>
            <w:r>
              <w:rPr>
                <w:sz w:val="17"/>
              </w:rPr>
            </w:r>
            <w:r>
              <w:rPr>
                <w:sz w:val="17"/>
              </w:rPr>
              <w:t>−0.002</w:t>
            </w:r>
          </w:p>
        </w:tc>
      </w:tr>
      <w:tr>
        <w:tc>
          <w:tcPr>
            <w:tcW w:type="dxa" w:w="1134"/>
          </w:tcPr>
          <w:p>
            <w:pPr>
              <w:spacing w:line="240" w:lineRule="auto" w:after="0"/>
            </w:pPr>
            <w:r>
              <w:rPr>
                <w:sz w:val="17"/>
              </w:rPr>
            </w:r>
            <w:r>
              <w:rPr>
                <w:sz w:val="17"/>
              </w:rPr>
              <w:t>Aim 3</w:t>
            </w:r>
          </w:p>
        </w:tc>
        <w:tc>
          <w:tcPr>
            <w:tcW w:type="dxa" w:w="1134"/>
          </w:tcPr>
          <w:p>
            <w:pPr>
              <w:spacing w:line="240" w:lineRule="auto" w:after="0"/>
            </w:pPr>
            <w:r>
              <w:rPr>
                <w:sz w:val="17"/>
              </w:rPr>
            </w:r>
            <w:r>
              <w:rPr>
                <w:sz w:val="17"/>
              </w:rPr>
              <w:t>Asian pool</w:t>
            </w:r>
          </w:p>
        </w:tc>
        <w:tc>
          <w:tcPr>
            <w:tcW w:type="dxa" w:w="1134"/>
          </w:tcPr>
          <w:p>
            <w:pPr>
              <w:spacing w:line="240" w:lineRule="auto" w:after="0"/>
            </w:pPr>
            <w:r>
              <w:rPr>
                <w:sz w:val="17"/>
              </w:rPr>
            </w:r>
            <w:r>
              <w:rPr>
                <w:sz w:val="17"/>
              </w:rPr>
              <w:t>MHAS</w:t>
            </w:r>
          </w:p>
        </w:tc>
        <w:tc>
          <w:tcPr>
            <w:tcW w:type="dxa" w:w="1134"/>
          </w:tcPr>
          <w:p>
            <w:pPr>
              <w:spacing w:line="240" w:lineRule="auto" w:after="0"/>
            </w:pPr>
            <w:r>
              <w:rPr>
                <w:sz w:val="17"/>
              </w:rPr>
            </w:r>
            <w:r>
              <w:rPr>
                <w:sz w:val="17"/>
              </w:rPr>
              <w:t>L3</w:t>
            </w:r>
          </w:p>
        </w:tc>
        <w:tc>
          <w:tcPr>
            <w:tcW w:type="dxa" w:w="1134"/>
          </w:tcPr>
          <w:p>
            <w:pPr>
              <w:spacing w:line="240" w:lineRule="auto" w:after="0"/>
            </w:pPr>
            <w:r>
              <w:rPr>
                <w:sz w:val="17"/>
              </w:rPr>
            </w:r>
            <w:r>
              <w:rPr>
                <w:sz w:val="17"/>
              </w:rPr>
              <w:t>0.7245 (0.7055–0.7431)</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1.000</w:t>
            </w:r>
          </w:p>
        </w:tc>
        <w:tc>
          <w:tcPr>
            <w:tcW w:type="dxa" w:w="1134"/>
          </w:tcPr>
          <w:p>
            <w:pPr>
              <w:spacing w:line="240" w:lineRule="auto" w:after="0"/>
            </w:pPr>
            <w:r>
              <w:rPr>
                <w:sz w:val="17"/>
              </w:rPr>
            </w:r>
            <w:r>
              <w:rPr>
                <w:sz w:val="17"/>
              </w:rPr>
              <w:t>0.082</w:t>
            </w:r>
          </w:p>
        </w:tc>
      </w:tr>
    </w:tbl>
    <w:p>
      <w:pPr>
        <w:spacing w:after="80"/>
      </w:pPr>
    </w:p>
    <w:p>
      <w:pPr>
        <w:spacing w:after="120"/>
      </w:pPr>
      <w:r>
        <w:t>raw / L0 = frozen model, no adjustment; L1 = intercept update; L3 = full refit in target cohort. Asian pool = CHARLS + CLHLS + KLoSA (N = 19,934; 4,563 events; event rate 22.9%).</w:t>
      </w:r>
    </w:p>
    <w:p>
      <w:pPr>
        <w:spacing w:after="120"/>
      </w:pPr>
      <w:r>
        <w:t>C-indices across the three LOCO rounds were stable, at 0.759 to 0.835. Raw O:E ratios were 0.669 (Round A), 1.266 (Round B) and 0.758 (Round C); after L1 intercept update all reached 1.000, while C-index held constant and IPA improved substantially (Round A: 0.060→0.114; Round B: 0.286→0.337). Figure 4 shows the calibration plots for all three rounds before and after the L1 update.</w:t>
      </w:r>
    </w:p>
    <w:p/>
    <w:p>
      <w:pPr>
        <w:spacing w:line="240" w:lineRule="auto"/>
        <w:jc w:val="center"/>
      </w:pPr>
      <w:r>
        <w:drawing>
          <wp:inline xmlns:a="http://schemas.openxmlformats.org/drawingml/2006/main" xmlns:pic="http://schemas.openxmlformats.org/drawingml/2006/picture">
            <wp:extent cx="5760000" cy="5921242"/>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760000" cy="5921242"/>
                    </a:xfrm>
                    <a:prstGeom prst="rect"/>
                  </pic:spPr>
                </pic:pic>
              </a:graphicData>
            </a:graphic>
          </wp:inline>
        </w:drawing>
      </w:r>
    </w:p>
    <w:p>
      <w:pPr>
        <w:spacing w:line="240" w:lineRule="auto" w:after="120"/>
        <w:jc w:val="center"/>
      </w:pPr>
      <w:r>
        <w:rPr>
          <w:b/>
          <w:sz w:val="18"/>
        </w:rPr>
        <w:t>[Figure 4]</w:t>
      </w:r>
    </w:p>
    <w:p/>
    <w:p>
      <w:pPr>
        <w:spacing w:after="120"/>
      </w:pPr>
      <w:r>
        <w:t xml:space="preserve">The down-sampling comparison (200 bootstrap replications at CHARLS size, n = 7,551) showed ΔC of +0.0013 for Round B and −0.0013 for Round C against the CHARLS-only baseline, both below the 0.02 threshold and without a consistent direction. Across the 200 replications, the maximum observed |ΔC| was 0.0023 in Round B and 0.0028 in Round C; the 95th percentile of |ΔC| was 0.0020 and 0.0022 respectively, and no replication in either round exceeded |ΔC| = 0.003. Adding a second Asian training cohort therefore produced no meaningful discrimination gain, and </w:t>
      </w:r>
      <w:r>
        <w:rPr>
          <w:b/>
        </w:rPr>
        <w:t>H3 is not supported</w:t>
      </w:r>
      <w:r>
        <w:t>.</w:t>
      </w:r>
    </w:p>
    <w:p>
      <w:pPr>
        <w:pStyle w:val="Heading3"/>
      </w:pPr>
      <w:r>
        <w:rPr>
          <w:rFonts w:ascii="Times New Roman" w:hAnsi="Times New Roman"/>
          <w:color w:val="000000"/>
        </w:rPr>
        <w:t>3.6 Aim 3: Asian pool to HRS, SHARE and MHAS</w:t>
      </w:r>
    </w:p>
    <w:p>
      <w:pPr>
        <w:spacing w:after="120"/>
      </w:pPr>
      <w:r>
        <w:t>Pooling CHARLS, CLHLS and KLoSA gave an Asian training set of 19,934 participants with 4,563 deaths at a 22.9% rate. The frozen pool model was applied separately to each validation cohort across the L0–L3 ladder (Table 3; Figure 5).</w:t>
      </w:r>
    </w:p>
    <w:p/>
    <w:p>
      <w:pPr>
        <w:spacing w:line="240" w:lineRule="auto"/>
        <w:jc w:val="center"/>
      </w:pPr>
      <w:r>
        <w:drawing>
          <wp:inline xmlns:a="http://schemas.openxmlformats.org/drawingml/2006/main" xmlns:pic="http://schemas.openxmlformats.org/drawingml/2006/picture">
            <wp:extent cx="5760000" cy="3200452"/>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760000" cy="3200452"/>
                    </a:xfrm>
                    <a:prstGeom prst="rect"/>
                  </pic:spPr>
                </pic:pic>
              </a:graphicData>
            </a:graphic>
          </wp:inline>
        </w:drawing>
      </w:r>
    </w:p>
    <w:p>
      <w:pPr>
        <w:spacing w:line="240" w:lineRule="auto" w:after="120"/>
        <w:jc w:val="center"/>
      </w:pPr>
      <w:r>
        <w:rPr>
          <w:b/>
          <w:sz w:val="18"/>
        </w:rPr>
        <w:t>[Figure 5]</w:t>
      </w:r>
    </w:p>
    <w:p/>
    <w:p>
      <w:pPr>
        <w:spacing w:after="120"/>
      </w:pPr>
      <w:r>
        <w:t>In HRS, L0 results were C-index 0.7901, O:E 0.821, slope 0.967 and IPA 0.193; by L3 these were 0.7929, 1.000, 1.000 and 0.211. In SHARE, L0 gave C-index 0.7780, O:E 0.599, slope 0.838 and IPA 0.028; L3 gave 0.7797, 1.000, 1.000 and 0.119. In MHAS, L0 gave C-index 0.7243, O:E 0.677, slope 0.686 and IPA −0.002; L3 gave 0.7245, 1.000, 1.000 and 0.082.</w:t>
      </w:r>
    </w:p>
    <w:p>
      <w:pPr>
        <w:spacing w:after="120"/>
      </w:pPr>
      <w:r>
        <w:t xml:space="preserve">C-index changed by 0.000–0.003 from L0 to L3 in every cohort, whereas calibration adjusted markedly under the ladder. </w:t>
      </w:r>
      <w:r>
        <w:rPr>
          <w:b/>
        </w:rPr>
        <w:t>H2 is supported</w:t>
      </w:r>
      <w:r>
        <w:t>.</w:t>
      </w:r>
    </w:p>
    <w:p>
      <w:pPr>
        <w:spacing w:after="120"/>
      </w:pPr>
      <w:r>
        <w:rPr>
          <w:b/>
        </w:rPr>
        <w:t>H4 is also supported.</w:t>
      </w:r>
      <w:r>
        <w:t xml:space="preserve"> L1 intercept recalibration alone (requiring only the target-population event rate) explained 87.5% of the total recoverable IPA gain in HRS ([0.2088 − 0.1927] / [0.2111 − 0.1927]), 93.9% in SHARE ([0.1138 − 0.0276] / [0.1194 − 0.0276]) and 78.2% in MHAS ([0.0634 − (−0.0022)] / [0.0817 − (−0.0022)]), all computed against the full L0→L3 recoverable span. Event-rate drift is the dominant source of calibration failure in all three cohorts.</w:t>
      </w:r>
    </w:p>
    <w:p>
      <w:pPr>
        <w:spacing w:after="120"/>
      </w:pPr>
      <w:r>
        <w:t>MHAS was the weakest validation case. Its L0 IPA of −0.002 means the Brier score was marginally worse than a null model: the Asian pool's high mean event rate (22.9%, pulled by CLHLS at 46.3%) drove systematic over-prediction in a 10.2%-event-rate target. IPA rose to 0.063 after L1 but the calibration slope remained 0.686, so MHAS needed L2 slope recalibration as well as intercept adjustment for reliable absolute risk estimation.</w:t>
      </w:r>
    </w:p>
    <w:p>
      <w:pPr>
        <w:spacing w:after="120"/>
      </w:pPr>
      <w:r>
        <w:t>SHARE's 19-country C-indices ranged from 0.691 (Netherlands) to 0.856 (Switzerland, French-speaking region), with a median of 0.768, showing reasonable geographic generalisation of the Asian-pool model within Europe while confirming that country-level differences in event rates and case-mix still affect discrimination. The full country-level distribution is shown in Supplementary Figure S2.</w:t>
      </w:r>
    </w:p>
    <w:p/>
    <w:p>
      <w:pPr>
        <w:spacing w:line="240" w:lineRule="auto"/>
        <w:jc w:val="center"/>
      </w:pPr>
      <w:r>
        <w:drawing>
          <wp:inline xmlns:a="http://schemas.openxmlformats.org/drawingml/2006/main" xmlns:pic="http://schemas.openxmlformats.org/drawingml/2006/picture">
            <wp:extent cx="5760000" cy="4499476"/>
            <wp:docPr id="6" name="Picture 6"/>
            <wp:cNvGraphicFramePr>
              <a:graphicFrameLocks noChangeAspect="1"/>
            </wp:cNvGraphicFramePr>
            <a:graphic>
              <a:graphicData uri="http://schemas.openxmlformats.org/drawingml/2006/picture">
                <pic:pic>
                  <pic:nvPicPr>
                    <pic:cNvPr id="0" name="FigureS2.png"/>
                    <pic:cNvPicPr/>
                  </pic:nvPicPr>
                  <pic:blipFill>
                    <a:blip r:embed="rId14"/>
                    <a:stretch>
                      <a:fillRect/>
                    </a:stretch>
                  </pic:blipFill>
                  <pic:spPr>
                    <a:xfrm>
                      <a:off x="0" y="0"/>
                      <a:ext cx="5760000" cy="4499476"/>
                    </a:xfrm>
                    <a:prstGeom prst="rect"/>
                  </pic:spPr>
                </pic:pic>
              </a:graphicData>
            </a:graphic>
          </wp:inline>
        </w:drawing>
      </w:r>
    </w:p>
    <w:p>
      <w:pPr>
        <w:spacing w:line="240" w:lineRule="auto" w:after="120"/>
        <w:jc w:val="center"/>
      </w:pPr>
      <w:r>
        <w:rPr>
          <w:b/>
          <w:sz w:val="18"/>
        </w:rPr>
        <w:t>[Figure S2]</w:t>
      </w:r>
    </w:p>
    <w:p/>
    <w:p>
      <w:pPr>
        <w:pStyle w:val="Heading3"/>
      </w:pPr>
      <w:r>
        <w:rPr>
          <w:rFonts w:ascii="Times New Roman" w:hAnsi="Times New Roman"/>
          <w:color w:val="000000"/>
        </w:rPr>
        <w:t>3.7 IPCW sensitivity analysis for missing CLHLS outcomes</w:t>
      </w:r>
    </w:p>
    <w:p>
      <w:pPr>
        <w:spacing w:after="120"/>
      </w:pPr>
      <w:r>
        <w:t>Of the 9,207 FI-eligible CLHLS participants, 22.9% had missing four-year outcomes. Higher FI (β = +0.652, p = 0.0004) and older age (β = +0.012, p &lt; 0.0001) predicted complete outcome ascertainment, whereas sex was non-significant (β = −0.078, p = 0.130), indicating mild informative rather than completely random censoring. Censoring rates by FI tertile were 25.2% (low), 24.1% (middle) and 19.6% (high). IPCW weights were narrow: before truncation, mean 1.292, median 1.291, range 1.159–1.451; after truncation at the 99th percentile (cut-off 1.414) the maximum was 1.414 and the mean essentially unchanged at 1.292.</w:t>
      </w:r>
    </w:p>
    <w:p>
      <w:pPr>
        <w:spacing w:after="120"/>
      </w:pPr>
      <w:r>
        <w:t>IPCW-weighted analysis gave C-index 0.8397 versus 0.8389 unweighted (ΔC = +0.0008), with O:E moving from 1.2473 to 1.2547, calibration slope from 0.9393 to 0.9458, Brier score from 0.1751 to 0.1740 and IPA from 0.2957 to 0.2967. None of these shifts is meaningful. The complete-case Aim 1 results are therefore robust to the mild informative censoring in this cohort. Supplementary Figure S3 presents the censoring model and the weighted-versus-unweighted comparison.</w:t>
      </w:r>
    </w:p>
    <w:p/>
    <w:p>
      <w:pPr>
        <w:spacing w:line="240" w:lineRule="auto"/>
        <w:jc w:val="center"/>
      </w:pPr>
      <w:r>
        <w:drawing>
          <wp:inline xmlns:a="http://schemas.openxmlformats.org/drawingml/2006/main" xmlns:pic="http://schemas.openxmlformats.org/drawingml/2006/picture">
            <wp:extent cx="5760000" cy="4404284"/>
            <wp:docPr id="7" name="Picture 7"/>
            <wp:cNvGraphicFramePr>
              <a:graphicFrameLocks noChangeAspect="1"/>
            </wp:cNvGraphicFramePr>
            <a:graphic>
              <a:graphicData uri="http://schemas.openxmlformats.org/drawingml/2006/picture">
                <pic:pic>
                  <pic:nvPicPr>
                    <pic:cNvPr id="0" name="FigureS3.png"/>
                    <pic:cNvPicPr/>
                  </pic:nvPicPr>
                  <pic:blipFill>
                    <a:blip r:embed="rId15"/>
                    <a:stretch>
                      <a:fillRect/>
                    </a:stretch>
                  </pic:blipFill>
                  <pic:spPr>
                    <a:xfrm>
                      <a:off x="0" y="0"/>
                      <a:ext cx="5760000" cy="4404284"/>
                    </a:xfrm>
                    <a:prstGeom prst="rect"/>
                  </pic:spPr>
                </pic:pic>
              </a:graphicData>
            </a:graphic>
          </wp:inline>
        </w:drawing>
      </w:r>
    </w:p>
    <w:p>
      <w:pPr>
        <w:spacing w:line="240" w:lineRule="auto" w:after="120"/>
        <w:jc w:val="center"/>
      </w:pPr>
      <w:r>
        <w:rPr>
          <w:b/>
          <w:sz w:val="18"/>
        </w:rPr>
        <w:t>[Figure S3]</w:t>
      </w:r>
    </w:p>
    <w:p/>
    <w:p>
      <w:pPr>
        <w:pStyle w:val="Heading3"/>
      </w:pPr>
      <w:r>
        <w:rPr>
          <w:rFonts w:ascii="Times New Roman" w:hAnsi="Times New Roman"/>
          <w:color w:val="000000"/>
        </w:rPr>
        <w:t>3.8 H6: cross-cohort feature importance concordance</w:t>
      </w:r>
    </w:p>
    <w:p>
      <w:pPr>
        <w:spacing w:after="120"/>
      </w:pPr>
      <w:r>
        <w:t xml:space="preserve">Cohort-specific logistic models on FI_core (19 items) plus age placed </w:t>
      </w:r>
      <w:r>
        <w:rPr>
          <w:b/>
        </w:rPr>
        <w:t>age first in all six cohorts</w:t>
      </w:r>
      <w:r>
        <w:t>. Self-rated health (</w:t>
      </w:r>
      <w:r>
        <w:rPr>
          <w:rFonts w:ascii="Consolas" w:hAnsi="Consolas"/>
          <w:sz w:val="19"/>
        </w:rPr>
        <w:t>shlt</w:t>
      </w:r>
      <w:r>
        <w:t>) reached the top three in CHARLS, HRS, SHARE and MHAS; meal-preparation difficulty (</w:t>
      </w:r>
      <w:r>
        <w:rPr>
          <w:rFonts w:ascii="Consolas" w:hAnsi="Consolas"/>
          <w:sz w:val="19"/>
        </w:rPr>
        <w:t>mealsa</w:t>
      </w:r>
      <w:r>
        <w:t>) ranked second in both CLHLS and KLoSA.</w:t>
      </w:r>
    </w:p>
    <w:p>
      <w:pPr>
        <w:spacing w:after="120"/>
      </w:pPr>
      <w:r>
        <w:t>Median pairwise Spearman rank correlation across the six cohorts was 0.4105 (range 0.0962–0.6677). The lowest concordance was KLoSA–HRS (0.096), followed by KLoSA–CHARLS (0.099). The highest were CHARLS–SHARE (0.668), HRS–SHARE (0.666) and SHARE–MHAS (0.662). Supplementary Figure S1 shows the full importance matrix and the pairwise concordance heat map.</w:t>
      </w:r>
    </w:p>
    <w:p/>
    <w:p>
      <w:pPr>
        <w:spacing w:line="240" w:lineRule="auto"/>
        <w:jc w:val="center"/>
      </w:pPr>
      <w:r>
        <w:drawing>
          <wp:inline xmlns:a="http://schemas.openxmlformats.org/drawingml/2006/main" xmlns:pic="http://schemas.openxmlformats.org/drawingml/2006/picture">
            <wp:extent cx="5760000" cy="4159774"/>
            <wp:docPr id="8" name="Picture 8"/>
            <wp:cNvGraphicFramePr>
              <a:graphicFrameLocks noChangeAspect="1"/>
            </wp:cNvGraphicFramePr>
            <a:graphic>
              <a:graphicData uri="http://schemas.openxmlformats.org/drawingml/2006/picture">
                <pic:pic>
                  <pic:nvPicPr>
                    <pic:cNvPr id="0" name="FigureS1.png"/>
                    <pic:cNvPicPr/>
                  </pic:nvPicPr>
                  <pic:blipFill>
                    <a:blip r:embed="rId16"/>
                    <a:stretch>
                      <a:fillRect/>
                    </a:stretch>
                  </pic:blipFill>
                  <pic:spPr>
                    <a:xfrm>
                      <a:off x="0" y="0"/>
                      <a:ext cx="5760000" cy="4159774"/>
                    </a:xfrm>
                    <a:prstGeom prst="rect"/>
                  </pic:spPr>
                </pic:pic>
              </a:graphicData>
            </a:graphic>
          </wp:inline>
        </w:drawing>
      </w:r>
    </w:p>
    <w:p>
      <w:pPr>
        <w:spacing w:line="240" w:lineRule="auto" w:after="120"/>
        <w:jc w:val="center"/>
      </w:pPr>
      <w:r>
        <w:rPr>
          <w:b/>
          <w:sz w:val="18"/>
        </w:rPr>
        <w:t>[Figure S1]</w:t>
      </w:r>
    </w:p>
    <w:p/>
    <w:p>
      <w:pPr>
        <w:spacing w:after="120"/>
      </w:pPr>
      <w:r>
        <w:rPr>
          <w:b/>
        </w:rPr>
        <w:t>H6 is partially supported.</w:t>
      </w:r>
      <w:r>
        <w:t xml:space="preserve"> The pre-registered criterion that age ranks in the top three was met in 6/6 cohorts. The criterion that median Spearman ρ ≥ 0.70 was not met (observed 0.41), indicating substantial cross-cohort heterogeneity in deficit-level importance.</w:t>
      </w:r>
    </w:p>
    <w:p>
      <w:pPr>
        <w:pStyle w:val="Heading3"/>
      </w:pPr>
      <w:r>
        <w:rPr>
          <w:rFonts w:ascii="Times New Roman" w:hAnsi="Times New Roman"/>
          <w:color w:val="000000"/>
        </w:rPr>
        <w:t>3.9 Supplementary analysis: FI versus intrinsic capacity (H5)</w:t>
      </w:r>
    </w:p>
    <w:p>
      <w:pPr>
        <w:spacing w:after="120"/>
      </w:pPr>
      <w:r>
        <w:t xml:space="preserve">In the pre-specified supplementary analysis within the CHARLS → CLHLS framework, Model B (FI + age) achieved apparent CHARLS C-index 0.7608 and external CLHLS C-index 0.8131, a cross-cohort shift of |ΔC| = 0.052. Model C (IC five domains + age) achieved 0.7105 and 0.8060 respectively, a shift of |ΔC| = 0.095. FI's cross-cohort change was smaller, so </w:t>
      </w:r>
      <w:r>
        <w:rPr>
          <w:b/>
        </w:rPr>
        <w:t>H5 is supported</w:t>
      </w:r>
      <w:r>
        <w:t>. Supplementary Figure S4 plots the internal-to-external shift for both models.</w:t>
      </w:r>
    </w:p>
    <w:p/>
    <w:p>
      <w:pPr>
        <w:spacing w:line="240" w:lineRule="auto"/>
        <w:jc w:val="center"/>
      </w:pPr>
      <w:r>
        <w:drawing>
          <wp:inline xmlns:a="http://schemas.openxmlformats.org/drawingml/2006/main" xmlns:pic="http://schemas.openxmlformats.org/drawingml/2006/picture">
            <wp:extent cx="5760000" cy="4087539"/>
            <wp:docPr id="9" name="Picture 9"/>
            <wp:cNvGraphicFramePr>
              <a:graphicFrameLocks noChangeAspect="1"/>
            </wp:cNvGraphicFramePr>
            <a:graphic>
              <a:graphicData uri="http://schemas.openxmlformats.org/drawingml/2006/picture">
                <pic:pic>
                  <pic:nvPicPr>
                    <pic:cNvPr id="0" name="FigureS4.png"/>
                    <pic:cNvPicPr/>
                  </pic:nvPicPr>
                  <pic:blipFill>
                    <a:blip r:embed="rId17"/>
                    <a:stretch>
                      <a:fillRect/>
                    </a:stretch>
                  </pic:blipFill>
                  <pic:spPr>
                    <a:xfrm>
                      <a:off x="0" y="0"/>
                      <a:ext cx="5760000" cy="4087539"/>
                    </a:xfrm>
                    <a:prstGeom prst="rect"/>
                  </pic:spPr>
                </pic:pic>
              </a:graphicData>
            </a:graphic>
          </wp:inline>
        </w:drawing>
      </w:r>
    </w:p>
    <w:p>
      <w:pPr>
        <w:spacing w:line="240" w:lineRule="auto" w:after="120"/>
        <w:jc w:val="center"/>
      </w:pPr>
      <w:r>
        <w:rPr>
          <w:b/>
          <w:sz w:val="18"/>
        </w:rPr>
        <w:t>[Figure S4]</w:t>
      </w:r>
    </w:p>
    <w:p/>
    <w:p>
      <w:pPr>
        <w:spacing w:after="120"/>
      </w:pPr>
      <w:r>
        <w:t>Three caveats apply. CLHLS IC domains were represented by binary FI-item proxies rather than continuous measurements, so the analysis likely overstates IC's apparent instability. The two models start from different CHARLS baselines (0.761 vs. 0.711), which complicates direct |ΔC| comparison. And both models' C-indices rose in CLHLS, partly because a high-event-rate cohort inflates C-statistics mechanically. Full H5 testing with continuous IC measurements is deferred to Paper 2.</w:t>
      </w:r>
    </w:p>
    <w:p>
      <w:pPr>
        <w:pStyle w:val="Heading3"/>
      </w:pPr>
      <w:r>
        <w:rPr>
          <w:rFonts w:ascii="Times New Roman" w:hAnsi="Times New Roman"/>
          <w:color w:val="000000"/>
        </w:rPr>
        <w:t>3.10 Sensitivity analysis: restriction to cross-cohort common items (SA-1)</w:t>
      </w:r>
    </w:p>
    <w:p>
      <w:pPr>
        <w:spacing w:after="120"/>
      </w:pPr>
      <w:r>
        <w:t>To test whether conclusions depend on item availability rather than frailty burden, we computed FI_core, the 19 items common to all six cohorts under strict column-name matching, with a unified threshold of 16 of 19. Table 4 compares FI_core and FI_full performance.</w:t>
      </w:r>
    </w:p>
    <w:p>
      <w:pPr>
        <w:spacing w:after="120"/>
      </w:pPr>
      <w:r>
        <w:rPr>
          <w:b/>
        </w:rPr>
        <w:t>Table 4. SA-1: FI_core (19 items) vs. FI_full (41 items)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after="0"/>
            </w:pPr>
            <w:r>
              <w:rPr>
                <w:b/>
                <w:sz w:val="17"/>
              </w:rPr>
            </w:r>
            <w:r>
              <w:rPr>
                <w:b/>
                <w:sz w:val="17"/>
              </w:rPr>
              <w:t>Cohort</w:t>
            </w:r>
          </w:p>
        </w:tc>
        <w:tc>
          <w:tcPr>
            <w:tcW w:type="dxa" w:w="1296"/>
          </w:tcPr>
          <w:p>
            <w:pPr>
              <w:spacing w:line="240" w:lineRule="auto" w:after="0"/>
            </w:pPr>
            <w:r>
              <w:rPr>
                <w:b/>
                <w:sz w:val="17"/>
              </w:rPr>
            </w:r>
            <w:r>
              <w:rPr>
                <w:b/>
                <w:sz w:val="17"/>
              </w:rPr>
              <w:t>Level</w:t>
            </w:r>
          </w:p>
        </w:tc>
        <w:tc>
          <w:tcPr>
            <w:tcW w:type="dxa" w:w="1296"/>
          </w:tcPr>
          <w:p>
            <w:pPr>
              <w:spacing w:line="240" w:lineRule="auto" w:after="0"/>
            </w:pPr>
            <w:r>
              <w:rPr>
                <w:b/>
                <w:sz w:val="17"/>
              </w:rPr>
            </w:r>
            <w:r>
              <w:rPr>
                <w:b/>
                <w:sz w:val="17"/>
              </w:rPr>
              <w:t>FI_core C-index</w:t>
            </w:r>
          </w:p>
        </w:tc>
        <w:tc>
          <w:tcPr>
            <w:tcW w:type="dxa" w:w="1296"/>
          </w:tcPr>
          <w:p>
            <w:pPr>
              <w:spacing w:line="240" w:lineRule="auto" w:after="0"/>
            </w:pPr>
            <w:r>
              <w:rPr>
                <w:b/>
                <w:sz w:val="17"/>
              </w:rPr>
            </w:r>
            <w:r>
              <w:rPr>
                <w:b/>
                <w:sz w:val="17"/>
              </w:rPr>
              <w:t>FI_full C-index</w:t>
            </w:r>
          </w:p>
        </w:tc>
        <w:tc>
          <w:tcPr>
            <w:tcW w:type="dxa" w:w="1296"/>
          </w:tcPr>
          <w:p>
            <w:pPr>
              <w:spacing w:line="240" w:lineRule="auto" w:after="0"/>
            </w:pPr>
            <w:r>
              <w:rPr>
                <w:b/>
                <w:sz w:val="17"/>
              </w:rPr>
            </w:r>
            <w:r>
              <w:rPr>
                <w:b/>
                <w:sz w:val="17"/>
              </w:rPr>
              <w:t>ΔC</w:t>
            </w:r>
          </w:p>
        </w:tc>
        <w:tc>
          <w:tcPr>
            <w:tcW w:type="dxa" w:w="1296"/>
          </w:tcPr>
          <w:p>
            <w:pPr>
              <w:spacing w:line="240" w:lineRule="auto" w:after="0"/>
            </w:pPr>
            <w:r>
              <w:rPr>
                <w:b/>
                <w:sz w:val="17"/>
              </w:rPr>
            </w:r>
            <w:r>
              <w:rPr>
                <w:b/>
                <w:sz w:val="17"/>
              </w:rPr>
              <w:t>FI_core O:E</w:t>
            </w:r>
          </w:p>
        </w:tc>
        <w:tc>
          <w:tcPr>
            <w:tcW w:type="dxa" w:w="1296"/>
          </w:tcPr>
          <w:p>
            <w:pPr>
              <w:spacing w:line="240" w:lineRule="auto" w:after="0"/>
            </w:pPr>
            <w:r>
              <w:rPr>
                <w:b/>
                <w:sz w:val="17"/>
              </w:rPr>
            </w:r>
            <w:r>
              <w:rPr>
                <w:b/>
                <w:sz w:val="17"/>
              </w:rPr>
              <w:t>FI_core IPA</w:t>
            </w:r>
          </w:p>
        </w:tc>
      </w:tr>
      <w:tr>
        <w:tc>
          <w:tcPr>
            <w:tcW w:type="dxa" w:w="1296"/>
          </w:tcPr>
          <w:p>
            <w:pPr>
              <w:spacing w:line="240" w:lineRule="auto" w:after="0"/>
            </w:pPr>
            <w:r>
              <w:rPr>
                <w:sz w:val="17"/>
              </w:rPr>
            </w:r>
            <w:r>
              <w:rPr>
                <w:sz w:val="17"/>
              </w:rPr>
              <w:t>CLHLS (Aim 1 external)</w:t>
            </w:r>
          </w:p>
        </w:tc>
        <w:tc>
          <w:tcPr>
            <w:tcW w:type="dxa" w:w="1296"/>
          </w:tcPr>
          <w:p>
            <w:pPr>
              <w:spacing w:line="240" w:lineRule="auto" w:after="0"/>
            </w:pPr>
            <w:r>
              <w:rPr>
                <w:sz w:val="17"/>
              </w:rPr>
            </w:r>
            <w:r>
              <w:rPr>
                <w:sz w:val="17"/>
              </w:rPr>
              <w:t>frozen</w:t>
            </w:r>
          </w:p>
        </w:tc>
        <w:tc>
          <w:tcPr>
            <w:tcW w:type="dxa" w:w="1296"/>
          </w:tcPr>
          <w:p>
            <w:pPr>
              <w:spacing w:line="240" w:lineRule="auto" w:after="0"/>
            </w:pPr>
            <w:r>
              <w:rPr>
                <w:sz w:val="17"/>
              </w:rPr>
            </w:r>
            <w:r>
              <w:rPr>
                <w:sz w:val="17"/>
              </w:rPr>
              <w:t>0.8346</w:t>
            </w:r>
          </w:p>
        </w:tc>
        <w:tc>
          <w:tcPr>
            <w:tcW w:type="dxa" w:w="1296"/>
          </w:tcPr>
          <w:p>
            <w:pPr>
              <w:spacing w:line="240" w:lineRule="auto" w:after="0"/>
            </w:pPr>
            <w:r>
              <w:rPr>
                <w:sz w:val="17"/>
              </w:rPr>
            </w:r>
            <w:r>
              <w:rPr>
                <w:sz w:val="17"/>
              </w:rPr>
              <w:t>0.8389</w:t>
            </w:r>
          </w:p>
        </w:tc>
        <w:tc>
          <w:tcPr>
            <w:tcW w:type="dxa" w:w="1296"/>
          </w:tcPr>
          <w:p>
            <w:pPr>
              <w:spacing w:line="240" w:lineRule="auto" w:after="0"/>
            </w:pPr>
            <w:r>
              <w:rPr>
                <w:sz w:val="17"/>
              </w:rPr>
            </w:r>
            <w:r>
              <w:rPr>
                <w:sz w:val="17"/>
              </w:rPr>
              <w:t>−0.0044</w:t>
            </w:r>
          </w:p>
        </w:tc>
        <w:tc>
          <w:tcPr>
            <w:tcW w:type="dxa" w:w="1296"/>
          </w:tcPr>
          <w:p>
            <w:pPr>
              <w:spacing w:line="240" w:lineRule="auto" w:after="0"/>
            </w:pPr>
            <w:r>
              <w:rPr>
                <w:sz w:val="17"/>
              </w:rPr>
            </w:r>
            <w:r>
              <w:rPr>
                <w:sz w:val="17"/>
              </w:rPr>
              <w:t>1.155</w:t>
            </w:r>
          </w:p>
        </w:tc>
        <w:tc>
          <w:tcPr>
            <w:tcW w:type="dxa" w:w="1296"/>
          </w:tcPr>
          <w:p>
            <w:pPr>
              <w:spacing w:line="240" w:lineRule="auto" w:after="0"/>
            </w:pPr>
            <w:r>
              <w:rPr>
                <w:sz w:val="17"/>
              </w:rPr>
            </w:r>
            <w:r>
              <w:rPr>
                <w:sz w:val="17"/>
              </w:rPr>
              <w:t>0.311</w:t>
            </w:r>
          </w:p>
        </w:tc>
      </w:tr>
      <w:tr>
        <w:tc>
          <w:tcPr>
            <w:tcW w:type="dxa" w:w="1296"/>
          </w:tcPr>
          <w:p>
            <w:pPr>
              <w:spacing w:line="240" w:lineRule="auto" w:after="0"/>
            </w:pPr>
            <w:r>
              <w:rPr>
                <w:sz w:val="17"/>
              </w:rPr>
            </w:r>
            <w:r>
              <w:rPr>
                <w:sz w:val="17"/>
              </w:rPr>
              <w:t>HRS</w:t>
            </w:r>
          </w:p>
        </w:tc>
        <w:tc>
          <w:tcPr>
            <w:tcW w:type="dxa" w:w="1296"/>
          </w:tcPr>
          <w:p>
            <w:pPr>
              <w:spacing w:line="240" w:lineRule="auto" w:after="0"/>
            </w:pPr>
            <w:r>
              <w:rPr>
                <w:sz w:val="17"/>
              </w:rPr>
            </w:r>
            <w:r>
              <w:rPr>
                <w:sz w:val="17"/>
              </w:rPr>
              <w:t>L0</w:t>
            </w:r>
          </w:p>
        </w:tc>
        <w:tc>
          <w:tcPr>
            <w:tcW w:type="dxa" w:w="1296"/>
          </w:tcPr>
          <w:p>
            <w:pPr>
              <w:spacing w:line="240" w:lineRule="auto" w:after="0"/>
            </w:pPr>
            <w:r>
              <w:rPr>
                <w:sz w:val="17"/>
              </w:rPr>
            </w:r>
            <w:r>
              <w:rPr>
                <w:sz w:val="17"/>
              </w:rPr>
              <w:t>0.7777</w:t>
            </w:r>
          </w:p>
        </w:tc>
        <w:tc>
          <w:tcPr>
            <w:tcW w:type="dxa" w:w="1296"/>
          </w:tcPr>
          <w:p>
            <w:pPr>
              <w:spacing w:line="240" w:lineRule="auto" w:after="0"/>
            </w:pPr>
            <w:r>
              <w:rPr>
                <w:sz w:val="17"/>
              </w:rPr>
            </w:r>
            <w:r>
              <w:rPr>
                <w:sz w:val="17"/>
              </w:rPr>
              <w:t>0.7901</w:t>
            </w:r>
          </w:p>
        </w:tc>
        <w:tc>
          <w:tcPr>
            <w:tcW w:type="dxa" w:w="1296"/>
          </w:tcPr>
          <w:p>
            <w:pPr>
              <w:spacing w:line="240" w:lineRule="auto" w:after="0"/>
            </w:pPr>
            <w:r>
              <w:rPr>
                <w:sz w:val="17"/>
              </w:rPr>
            </w:r>
            <w:r>
              <w:rPr>
                <w:sz w:val="17"/>
              </w:rPr>
              <w:t>−0.0124</w:t>
            </w:r>
          </w:p>
        </w:tc>
        <w:tc>
          <w:tcPr>
            <w:tcW w:type="dxa" w:w="1296"/>
          </w:tcPr>
          <w:p>
            <w:pPr>
              <w:spacing w:line="240" w:lineRule="auto" w:after="0"/>
            </w:pPr>
            <w:r>
              <w:rPr>
                <w:sz w:val="17"/>
              </w:rPr>
            </w:r>
            <w:r>
              <w:rPr>
                <w:sz w:val="17"/>
              </w:rPr>
              <w:t>0.979</w:t>
            </w:r>
          </w:p>
        </w:tc>
        <w:tc>
          <w:tcPr>
            <w:tcW w:type="dxa" w:w="1296"/>
          </w:tcPr>
          <w:p>
            <w:pPr>
              <w:spacing w:line="240" w:lineRule="auto" w:after="0"/>
            </w:pPr>
            <w:r>
              <w:rPr>
                <w:sz w:val="17"/>
              </w:rPr>
            </w:r>
            <w:r>
              <w:rPr>
                <w:sz w:val="17"/>
              </w:rPr>
              <w:t>0.204</w:t>
            </w:r>
          </w:p>
        </w:tc>
      </w:tr>
      <w:tr>
        <w:tc>
          <w:tcPr>
            <w:tcW w:type="dxa" w:w="1296"/>
          </w:tcPr>
          <w:p>
            <w:pPr>
              <w:spacing w:line="240" w:lineRule="auto" w:after="0"/>
            </w:pPr>
            <w:r>
              <w:rPr>
                <w:sz w:val="17"/>
              </w:rPr>
            </w:r>
            <w:r>
              <w:rPr>
                <w:sz w:val="17"/>
              </w:rPr>
              <w:t>HRS</w:t>
            </w:r>
          </w:p>
        </w:tc>
        <w:tc>
          <w:tcPr>
            <w:tcW w:type="dxa" w:w="1296"/>
          </w:tcPr>
          <w:p>
            <w:pPr>
              <w:spacing w:line="240" w:lineRule="auto" w:after="0"/>
            </w:pPr>
            <w:r>
              <w:rPr>
                <w:sz w:val="17"/>
              </w:rPr>
            </w:r>
            <w:r>
              <w:rPr>
                <w:sz w:val="17"/>
              </w:rPr>
              <w:t>L1</w:t>
            </w:r>
          </w:p>
        </w:tc>
        <w:tc>
          <w:tcPr>
            <w:tcW w:type="dxa" w:w="1296"/>
          </w:tcPr>
          <w:p>
            <w:pPr>
              <w:spacing w:line="240" w:lineRule="auto" w:after="0"/>
            </w:pPr>
            <w:r>
              <w:rPr>
                <w:sz w:val="17"/>
              </w:rPr>
            </w:r>
            <w:r>
              <w:rPr>
                <w:sz w:val="17"/>
              </w:rPr>
              <w:t>0.7777</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1.000</w:t>
            </w:r>
          </w:p>
        </w:tc>
        <w:tc>
          <w:tcPr>
            <w:tcW w:type="dxa" w:w="1296"/>
          </w:tcPr>
          <w:p>
            <w:pPr>
              <w:spacing w:line="240" w:lineRule="auto" w:after="0"/>
            </w:pPr>
            <w:r>
              <w:rPr>
                <w:sz w:val="17"/>
              </w:rPr>
            </w:r>
            <w:r>
              <w:rPr>
                <w:sz w:val="17"/>
              </w:rPr>
              <w:t>0.204</w:t>
            </w:r>
          </w:p>
        </w:tc>
      </w:tr>
      <w:tr>
        <w:tc>
          <w:tcPr>
            <w:tcW w:type="dxa" w:w="1296"/>
          </w:tcPr>
          <w:p>
            <w:pPr>
              <w:spacing w:line="240" w:lineRule="auto" w:after="0"/>
            </w:pPr>
            <w:r>
              <w:rPr>
                <w:sz w:val="17"/>
              </w:rPr>
            </w:r>
            <w:r>
              <w:rPr>
                <w:sz w:val="17"/>
              </w:rPr>
              <w:t>SHARE</w:t>
            </w:r>
          </w:p>
        </w:tc>
        <w:tc>
          <w:tcPr>
            <w:tcW w:type="dxa" w:w="1296"/>
          </w:tcPr>
          <w:p>
            <w:pPr>
              <w:spacing w:line="240" w:lineRule="auto" w:after="0"/>
            </w:pPr>
            <w:r>
              <w:rPr>
                <w:sz w:val="17"/>
              </w:rPr>
            </w:r>
            <w:r>
              <w:rPr>
                <w:sz w:val="17"/>
              </w:rPr>
              <w:t>L0</w:t>
            </w:r>
          </w:p>
        </w:tc>
        <w:tc>
          <w:tcPr>
            <w:tcW w:type="dxa" w:w="1296"/>
          </w:tcPr>
          <w:p>
            <w:pPr>
              <w:spacing w:line="240" w:lineRule="auto" w:after="0"/>
            </w:pPr>
            <w:r>
              <w:rPr>
                <w:sz w:val="17"/>
              </w:rPr>
            </w:r>
            <w:r>
              <w:rPr>
                <w:sz w:val="17"/>
              </w:rPr>
              <w:t>0.7725</w:t>
            </w:r>
          </w:p>
        </w:tc>
        <w:tc>
          <w:tcPr>
            <w:tcW w:type="dxa" w:w="1296"/>
          </w:tcPr>
          <w:p>
            <w:pPr>
              <w:spacing w:line="240" w:lineRule="auto" w:after="0"/>
            </w:pPr>
            <w:r>
              <w:rPr>
                <w:sz w:val="17"/>
              </w:rPr>
            </w:r>
            <w:r>
              <w:rPr>
                <w:sz w:val="17"/>
              </w:rPr>
              <w:t>0.7780</w:t>
            </w:r>
          </w:p>
        </w:tc>
        <w:tc>
          <w:tcPr>
            <w:tcW w:type="dxa" w:w="1296"/>
          </w:tcPr>
          <w:p>
            <w:pPr>
              <w:spacing w:line="240" w:lineRule="auto" w:after="0"/>
            </w:pPr>
            <w:r>
              <w:rPr>
                <w:sz w:val="17"/>
              </w:rPr>
            </w:r>
            <w:r>
              <w:rPr>
                <w:sz w:val="17"/>
              </w:rPr>
              <w:t>−0.0055</w:t>
            </w:r>
          </w:p>
        </w:tc>
        <w:tc>
          <w:tcPr>
            <w:tcW w:type="dxa" w:w="1296"/>
          </w:tcPr>
          <w:p>
            <w:pPr>
              <w:spacing w:line="240" w:lineRule="auto" w:after="0"/>
            </w:pPr>
            <w:r>
              <w:rPr>
                <w:sz w:val="17"/>
              </w:rPr>
            </w:r>
            <w:r>
              <w:rPr>
                <w:sz w:val="17"/>
              </w:rPr>
              <w:t>0.633</w:t>
            </w:r>
          </w:p>
        </w:tc>
        <w:tc>
          <w:tcPr>
            <w:tcW w:type="dxa" w:w="1296"/>
          </w:tcPr>
          <w:p>
            <w:pPr>
              <w:spacing w:line="240" w:lineRule="auto" w:after="0"/>
            </w:pPr>
            <w:r>
              <w:rPr>
                <w:sz w:val="17"/>
              </w:rPr>
            </w:r>
            <w:r>
              <w:rPr>
                <w:sz w:val="17"/>
              </w:rPr>
              <w:t>0.056</w:t>
            </w:r>
          </w:p>
        </w:tc>
      </w:tr>
      <w:tr>
        <w:tc>
          <w:tcPr>
            <w:tcW w:type="dxa" w:w="1296"/>
          </w:tcPr>
          <w:p>
            <w:pPr>
              <w:spacing w:line="240" w:lineRule="auto" w:after="0"/>
            </w:pPr>
            <w:r>
              <w:rPr>
                <w:sz w:val="17"/>
              </w:rPr>
            </w:r>
            <w:r>
              <w:rPr>
                <w:sz w:val="17"/>
              </w:rPr>
              <w:t>SHARE</w:t>
            </w:r>
          </w:p>
        </w:tc>
        <w:tc>
          <w:tcPr>
            <w:tcW w:type="dxa" w:w="1296"/>
          </w:tcPr>
          <w:p>
            <w:pPr>
              <w:spacing w:line="240" w:lineRule="auto" w:after="0"/>
            </w:pPr>
            <w:r>
              <w:rPr>
                <w:sz w:val="17"/>
              </w:rPr>
            </w:r>
            <w:r>
              <w:rPr>
                <w:sz w:val="17"/>
              </w:rPr>
              <w:t>L1</w:t>
            </w:r>
          </w:p>
        </w:tc>
        <w:tc>
          <w:tcPr>
            <w:tcW w:type="dxa" w:w="1296"/>
          </w:tcPr>
          <w:p>
            <w:pPr>
              <w:spacing w:line="240" w:lineRule="auto" w:after="0"/>
            </w:pPr>
            <w:r>
              <w:rPr>
                <w:sz w:val="17"/>
              </w:rPr>
            </w:r>
            <w:r>
              <w:rPr>
                <w:sz w:val="17"/>
              </w:rPr>
              <w:t>0.7725</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1.000</w:t>
            </w:r>
          </w:p>
        </w:tc>
        <w:tc>
          <w:tcPr>
            <w:tcW w:type="dxa" w:w="1296"/>
          </w:tcPr>
          <w:p>
            <w:pPr>
              <w:spacing w:line="240" w:lineRule="auto" w:after="0"/>
            </w:pPr>
            <w:r>
              <w:rPr>
                <w:sz w:val="17"/>
              </w:rPr>
            </w:r>
            <w:r>
              <w:rPr>
                <w:sz w:val="17"/>
              </w:rPr>
              <w:t>0.115</w:t>
            </w:r>
          </w:p>
        </w:tc>
      </w:tr>
      <w:tr>
        <w:tc>
          <w:tcPr>
            <w:tcW w:type="dxa" w:w="1296"/>
          </w:tcPr>
          <w:p>
            <w:pPr>
              <w:spacing w:line="240" w:lineRule="auto" w:after="0"/>
            </w:pPr>
            <w:r>
              <w:rPr>
                <w:sz w:val="17"/>
              </w:rPr>
            </w:r>
            <w:r>
              <w:rPr>
                <w:sz w:val="17"/>
              </w:rPr>
              <w:t>MHAS</w:t>
            </w:r>
          </w:p>
        </w:tc>
        <w:tc>
          <w:tcPr>
            <w:tcW w:type="dxa" w:w="1296"/>
          </w:tcPr>
          <w:p>
            <w:pPr>
              <w:spacing w:line="240" w:lineRule="auto" w:after="0"/>
            </w:pPr>
            <w:r>
              <w:rPr>
                <w:sz w:val="17"/>
              </w:rPr>
            </w:r>
            <w:r>
              <w:rPr>
                <w:sz w:val="17"/>
              </w:rPr>
              <w:t>L0</w:t>
            </w:r>
          </w:p>
        </w:tc>
        <w:tc>
          <w:tcPr>
            <w:tcW w:type="dxa" w:w="1296"/>
          </w:tcPr>
          <w:p>
            <w:pPr>
              <w:spacing w:line="240" w:lineRule="auto" w:after="0"/>
            </w:pPr>
            <w:r>
              <w:rPr>
                <w:sz w:val="17"/>
              </w:rPr>
            </w:r>
            <w:r>
              <w:rPr>
                <w:sz w:val="17"/>
              </w:rPr>
              <w:t>0.7243</w:t>
            </w:r>
          </w:p>
        </w:tc>
        <w:tc>
          <w:tcPr>
            <w:tcW w:type="dxa" w:w="1296"/>
          </w:tcPr>
          <w:p>
            <w:pPr>
              <w:spacing w:line="240" w:lineRule="auto" w:after="0"/>
            </w:pPr>
            <w:r>
              <w:rPr>
                <w:sz w:val="17"/>
              </w:rPr>
            </w:r>
            <w:r>
              <w:rPr>
                <w:sz w:val="17"/>
              </w:rPr>
              <w:t>0.7243</w:t>
            </w:r>
          </w:p>
        </w:tc>
        <w:tc>
          <w:tcPr>
            <w:tcW w:type="dxa" w:w="1296"/>
          </w:tcPr>
          <w:p>
            <w:pPr>
              <w:spacing w:line="240" w:lineRule="auto" w:after="0"/>
            </w:pPr>
            <w:r>
              <w:rPr>
                <w:sz w:val="17"/>
              </w:rPr>
            </w:r>
            <w:r>
              <w:rPr>
                <w:sz w:val="17"/>
              </w:rPr>
              <w:t>−0.0000</w:t>
            </w:r>
          </w:p>
        </w:tc>
        <w:tc>
          <w:tcPr>
            <w:tcW w:type="dxa" w:w="1296"/>
          </w:tcPr>
          <w:p>
            <w:pPr>
              <w:spacing w:line="240" w:lineRule="auto" w:after="0"/>
            </w:pPr>
            <w:r>
              <w:rPr>
                <w:sz w:val="17"/>
              </w:rPr>
            </w:r>
            <w:r>
              <w:rPr>
                <w:sz w:val="17"/>
              </w:rPr>
              <w:t>0.819</w:t>
            </w:r>
          </w:p>
        </w:tc>
        <w:tc>
          <w:tcPr>
            <w:tcW w:type="dxa" w:w="1296"/>
          </w:tcPr>
          <w:p>
            <w:pPr>
              <w:spacing w:line="240" w:lineRule="auto" w:after="0"/>
            </w:pPr>
            <w:r>
              <w:rPr>
                <w:sz w:val="17"/>
              </w:rPr>
            </w:r>
            <w:r>
              <w:rPr>
                <w:sz w:val="17"/>
              </w:rPr>
              <w:t>0.058</w:t>
            </w:r>
          </w:p>
        </w:tc>
      </w:tr>
      <w:tr>
        <w:tc>
          <w:tcPr>
            <w:tcW w:type="dxa" w:w="1296"/>
          </w:tcPr>
          <w:p>
            <w:pPr>
              <w:spacing w:line="240" w:lineRule="auto" w:after="0"/>
            </w:pPr>
            <w:r>
              <w:rPr>
                <w:sz w:val="17"/>
              </w:rPr>
            </w:r>
            <w:r>
              <w:rPr>
                <w:sz w:val="17"/>
              </w:rPr>
              <w:t>MHAS</w:t>
            </w:r>
          </w:p>
        </w:tc>
        <w:tc>
          <w:tcPr>
            <w:tcW w:type="dxa" w:w="1296"/>
          </w:tcPr>
          <w:p>
            <w:pPr>
              <w:spacing w:line="240" w:lineRule="auto" w:after="0"/>
            </w:pPr>
            <w:r>
              <w:rPr>
                <w:sz w:val="17"/>
              </w:rPr>
            </w:r>
            <w:r>
              <w:rPr>
                <w:sz w:val="17"/>
              </w:rPr>
              <w:t>L1</w:t>
            </w:r>
          </w:p>
        </w:tc>
        <w:tc>
          <w:tcPr>
            <w:tcW w:type="dxa" w:w="1296"/>
          </w:tcPr>
          <w:p>
            <w:pPr>
              <w:spacing w:line="240" w:lineRule="auto" w:after="0"/>
            </w:pPr>
            <w:r>
              <w:rPr>
                <w:sz w:val="17"/>
              </w:rPr>
            </w:r>
            <w:r>
              <w:rPr>
                <w:sz w:val="17"/>
              </w:rPr>
              <w:t>0.7243</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w:t>
            </w:r>
          </w:p>
        </w:tc>
        <w:tc>
          <w:tcPr>
            <w:tcW w:type="dxa" w:w="1296"/>
          </w:tcPr>
          <w:p>
            <w:pPr>
              <w:spacing w:line="240" w:lineRule="auto" w:after="0"/>
            </w:pPr>
            <w:r>
              <w:rPr>
                <w:sz w:val="17"/>
              </w:rPr>
            </w:r>
            <w:r>
              <w:rPr>
                <w:sz w:val="17"/>
              </w:rPr>
              <w:t>1.000</w:t>
            </w:r>
          </w:p>
        </w:tc>
        <w:tc>
          <w:tcPr>
            <w:tcW w:type="dxa" w:w="1296"/>
          </w:tcPr>
          <w:p>
            <w:pPr>
              <w:spacing w:line="240" w:lineRule="auto" w:after="0"/>
            </w:pPr>
            <w:r>
              <w:rPr>
                <w:sz w:val="17"/>
              </w:rPr>
            </w:r>
            <w:r>
              <w:rPr>
                <w:sz w:val="17"/>
              </w:rPr>
              <w:t>0.075</w:t>
            </w:r>
          </w:p>
        </w:tc>
      </w:tr>
    </w:tbl>
    <w:p>
      <w:pPr>
        <w:spacing w:after="80"/>
      </w:pPr>
    </w:p>
    <w:p>
      <w:pPr>
        <w:spacing w:after="120"/>
      </w:pPr>
      <w:r>
        <w:t xml:space="preserve">All four cross-cohort |ΔC| values fell below 0.02 (range 0.0000–0.0124). Halving the item set did not materially degrade discrimination. In HRS the unified threshold cut the sample by 27% (10,707 → 7,823), yet the C-index fell only 0.0124, implying that the loss is attributable to sample restriction rather than information loss. MHAS showed no change, as expected given that its FI_full already rests on 27 items, so FI_full and FI_core share most of their informational basis there. The L0→L1 pattern held across cohorts. </w:t>
      </w:r>
      <w:r>
        <w:rPr>
          <w:b/>
        </w:rPr>
        <w:t>Conclusions regarding H2 and H4 do not depend on item availability.</w:t>
      </w:r>
    </w:p>
    <w:p>
      <w:pPr>
        <w:spacing w:after="120"/>
      </w:pPr>
      <w:r>
        <w:t>Regarding the two outlying positive rates in FI_core noted in Supplementary Table S2: hypertension was 0.067 in KLoSA versus 0.682 in HRS, and arthritis 0.025 versus 0.672. These differences most likely reflect differential diagnosis and screening rates rather than true prevalence; both items were retained but the SA-1 result shows that conclusions survive their inclusion.</w:t>
      </w:r>
    </w:p>
    <w:p>
      <w:pPr>
        <w:pStyle w:val="Heading3"/>
      </w:pPr>
      <w:r>
        <w:rPr>
          <w:rFonts w:ascii="Times New Roman" w:hAnsi="Times New Roman"/>
          <w:color w:val="000000"/>
        </w:rPr>
        <w:t>3.11 Post hoc sensitivity analysis: education adjustment (SA-3)</w:t>
      </w:r>
    </w:p>
    <w:p>
      <w:pPr>
        <w:spacing w:after="120"/>
      </w:pPr>
      <w:r>
        <w:t>Education was available in all six cohorts (100% linkage, 0.00–0.53% missing), but an audit confirming this was completed after outcome unblinding, so education was not added to the primary model. SAP amendment A-001 declared SA-3 as a post hoc analysis before running it, with the ISCED mapping frozen in A-001.</w:t>
      </w:r>
    </w:p>
    <w:p>
      <w:pPr>
        <w:spacing w:after="120"/>
      </w:pPr>
      <w:r>
        <w:t>Education independently predicted mortality in the expected direction (</w:t>
      </w:r>
      <w:r>
        <w:rPr>
          <w:rFonts w:ascii="Consolas" w:hAnsi="Consolas"/>
          <w:sz w:val="19"/>
        </w:rPr>
        <w:t>edu_isced</w:t>
      </w:r>
      <w:r>
        <w:t xml:space="preserve"> β = −0.4475, p = 0.0031). Adding it to the model changed performance negligibly (Table 5).</w:t>
      </w:r>
    </w:p>
    <w:p>
      <w:pPr>
        <w:spacing w:after="120"/>
      </w:pPr>
      <w:r>
        <w:rPr>
          <w:b/>
        </w:rPr>
        <w:t>Table 5. SA-3: education-adjusted sensitivity analysis (Aim 1)</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after="0"/>
            </w:pPr>
            <w:r>
              <w:rPr>
                <w:b/>
                <w:sz w:val="17"/>
              </w:rPr>
            </w:r>
            <w:r>
              <w:rPr>
                <w:b/>
                <w:sz w:val="17"/>
              </w:rPr>
              <w:t>Model</w:t>
            </w:r>
          </w:p>
        </w:tc>
        <w:tc>
          <w:tcPr>
            <w:tcW w:type="dxa" w:w="1296"/>
          </w:tcPr>
          <w:p>
            <w:pPr>
              <w:spacing w:line="240" w:lineRule="auto" w:after="0"/>
            </w:pPr>
            <w:r>
              <w:rPr>
                <w:b/>
                <w:sz w:val="17"/>
              </w:rPr>
            </w:r>
            <w:r>
              <w:rPr>
                <w:b/>
                <w:sz w:val="17"/>
              </w:rPr>
              <w:t>N</w:t>
            </w:r>
          </w:p>
        </w:tc>
        <w:tc>
          <w:tcPr>
            <w:tcW w:type="dxa" w:w="1296"/>
          </w:tcPr>
          <w:p>
            <w:pPr>
              <w:spacing w:line="240" w:lineRule="auto" w:after="0"/>
            </w:pPr>
            <w:r>
              <w:rPr>
                <w:b/>
                <w:sz w:val="17"/>
              </w:rPr>
            </w:r>
            <w:r>
              <w:rPr>
                <w:b/>
                <w:sz w:val="17"/>
              </w:rPr>
              <w:t>Events</w:t>
            </w:r>
          </w:p>
        </w:tc>
        <w:tc>
          <w:tcPr>
            <w:tcW w:type="dxa" w:w="1296"/>
          </w:tcPr>
          <w:p>
            <w:pPr>
              <w:spacing w:line="240" w:lineRule="auto" w:after="0"/>
            </w:pPr>
            <w:r>
              <w:rPr>
                <w:b/>
                <w:sz w:val="17"/>
              </w:rPr>
            </w:r>
            <w:r>
              <w:rPr>
                <w:b/>
                <w:sz w:val="17"/>
              </w:rPr>
              <w:t>C-index [95% CI]</w:t>
            </w:r>
          </w:p>
        </w:tc>
        <w:tc>
          <w:tcPr>
            <w:tcW w:type="dxa" w:w="1296"/>
          </w:tcPr>
          <w:p>
            <w:pPr>
              <w:spacing w:line="240" w:lineRule="auto" w:after="0"/>
            </w:pPr>
            <w:r>
              <w:rPr>
                <w:b/>
                <w:sz w:val="17"/>
              </w:rPr>
            </w:r>
            <w:r>
              <w:rPr>
                <w:b/>
                <w:sz w:val="17"/>
              </w:rPr>
              <w:t>O:E</w:t>
            </w:r>
          </w:p>
        </w:tc>
        <w:tc>
          <w:tcPr>
            <w:tcW w:type="dxa" w:w="1296"/>
          </w:tcPr>
          <w:p>
            <w:pPr>
              <w:spacing w:line="240" w:lineRule="auto" w:after="0"/>
            </w:pPr>
            <w:r>
              <w:rPr>
                <w:b/>
                <w:sz w:val="17"/>
              </w:rPr>
            </w:r>
            <w:r>
              <w:rPr>
                <w:b/>
                <w:sz w:val="17"/>
              </w:rPr>
              <w:t>Cal. slope</w:t>
            </w:r>
          </w:p>
        </w:tc>
        <w:tc>
          <w:tcPr>
            <w:tcW w:type="dxa" w:w="1296"/>
          </w:tcPr>
          <w:p>
            <w:pPr>
              <w:spacing w:line="240" w:lineRule="auto" w:after="0"/>
            </w:pPr>
            <w:r>
              <w:rPr>
                <w:b/>
                <w:sz w:val="17"/>
              </w:rPr>
            </w:r>
            <w:r>
              <w:rPr>
                <w:b/>
                <w:sz w:val="17"/>
              </w:rPr>
              <w:t>IPA</w:t>
            </w:r>
          </w:p>
        </w:tc>
      </w:tr>
      <w:tr>
        <w:tc>
          <w:tcPr>
            <w:tcW w:type="dxa" w:w="1296"/>
          </w:tcPr>
          <w:p>
            <w:pPr>
              <w:spacing w:line="240" w:lineRule="auto" w:after="0"/>
            </w:pPr>
            <w:r>
              <w:rPr>
                <w:sz w:val="17"/>
              </w:rPr>
            </w:r>
            <w:r>
              <w:rPr>
                <w:sz w:val="17"/>
              </w:rPr>
              <w:t>Main model, applied to full complete-case CLHLS sample‡</w:t>
            </w:r>
          </w:p>
        </w:tc>
        <w:tc>
          <w:tcPr>
            <w:tcW w:type="dxa" w:w="1296"/>
          </w:tcPr>
          <w:p>
            <w:pPr>
              <w:spacing w:line="240" w:lineRule="auto" w:after="0"/>
            </w:pPr>
            <w:r>
              <w:rPr>
                <w:sz w:val="17"/>
              </w:rPr>
            </w:r>
            <w:r>
              <w:rPr>
                <w:sz w:val="17"/>
              </w:rPr>
              <w:t>7,095</w:t>
            </w:r>
          </w:p>
        </w:tc>
        <w:tc>
          <w:tcPr>
            <w:tcW w:type="dxa" w:w="1296"/>
          </w:tcPr>
          <w:p>
            <w:pPr>
              <w:spacing w:line="240" w:lineRule="auto" w:after="0"/>
            </w:pPr>
            <w:r>
              <w:rPr>
                <w:sz w:val="17"/>
              </w:rPr>
            </w:r>
            <w:r>
              <w:rPr>
                <w:sz w:val="17"/>
              </w:rPr>
              <w:t>3,282</w:t>
            </w:r>
          </w:p>
        </w:tc>
        <w:tc>
          <w:tcPr>
            <w:tcW w:type="dxa" w:w="1296"/>
          </w:tcPr>
          <w:p>
            <w:pPr>
              <w:spacing w:line="240" w:lineRule="auto" w:after="0"/>
            </w:pPr>
            <w:r>
              <w:rPr>
                <w:sz w:val="17"/>
              </w:rPr>
            </w:r>
            <w:r>
              <w:rPr>
                <w:sz w:val="17"/>
              </w:rPr>
              <w:t>0.8389 [0.8302–0.8472]</w:t>
            </w:r>
          </w:p>
        </w:tc>
        <w:tc>
          <w:tcPr>
            <w:tcW w:type="dxa" w:w="1296"/>
          </w:tcPr>
          <w:p>
            <w:pPr>
              <w:spacing w:line="240" w:lineRule="auto" w:after="0"/>
            </w:pPr>
            <w:r>
              <w:rPr>
                <w:sz w:val="17"/>
              </w:rPr>
            </w:r>
            <w:r>
              <w:rPr>
                <w:sz w:val="17"/>
              </w:rPr>
              <w:t>1.246</w:t>
            </w:r>
          </w:p>
        </w:tc>
        <w:tc>
          <w:tcPr>
            <w:tcW w:type="dxa" w:w="1296"/>
          </w:tcPr>
          <w:p>
            <w:pPr>
              <w:spacing w:line="240" w:lineRule="auto" w:after="0"/>
            </w:pPr>
            <w:r>
              <w:rPr>
                <w:sz w:val="17"/>
              </w:rPr>
            </w:r>
            <w:r>
              <w:rPr>
                <w:sz w:val="17"/>
              </w:rPr>
              <w:t>0.938</w:t>
            </w:r>
          </w:p>
        </w:tc>
        <w:tc>
          <w:tcPr>
            <w:tcW w:type="dxa" w:w="1296"/>
          </w:tcPr>
          <w:p>
            <w:pPr>
              <w:spacing w:line="240" w:lineRule="auto" w:after="0"/>
            </w:pPr>
            <w:r>
              <w:rPr>
                <w:sz w:val="17"/>
              </w:rPr>
            </w:r>
            <w:r>
              <w:rPr>
                <w:sz w:val="17"/>
              </w:rPr>
              <w:t>0.296</w:t>
            </w:r>
          </w:p>
        </w:tc>
      </w:tr>
      <w:tr>
        <w:tc>
          <w:tcPr>
            <w:tcW w:type="dxa" w:w="1296"/>
          </w:tcPr>
          <w:p>
            <w:pPr>
              <w:spacing w:line="240" w:lineRule="auto" w:after="0"/>
            </w:pPr>
            <w:r>
              <w:rPr>
                <w:sz w:val="17"/>
              </w:rPr>
            </w:r>
            <w:r>
              <w:rPr>
                <w:sz w:val="17"/>
              </w:rPr>
              <w:t>Main model (education-complete subsample)</w:t>
            </w:r>
          </w:p>
        </w:tc>
        <w:tc>
          <w:tcPr>
            <w:tcW w:type="dxa" w:w="1296"/>
          </w:tcPr>
          <w:p>
            <w:pPr>
              <w:spacing w:line="240" w:lineRule="auto" w:after="0"/>
            </w:pPr>
            <w:r>
              <w:rPr>
                <w:sz w:val="17"/>
              </w:rPr>
            </w:r>
            <w:r>
              <w:rPr>
                <w:sz w:val="17"/>
              </w:rPr>
              <w:t>7,069</w:t>
            </w:r>
          </w:p>
        </w:tc>
        <w:tc>
          <w:tcPr>
            <w:tcW w:type="dxa" w:w="1296"/>
          </w:tcPr>
          <w:p>
            <w:pPr>
              <w:spacing w:line="240" w:lineRule="auto" w:after="0"/>
            </w:pPr>
            <w:r>
              <w:rPr>
                <w:sz w:val="17"/>
              </w:rPr>
            </w:r>
            <w:r>
              <w:rPr>
                <w:sz w:val="17"/>
              </w:rPr>
              <w:t>3,268</w:t>
            </w:r>
          </w:p>
        </w:tc>
        <w:tc>
          <w:tcPr>
            <w:tcW w:type="dxa" w:w="1296"/>
          </w:tcPr>
          <w:p>
            <w:pPr>
              <w:spacing w:line="240" w:lineRule="auto" w:after="0"/>
            </w:pPr>
            <w:r>
              <w:rPr>
                <w:sz w:val="17"/>
              </w:rPr>
            </w:r>
            <w:r>
              <w:rPr>
                <w:sz w:val="17"/>
              </w:rPr>
              <w:t>0.8389 [0.8289–0.8477]</w:t>
            </w:r>
          </w:p>
        </w:tc>
        <w:tc>
          <w:tcPr>
            <w:tcW w:type="dxa" w:w="1296"/>
          </w:tcPr>
          <w:p>
            <w:pPr>
              <w:spacing w:line="240" w:lineRule="auto" w:after="0"/>
            </w:pPr>
            <w:r>
              <w:rPr>
                <w:sz w:val="17"/>
              </w:rPr>
            </w:r>
            <w:r>
              <w:rPr>
                <w:sz w:val="17"/>
              </w:rPr>
              <w:t>1.247</w:t>
            </w:r>
          </w:p>
        </w:tc>
        <w:tc>
          <w:tcPr>
            <w:tcW w:type="dxa" w:w="1296"/>
          </w:tcPr>
          <w:p>
            <w:pPr>
              <w:spacing w:line="240" w:lineRule="auto" w:after="0"/>
            </w:pPr>
            <w:r>
              <w:rPr>
                <w:sz w:val="17"/>
              </w:rPr>
            </w:r>
            <w:r>
              <w:rPr>
                <w:sz w:val="17"/>
              </w:rPr>
              <w:t>0.938</w:t>
            </w:r>
          </w:p>
        </w:tc>
        <w:tc>
          <w:tcPr>
            <w:tcW w:type="dxa" w:w="1296"/>
          </w:tcPr>
          <w:p>
            <w:pPr>
              <w:spacing w:line="240" w:lineRule="auto" w:after="0"/>
            </w:pPr>
            <w:r>
              <w:rPr>
                <w:sz w:val="17"/>
              </w:rPr>
            </w:r>
            <w:r>
              <w:rPr>
                <w:sz w:val="17"/>
              </w:rPr>
              <w:t>0.296</w:t>
            </w:r>
          </w:p>
        </w:tc>
      </w:tr>
      <w:tr>
        <w:tc>
          <w:tcPr>
            <w:tcW w:type="dxa" w:w="1296"/>
          </w:tcPr>
          <w:p>
            <w:pPr>
              <w:spacing w:line="240" w:lineRule="auto" w:after="0"/>
            </w:pPr>
            <w:r>
              <w:rPr>
                <w:sz w:val="17"/>
              </w:rPr>
            </w:r>
            <w:r>
              <w:rPr>
                <w:sz w:val="17"/>
              </w:rPr>
              <w:t>SA-3 (+ education)</w:t>
            </w:r>
          </w:p>
        </w:tc>
        <w:tc>
          <w:tcPr>
            <w:tcW w:type="dxa" w:w="1296"/>
          </w:tcPr>
          <w:p>
            <w:pPr>
              <w:spacing w:line="240" w:lineRule="auto" w:after="0"/>
            </w:pPr>
            <w:r>
              <w:rPr>
                <w:sz w:val="17"/>
              </w:rPr>
            </w:r>
            <w:r>
              <w:rPr>
                <w:sz w:val="17"/>
              </w:rPr>
              <w:t>7,069</w:t>
            </w:r>
          </w:p>
        </w:tc>
        <w:tc>
          <w:tcPr>
            <w:tcW w:type="dxa" w:w="1296"/>
          </w:tcPr>
          <w:p>
            <w:pPr>
              <w:spacing w:line="240" w:lineRule="auto" w:after="0"/>
            </w:pPr>
            <w:r>
              <w:rPr>
                <w:sz w:val="17"/>
              </w:rPr>
            </w:r>
            <w:r>
              <w:rPr>
                <w:sz w:val="17"/>
              </w:rPr>
              <w:t>3,268</w:t>
            </w:r>
          </w:p>
        </w:tc>
        <w:tc>
          <w:tcPr>
            <w:tcW w:type="dxa" w:w="1296"/>
          </w:tcPr>
          <w:p>
            <w:pPr>
              <w:spacing w:line="240" w:lineRule="auto" w:after="0"/>
            </w:pPr>
            <w:r>
              <w:rPr>
                <w:sz w:val="17"/>
              </w:rPr>
            </w:r>
            <w:r>
              <w:rPr>
                <w:sz w:val="17"/>
              </w:rPr>
              <w:t>0.8380 [0.8281–0.8467]</w:t>
            </w:r>
          </w:p>
        </w:tc>
        <w:tc>
          <w:tcPr>
            <w:tcW w:type="dxa" w:w="1296"/>
          </w:tcPr>
          <w:p>
            <w:pPr>
              <w:spacing w:line="240" w:lineRule="auto" w:after="0"/>
            </w:pPr>
            <w:r>
              <w:rPr>
                <w:sz w:val="17"/>
              </w:rPr>
            </w:r>
            <w:r>
              <w:rPr>
                <w:sz w:val="17"/>
              </w:rPr>
              <w:t>1.240</w:t>
            </w:r>
          </w:p>
        </w:tc>
        <w:tc>
          <w:tcPr>
            <w:tcW w:type="dxa" w:w="1296"/>
          </w:tcPr>
          <w:p>
            <w:pPr>
              <w:spacing w:line="240" w:lineRule="auto" w:after="0"/>
            </w:pPr>
            <w:r>
              <w:rPr>
                <w:sz w:val="17"/>
              </w:rPr>
            </w:r>
            <w:r>
              <w:rPr>
                <w:sz w:val="17"/>
              </w:rPr>
              <w:t>0.932</w:t>
            </w:r>
          </w:p>
        </w:tc>
        <w:tc>
          <w:tcPr>
            <w:tcW w:type="dxa" w:w="1296"/>
          </w:tcPr>
          <w:p>
            <w:pPr>
              <w:spacing w:line="240" w:lineRule="auto" w:after="0"/>
            </w:pPr>
            <w:r>
              <w:rPr>
                <w:sz w:val="17"/>
              </w:rPr>
            </w:r>
            <w:r>
              <w:rPr>
                <w:sz w:val="17"/>
              </w:rPr>
              <w:t>0.296</w:t>
            </w:r>
          </w:p>
        </w:tc>
      </w:tr>
    </w:tbl>
    <w:p>
      <w:pPr>
        <w:spacing w:after="80"/>
      </w:pPr>
    </w:p>
    <w:p>
      <w:pPr>
        <w:spacing w:after="120"/>
      </w:pPr>
      <w:r>
        <w:t>‡All three rows were recomputed within the SA-3 script, where the model is fitted on the 7,534 education-complete development participants so that the three rows are mutually comparable. This differs marginally from the §3.4 primary analysis, which fits on all 7,546 development participants: O:E 1.246 versus 1.247 and calibration slope 0.938 versus 0.939. The §3.4 values are authoritative for the primary analysis; the differences do not affect any conclusion.</w:t>
      </w:r>
    </w:p>
    <w:p>
      <w:pPr>
        <w:spacing w:after="120"/>
      </w:pPr>
      <w:r>
        <w:t xml:space="preserve">CHARLS internal C-index rose from 0.7706 to 0.7725 (ΔC = +0.0020) in the education-complete subsample (7,534 persons; 12 excluded for missing education). External CLHLS ΔC was −0.0009, ΔO:E −0.007 and ΔIPA 0.000 (26 persons excluded). All three pre-declared robustness criteria were met (|ΔC| &lt; 0.02, |ΔO:E| &lt; 0.05, |Δslope| &lt; 0.05). </w:t>
      </w:r>
      <w:r>
        <w:rPr>
          <w:b/>
        </w:rPr>
        <w:t>The main model conclusions are robust to the absence of education adjustment.</w:t>
      </w:r>
      <w:r>
        <w:t xml:space="preserve"> Education is a significant predictor on its own but adds negligible information alongside FI, consistent with deficit accumulation lying downstream of the socioeconomic gradient.</w:t>
      </w:r>
    </w:p>
    <w:p>
      <w:pPr>
        <w:pStyle w:val="Heading3"/>
      </w:pPr>
      <w:r>
        <w:rPr>
          <w:rFonts w:ascii="Times New Roman" w:hAnsi="Times New Roman"/>
          <w:color w:val="000000"/>
        </w:rPr>
        <w:t>3.12 Summary of pre-registered hypothesis verdicts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pPr>
            <w:r>
              <w:rPr>
                <w:b/>
                <w:sz w:val="17"/>
              </w:rPr>
            </w:r>
            <w:r>
              <w:rPr>
                <w:b/>
                <w:sz w:val="17"/>
              </w:rPr>
              <w:t>Hypothesis</w:t>
            </w:r>
          </w:p>
        </w:tc>
        <w:tc>
          <w:tcPr>
            <w:tcW w:type="dxa" w:w="1512"/>
          </w:tcPr>
          <w:p>
            <w:pPr>
              <w:spacing w:line="240" w:lineRule="auto" w:after="0"/>
            </w:pPr>
            <w:r>
              <w:rPr>
                <w:b/>
                <w:sz w:val="17"/>
              </w:rPr>
            </w:r>
            <w:r>
              <w:rPr>
                <w:b/>
                <w:sz w:val="17"/>
              </w:rPr>
              <w:t>Pre-specified criterion</w:t>
            </w:r>
          </w:p>
        </w:tc>
        <w:tc>
          <w:tcPr>
            <w:tcW w:type="dxa" w:w="1512"/>
          </w:tcPr>
          <w:p>
            <w:pPr>
              <w:spacing w:line="240" w:lineRule="auto" w:after="0"/>
            </w:pPr>
            <w:r>
              <w:rPr>
                <w:b/>
                <w:sz w:val="17"/>
              </w:rPr>
            </w:r>
            <w:r>
              <w:rPr>
                <w:b/>
                <w:sz w:val="17"/>
              </w:rPr>
              <w:t>Observed</w:t>
            </w:r>
          </w:p>
        </w:tc>
        <w:tc>
          <w:tcPr>
            <w:tcW w:type="dxa" w:w="1512"/>
          </w:tcPr>
          <w:p>
            <w:pPr>
              <w:spacing w:line="240" w:lineRule="auto" w:after="0"/>
            </w:pPr>
            <w:r>
              <w:rPr>
                <w:b/>
                <w:sz w:val="17"/>
              </w:rPr>
            </w:r>
            <w:r>
              <w:rPr>
                <w:b/>
                <w:sz w:val="17"/>
              </w:rPr>
              <w:t>Verdict</w:t>
            </w:r>
          </w:p>
        </w:tc>
        <w:tc>
          <w:tcPr>
            <w:tcW w:type="dxa" w:w="1512"/>
          </w:tcPr>
          <w:p>
            <w:pPr>
              <w:spacing w:line="240" w:lineRule="auto" w:after="0"/>
            </w:pPr>
            <w:r>
              <w:rPr>
                <w:b/>
                <w:sz w:val="17"/>
              </w:rPr>
            </w:r>
          </w:p>
        </w:tc>
        <w:tc>
          <w:tcPr>
            <w:tcW w:type="dxa" w:w="1512"/>
          </w:tcPr>
          <w:p>
            <w:pPr>
              <w:spacing w:line="240" w:lineRule="auto" w:after="0"/>
            </w:pPr>
            <w:r>
              <w:rPr>
                <w:b/>
                <w:sz w:val="17"/>
              </w:rPr>
            </w:r>
          </w:p>
        </w:tc>
      </w:tr>
      <w:tr>
        <w:tc>
          <w:tcPr>
            <w:tcW w:type="dxa" w:w="1512"/>
          </w:tcPr>
          <w:p>
            <w:pPr>
              <w:spacing w:line="240" w:lineRule="auto" w:after="0"/>
            </w:pPr>
            <w:r>
              <w:rPr>
                <w:sz w:val="17"/>
              </w:rPr>
            </w:r>
            <w:r>
              <w:rPr>
                <w:b/>
                <w:sz w:val="17"/>
              </w:rPr>
              <w:t>H1</w:t>
            </w:r>
          </w:p>
        </w:tc>
        <w:tc>
          <w:tcPr>
            <w:tcW w:type="dxa" w:w="1512"/>
          </w:tcPr>
          <w:p>
            <w:pPr>
              <w:spacing w:line="240" w:lineRule="auto" w:after="0"/>
            </w:pPr>
            <w:r>
              <w:rPr>
                <w:sz w:val="17"/>
              </w:rPr>
            </w:r>
            <w:r>
              <w:rPr>
                <w:sz w:val="17"/>
              </w:rPr>
              <w:t>FI adds ΔC ≥ 0.02 beyond age + sex</w:t>
            </w:r>
          </w:p>
        </w:tc>
        <w:tc>
          <w:tcPr>
            <w:tcW w:type="dxa" w:w="1512"/>
          </w:tcPr>
          <w:p>
            <w:pPr>
              <w:spacing w:line="240" w:lineRule="auto" w:after="0"/>
            </w:pPr>
            <w:r>
              <w:rPr>
                <w:sz w:val="17"/>
              </w:rPr>
            </w:r>
            <w:r>
              <w:rPr>
                <w:sz w:val="17"/>
              </w:rPr>
              <w:t>ΔC = 0.035 (development); 0.034 replicated in CLHLS</w:t>
            </w:r>
          </w:p>
        </w:tc>
        <w:tc>
          <w:tcPr>
            <w:tcW w:type="dxa" w:w="1512"/>
          </w:tcPr>
          <w:p>
            <w:pPr>
              <w:spacing w:line="240" w:lineRule="auto" w:after="0"/>
            </w:pPr>
            <w:r>
              <w:rPr>
                <w:sz w:val="17"/>
              </w:rPr>
            </w:r>
            <w:r>
              <w:rPr>
                <w:b/>
                <w:sz w:val="17"/>
              </w:rPr>
              <w:t>Supported</w:t>
            </w:r>
          </w:p>
        </w:tc>
        <w:tc>
          <w:tcPr>
            <w:tcW w:type="dxa" w:w="1512"/>
          </w:tcPr>
          <w:p>
            <w:pPr>
              <w:spacing w:line="240" w:lineRule="auto" w:after="0"/>
            </w:pPr>
            <w:r>
              <w:rPr>
                <w:sz w:val="17"/>
              </w:rPr>
            </w:r>
          </w:p>
        </w:tc>
        <w:tc>
          <w:tcPr>
            <w:tcW w:type="dxa" w:w="1512"/>
          </w:tcPr>
          <w:p>
            <w:pPr>
              <w:spacing w:line="240" w:lineRule="auto" w:after="0"/>
            </w:pPr>
            <w:r>
              <w:rPr>
                <w:sz w:val="17"/>
              </w:rPr>
            </w:r>
          </w:p>
        </w:tc>
      </w:tr>
      <w:tr>
        <w:tc>
          <w:tcPr>
            <w:tcW w:type="dxa" w:w="1512"/>
          </w:tcPr>
          <w:p>
            <w:pPr>
              <w:spacing w:line="240" w:lineRule="auto" w:after="0"/>
            </w:pPr>
            <w:r>
              <w:rPr>
                <w:sz w:val="17"/>
              </w:rPr>
            </w:r>
            <w:r>
              <w:rPr>
                <w:b/>
                <w:sz w:val="17"/>
              </w:rPr>
              <w:t>H2</w:t>
            </w:r>
          </w:p>
        </w:tc>
        <w:tc>
          <w:tcPr>
            <w:tcW w:type="dxa" w:w="1512"/>
          </w:tcPr>
          <w:p>
            <w:pPr>
              <w:spacing w:line="240" w:lineRule="auto" w:after="0"/>
            </w:pPr>
            <w:r>
              <w:rPr>
                <w:sz w:val="17"/>
              </w:rPr>
            </w:r>
            <w:r>
              <w:rPr>
                <w:sz w:val="17"/>
              </w:rPr>
              <w:t>Discrimination decay &lt; calibration decay</w:t>
            </w:r>
          </w:p>
        </w:tc>
        <w:tc>
          <w:tcPr>
            <w:tcW w:type="dxa" w:w="1512"/>
          </w:tcPr>
          <w:p>
            <w:pPr>
              <w:spacing w:line="240" w:lineRule="auto" w:after="0"/>
            </w:pPr>
            <w:r>
              <w:rPr>
                <w:sz w:val="17"/>
              </w:rPr>
            </w:r>
            <w:r>
              <w:rPr>
                <w:sz w:val="17"/>
              </w:rPr>
              <w:t>ΔC ≤ 0.003 L0→L3; O:E 0.60–1.25 corrected to 1.00</w:t>
            </w:r>
          </w:p>
        </w:tc>
        <w:tc>
          <w:tcPr>
            <w:tcW w:type="dxa" w:w="1512"/>
          </w:tcPr>
          <w:p>
            <w:pPr>
              <w:spacing w:line="240" w:lineRule="auto" w:after="0"/>
            </w:pPr>
            <w:r>
              <w:rPr>
                <w:sz w:val="17"/>
              </w:rPr>
            </w:r>
            <w:r>
              <w:rPr>
                <w:b/>
                <w:sz w:val="17"/>
              </w:rPr>
              <w:t>Supported</w:t>
            </w:r>
          </w:p>
        </w:tc>
        <w:tc>
          <w:tcPr>
            <w:tcW w:type="dxa" w:w="1512"/>
          </w:tcPr>
          <w:p>
            <w:pPr>
              <w:spacing w:line="240" w:lineRule="auto" w:after="0"/>
            </w:pPr>
            <w:r>
              <w:rPr>
                <w:sz w:val="17"/>
              </w:rPr>
            </w:r>
          </w:p>
        </w:tc>
        <w:tc>
          <w:tcPr>
            <w:tcW w:type="dxa" w:w="1512"/>
          </w:tcPr>
          <w:p>
            <w:pPr>
              <w:spacing w:line="240" w:lineRule="auto" w:after="0"/>
            </w:pPr>
            <w:r>
              <w:rPr>
                <w:sz w:val="17"/>
              </w:rPr>
            </w:r>
          </w:p>
        </w:tc>
      </w:tr>
      <w:tr>
        <w:tc>
          <w:tcPr>
            <w:tcW w:type="dxa" w:w="1512"/>
          </w:tcPr>
          <w:p>
            <w:pPr>
              <w:spacing w:line="240" w:lineRule="auto" w:after="0"/>
            </w:pPr>
            <w:r>
              <w:rPr>
                <w:sz w:val="17"/>
              </w:rPr>
            </w:r>
            <w:r>
              <w:rPr>
                <w:b/>
                <w:sz w:val="17"/>
              </w:rPr>
              <w:t>H3</w:t>
            </w:r>
          </w:p>
        </w:tc>
        <w:tc>
          <w:tcPr>
            <w:tcW w:type="dxa" w:w="1512"/>
          </w:tcPr>
          <w:p>
            <w:pPr>
              <w:spacing w:line="240" w:lineRule="auto" w:after="0"/>
            </w:pPr>
            <w:r>
              <w:rPr>
                <w:sz w:val="17"/>
              </w:rPr>
            </w:r>
            <w:r>
              <w:rPr>
                <w:sz w:val="17"/>
              </w:rPr>
              <w:t>Multi-cohort training improves transfer (ΔC ≥ 0.02)</w:t>
            </w:r>
          </w:p>
        </w:tc>
        <w:tc>
          <w:tcPr>
            <w:tcW w:type="dxa" w:w="1512"/>
          </w:tcPr>
          <w:p>
            <w:pPr>
              <w:spacing w:line="240" w:lineRule="auto" w:after="0"/>
            </w:pPr>
            <w:r>
              <w:rPr>
                <w:sz w:val="17"/>
              </w:rPr>
            </w:r>
          </w:p>
        </w:tc>
        <w:tc>
          <w:tcPr>
            <w:tcW w:type="dxa" w:w="1512"/>
          </w:tcPr>
          <w:p>
            <w:pPr>
              <w:spacing w:line="240" w:lineRule="auto" w:after="0"/>
            </w:pPr>
            <w:r>
              <w:rPr>
                <w:sz w:val="17"/>
              </w:rPr>
            </w:r>
            <w:r>
              <w:rPr>
                <w:sz w:val="17"/>
              </w:rPr>
              <w:t>ΔC</w:t>
            </w:r>
          </w:p>
        </w:tc>
        <w:tc>
          <w:tcPr>
            <w:tcW w:type="dxa" w:w="1512"/>
          </w:tcPr>
          <w:p>
            <w:pPr>
              <w:spacing w:line="240" w:lineRule="auto" w:after="0"/>
            </w:pPr>
            <w:r>
              <w:rPr>
                <w:sz w:val="17"/>
              </w:rPr>
            </w:r>
            <w:r>
              <w:rPr>
                <w:sz w:val="17"/>
              </w:rPr>
              <w:t>≤ 0.001 (down-sampled)</w:t>
            </w:r>
          </w:p>
        </w:tc>
        <w:tc>
          <w:tcPr>
            <w:tcW w:type="dxa" w:w="1512"/>
          </w:tcPr>
          <w:p>
            <w:pPr>
              <w:spacing w:line="240" w:lineRule="auto" w:after="0"/>
            </w:pPr>
            <w:r>
              <w:rPr>
                <w:sz w:val="17"/>
              </w:rPr>
            </w:r>
            <w:r>
              <w:rPr>
                <w:b/>
                <w:sz w:val="17"/>
              </w:rPr>
              <w:t>Not supported</w:t>
            </w:r>
          </w:p>
        </w:tc>
      </w:tr>
      <w:tr>
        <w:tc>
          <w:tcPr>
            <w:tcW w:type="dxa" w:w="1512"/>
          </w:tcPr>
          <w:p>
            <w:pPr>
              <w:spacing w:line="240" w:lineRule="auto" w:after="0"/>
            </w:pPr>
            <w:r>
              <w:rPr>
                <w:sz w:val="17"/>
              </w:rPr>
            </w:r>
            <w:r>
              <w:rPr>
                <w:b/>
                <w:sz w:val="17"/>
              </w:rPr>
              <w:t>H4</w:t>
            </w:r>
          </w:p>
        </w:tc>
        <w:tc>
          <w:tcPr>
            <w:tcW w:type="dxa" w:w="1512"/>
          </w:tcPr>
          <w:p>
            <w:pPr>
              <w:spacing w:line="240" w:lineRule="auto" w:after="0"/>
            </w:pPr>
            <w:r>
              <w:rPr>
                <w:sz w:val="17"/>
              </w:rPr>
            </w:r>
            <w:r>
              <w:rPr>
                <w:sz w:val="17"/>
              </w:rPr>
              <w:t>Event-rate + case-mix drift explain ≥50% of loss</w:t>
            </w:r>
          </w:p>
        </w:tc>
        <w:tc>
          <w:tcPr>
            <w:tcW w:type="dxa" w:w="1512"/>
          </w:tcPr>
          <w:p>
            <w:pPr>
              <w:spacing w:line="240" w:lineRule="auto" w:after="0"/>
            </w:pPr>
            <w:r>
              <w:rPr>
                <w:sz w:val="17"/>
              </w:rPr>
            </w:r>
            <w:r>
              <w:rPr>
                <w:sz w:val="17"/>
              </w:rPr>
              <w:t>L1 explains 88% (HRS), 94% (SHARE), 78% (MHAS)</w:t>
            </w:r>
          </w:p>
        </w:tc>
        <w:tc>
          <w:tcPr>
            <w:tcW w:type="dxa" w:w="1512"/>
          </w:tcPr>
          <w:p>
            <w:pPr>
              <w:spacing w:line="240" w:lineRule="auto" w:after="0"/>
            </w:pPr>
            <w:r>
              <w:rPr>
                <w:sz w:val="17"/>
              </w:rPr>
            </w:r>
            <w:r>
              <w:rPr>
                <w:b/>
                <w:sz w:val="17"/>
              </w:rPr>
              <w:t>Supported</w:t>
            </w:r>
          </w:p>
        </w:tc>
        <w:tc>
          <w:tcPr>
            <w:tcW w:type="dxa" w:w="1512"/>
          </w:tcPr>
          <w:p>
            <w:pPr>
              <w:spacing w:line="240" w:lineRule="auto" w:after="0"/>
            </w:pPr>
            <w:r>
              <w:rPr>
                <w:sz w:val="17"/>
              </w:rPr>
            </w:r>
          </w:p>
        </w:tc>
        <w:tc>
          <w:tcPr>
            <w:tcW w:type="dxa" w:w="1512"/>
          </w:tcPr>
          <w:p>
            <w:pPr>
              <w:spacing w:line="240" w:lineRule="auto" w:after="0"/>
            </w:pPr>
            <w:r>
              <w:rPr>
                <w:sz w:val="17"/>
              </w:rPr>
            </w:r>
          </w:p>
        </w:tc>
      </w:tr>
      <w:tr>
        <w:tc>
          <w:tcPr>
            <w:tcW w:type="dxa" w:w="1512"/>
          </w:tcPr>
          <w:p>
            <w:pPr>
              <w:spacing w:line="240" w:lineRule="auto" w:after="0"/>
            </w:pPr>
            <w:r>
              <w:rPr>
                <w:sz w:val="17"/>
              </w:rPr>
            </w:r>
            <w:r>
              <w:rPr>
                <w:b/>
                <w:sz w:val="17"/>
              </w:rPr>
              <w:t>H5</w:t>
            </w:r>
          </w:p>
        </w:tc>
        <w:tc>
          <w:tcPr>
            <w:tcW w:type="dxa" w:w="1512"/>
          </w:tcPr>
          <w:p>
            <w:pPr>
              <w:spacing w:line="240" w:lineRule="auto" w:after="0"/>
            </w:pPr>
            <w:r>
              <w:rPr>
                <w:sz w:val="17"/>
              </w:rPr>
            </w:r>
            <w:r>
              <w:rPr>
                <w:sz w:val="17"/>
              </w:rPr>
              <w:t>FI more stable across cohorts than IC</w:t>
            </w:r>
          </w:p>
        </w:tc>
        <w:tc>
          <w:tcPr>
            <w:tcW w:type="dxa" w:w="1512"/>
          </w:tcPr>
          <w:p>
            <w:pPr>
              <w:spacing w:line="240" w:lineRule="auto" w:after="0"/>
            </w:pPr>
            <w:r>
              <w:rPr>
                <w:sz w:val="17"/>
              </w:rPr>
            </w:r>
          </w:p>
        </w:tc>
        <w:tc>
          <w:tcPr>
            <w:tcW w:type="dxa" w:w="1512"/>
          </w:tcPr>
          <w:p>
            <w:pPr>
              <w:spacing w:line="240" w:lineRule="auto" w:after="0"/>
            </w:pPr>
            <w:r>
              <w:rPr>
                <w:sz w:val="17"/>
              </w:rPr>
            </w:r>
            <w:r>
              <w:rPr>
                <w:sz w:val="17"/>
              </w:rPr>
              <w:t>ΔC</w:t>
            </w:r>
          </w:p>
        </w:tc>
        <w:tc>
          <w:tcPr>
            <w:tcW w:type="dxa" w:w="1512"/>
          </w:tcPr>
          <w:p>
            <w:pPr>
              <w:spacing w:line="240" w:lineRule="auto" w:after="0"/>
            </w:pPr>
            <w:r>
              <w:rPr>
                <w:sz w:val="17"/>
              </w:rPr>
            </w:r>
            <w:r>
              <w:rPr>
                <w:sz w:val="17"/>
              </w:rPr>
              <w:t>0.052 (FI) vs. 0.095 (IC)</w:t>
            </w:r>
          </w:p>
        </w:tc>
        <w:tc>
          <w:tcPr>
            <w:tcW w:type="dxa" w:w="1512"/>
          </w:tcPr>
          <w:p>
            <w:pPr>
              <w:spacing w:line="240" w:lineRule="auto" w:after="0"/>
            </w:pPr>
            <w:r>
              <w:rPr>
                <w:sz w:val="17"/>
              </w:rPr>
            </w:r>
            <w:r>
              <w:rPr>
                <w:b/>
                <w:sz w:val="17"/>
              </w:rPr>
              <w:t>Supported — provisional</w:t>
            </w:r>
            <w:r>
              <w:rPr>
                <w:sz w:val="17"/>
              </w:rPr>
              <w:t>† (supplementary; exploratory)</w:t>
            </w:r>
          </w:p>
        </w:tc>
      </w:tr>
      <w:tr>
        <w:tc>
          <w:tcPr>
            <w:tcW w:type="dxa" w:w="1512"/>
          </w:tcPr>
          <w:p>
            <w:pPr>
              <w:spacing w:line="240" w:lineRule="auto" w:after="0"/>
            </w:pPr>
            <w:r>
              <w:rPr>
                <w:sz w:val="17"/>
              </w:rPr>
            </w:r>
            <w:r>
              <w:rPr>
                <w:b/>
                <w:sz w:val="17"/>
              </w:rPr>
              <w:t>H6</w:t>
            </w:r>
          </w:p>
        </w:tc>
        <w:tc>
          <w:tcPr>
            <w:tcW w:type="dxa" w:w="1512"/>
          </w:tcPr>
          <w:p>
            <w:pPr>
              <w:spacing w:line="240" w:lineRule="auto" w:after="0"/>
            </w:pPr>
            <w:r>
              <w:rPr>
                <w:sz w:val="17"/>
              </w:rPr>
            </w:r>
            <w:r>
              <w:rPr>
                <w:sz w:val="17"/>
              </w:rPr>
              <w:t>Age in top 3 in all cohorts AND median ρ ≥ 0.70</w:t>
            </w:r>
          </w:p>
        </w:tc>
        <w:tc>
          <w:tcPr>
            <w:tcW w:type="dxa" w:w="1512"/>
          </w:tcPr>
          <w:p>
            <w:pPr>
              <w:spacing w:line="240" w:lineRule="auto" w:after="0"/>
            </w:pPr>
            <w:r>
              <w:rPr>
                <w:sz w:val="17"/>
              </w:rPr>
            </w:r>
            <w:r>
              <w:rPr>
                <w:sz w:val="17"/>
              </w:rPr>
              <w:t>Age 1st in 6/6; median ρ = 0.41</w:t>
            </w:r>
          </w:p>
        </w:tc>
        <w:tc>
          <w:tcPr>
            <w:tcW w:type="dxa" w:w="1512"/>
          </w:tcPr>
          <w:p>
            <w:pPr>
              <w:spacing w:line="240" w:lineRule="auto" w:after="0"/>
            </w:pPr>
            <w:r>
              <w:rPr>
                <w:sz w:val="17"/>
              </w:rPr>
            </w:r>
            <w:r>
              <w:rPr>
                <w:b/>
                <w:sz w:val="17"/>
              </w:rPr>
              <w:t>Partially supported</w:t>
            </w:r>
          </w:p>
        </w:tc>
        <w:tc>
          <w:tcPr>
            <w:tcW w:type="dxa" w:w="1512"/>
          </w:tcPr>
          <w:p>
            <w:pPr>
              <w:spacing w:line="240" w:lineRule="auto" w:after="0"/>
            </w:pPr>
            <w:r>
              <w:rPr>
                <w:sz w:val="17"/>
              </w:rPr>
            </w:r>
          </w:p>
        </w:tc>
        <w:tc>
          <w:tcPr>
            <w:tcW w:type="dxa" w:w="1512"/>
          </w:tcPr>
          <w:p>
            <w:pPr>
              <w:spacing w:line="240" w:lineRule="auto" w:after="0"/>
            </w:pPr>
            <w:r>
              <w:rPr>
                <w:sz w:val="17"/>
              </w:rPr>
            </w:r>
          </w:p>
        </w:tc>
      </w:tr>
    </w:tbl>
    <w:p>
      <w:pPr>
        <w:spacing w:after="80"/>
      </w:pPr>
    </w:p>
    <w:p>
      <w:pPr>
        <w:spacing w:after="120"/>
      </w:pPr>
      <w:r>
        <w:t>†CLHLS IC was constructed from binary FI-item proxies, not continuous measurements (grip strength, gait speed, peak flow, cognitive scores). The H5 comparison therefore involves an information asymmetry and may overstate IC's apparent instability. Full testing with continuous IC is deferred to Paper 2; see §3.9 for caveats.</w:t>
      </w:r>
    </w:p>
    <w:p>
      <w:pPr>
        <w:pStyle w:val="Heading2"/>
      </w:pPr>
      <w:r>
        <w:rPr>
          <w:rFonts w:ascii="Times New Roman" w:hAnsi="Times New Roman"/>
          <w:color w:val="000000"/>
        </w:rPr>
        <w:t>4. Discussion</w:t>
      </w:r>
    </w:p>
    <w:p>
      <w:pPr>
        <w:pStyle w:val="Heading3"/>
      </w:pPr>
      <w:r>
        <w:rPr>
          <w:rFonts w:ascii="Times New Roman" w:hAnsi="Times New Roman"/>
          <w:color w:val="000000"/>
        </w:rPr>
        <w:t>4.1 Principal findings</w:t>
      </w:r>
    </w:p>
    <w:p>
      <w:pPr>
        <w:spacing w:after="120"/>
      </w:pPr>
      <w:r>
        <w:t>This study evaluated the cross-cultural transferability of a deficit-accumulation FI in six longitudinal ageing cohorts spanning China, South Korea, the United States, 27 European countries and Mexico — 76,069 complete-case participants aged ≥60 years and 10,790 four-year deaths. Results organise into two tiers. FI discrimination (C-index 0.72–0.84) held up across cultures without retraining, retaining clinically meaningful risk ranking. Calibration, by contrast, drifted systematically, driven mainly by differences in baseline mortality between the development and target cohorts, and was largely recoverable through intercept recalibration. H1, H2 and H4 were supported; H3 was not; H5 was provisionally supported in a supplementary analysis; H6 was partially supported. All analyses followed a pre-registered plan locked before any outcome–predictor analysis.</w:t>
      </w:r>
    </w:p>
    <w:p>
      <w:pPr>
        <w:pStyle w:val="Heading3"/>
      </w:pPr>
      <w:r>
        <w:rPr>
          <w:rFonts w:ascii="Times New Roman" w:hAnsi="Times New Roman"/>
          <w:color w:val="000000"/>
        </w:rPr>
        <w:t>4.2 Incremental predictive value of FI beyond demographics (H1)</w:t>
      </w:r>
    </w:p>
    <w:p>
      <w:pPr>
        <w:spacing w:after="120"/>
      </w:pPr>
      <w:r>
        <w:t>Adding FI to the CHARLS demographic model raised C-index by 0.035, meeting the H1 threshold, and the same increment appeared in CLHLS (0.034). Replication of the increment in an external cohort matters because incremental-value claims that hold only in the development sample are a recognised weakness of prediction-model studies. This increment is in line with reports from European and North American cohorts[REF-5,REF-6] and extends that finding to rural community-dwelling older adults in China.</w:t>
      </w:r>
    </w:p>
    <w:p>
      <w:pPr>
        <w:spacing w:after="120"/>
      </w:pPr>
      <w:r>
        <w:t>The mechanism is straightforward. Chronological age captures the average trajectory of biological ageing; FI accumulates observed deficits across comorbidity, function, nutrition and cognition, encoding individual variation that is independent of calendar age. That multi-system comprehensiveness lets FI keep conceptual comparability across health systems and cultural settings, in contrast to instruments that hinge on a single performance protocol.</w:t>
      </w:r>
    </w:p>
    <w:p>
      <w:pPr>
        <w:pStyle w:val="Heading3"/>
      </w:pPr>
      <w:r>
        <w:rPr>
          <w:rFonts w:ascii="Times New Roman" w:hAnsi="Times New Roman"/>
          <w:color w:val="000000"/>
        </w:rPr>
        <w:t>4.3 Discrimination and calibration dissociation (H2, H4)</w:t>
      </w:r>
    </w:p>
    <w:p>
      <w:pPr>
        <w:spacing w:after="120"/>
      </w:pPr>
      <w:r>
        <w:t>The most practically consequential finding is that discrimination was stable while calibration drifted. From L0 to L3 in the Aim 3 validation, C-index moved by at most 0.003 while O:E ratios corrected from 0.60–0.82 to 1.000. The same pattern appeared in Aim 1 (CHARLS → CLHLS) and all three LOCO rounds, establishing the dissociation as a structural feature of FI cross-cultural transfer rather than a coincidence.</w:t>
      </w:r>
    </w:p>
    <w:p>
      <w:pPr>
        <w:spacing w:after="120"/>
      </w:pPr>
      <w:r>
        <w:t>The mechanism on the discrimination side is that the C-index measures relative risk ranking, not absolute level. FI's relative ranking reflects where an individual sits in the health-state distribution of their age-matched peers, and a high-deficit individual tends to face higher relative mortality risk regardless of the country's absolute death rate. Calibration, by contrast, depends on the development cohort's baseline event rate and must drift when target rates differ substantially.[REF-11,REF-14]</w:t>
      </w:r>
    </w:p>
    <w:p>
      <w:pPr>
        <w:spacing w:after="120"/>
      </w:pPr>
      <w:r>
        <w:t xml:space="preserve">The Aim 1 comparison between Model A and Model B makes the point in its strongest form. Within one cohort pair, adding FI improved discrimination (C 0.805 → 0.839) while worsening calibration (O:E 1.044 → 1.247). The two dimensions did not merely decay at different rates; they moved in opposite directions. CLHLS is an oldest-old cohort, so an age-and-sex model is driven towards high predicted risk by the age distribution alone and lands near the observed rate almost incidentally. Adding FI improves ranking but lowers the absolute level, because CLHLS combines high mortality with a </w:t>
      </w:r>
      <w:r>
        <w:rPr>
          <w:i/>
        </w:rPr>
        <w:t>lower</w:t>
      </w:r>
      <w:r>
        <w:t xml:space="preserve"> median FI than the development cohort (0.169 vs. 0.200): the FI term subtracts from predicted risk in a population that in fact dies more often. Any evaluation resting on a single summary statistic would have missed this — a study reporting only C-index would have recorded an unambiguous improvement, one reporting only O:E a deterioration, and both would have been describing the same model. Model B nonetheless remains the better choice on ranking and overall accuracy, and its calibration deficit is exactly what a single intercept update corrects.</w:t>
      </w:r>
    </w:p>
    <w:p>
      <w:pPr>
        <w:spacing w:after="120"/>
      </w:pPr>
      <w:r>
        <w:t>H4 quantifies the source. A simple L1 intercept update (requiring only the target-population event rate, no new predictor data) explained 93.9% of the recoverable IPA gain in SHARE, 87.5% in HRS and 78.2% in MHAS, all against the full L0→L3 span (point estimates; bootstrap confidence intervals for these ratios were not computed, as they would require propagating variance from the IPA estimates at each level). For most target populations a single lightweight recalibration is enough.</w:t>
      </w:r>
    </w:p>
    <w:p>
      <w:pPr>
        <w:spacing w:after="120"/>
      </w:pPr>
      <w:r>
        <w:t>MHAS is the exception. Its L0 IPA of −0.002 means the model's Brier score was worse than a null predictor, because the Asian pool's high mean event rate (22.9%, dominated by CLHLS at 46.3%) produced systematic over-prediction in a 10.2%-event-rate target. L1 brought IPA to 0.063 but the slope remained 0.686, so MHAS required both intercept and slope adjustment. When training-set event rates are highly unbalanced, pooled training can introduce slope drift that L1 alone cannot fix.</w:t>
      </w:r>
    </w:p>
    <w:p>
      <w:pPr>
        <w:pStyle w:val="Heading3"/>
      </w:pPr>
      <w:r>
        <w:rPr>
          <w:rFonts w:ascii="Times New Roman" w:hAnsi="Times New Roman"/>
          <w:color w:val="000000"/>
        </w:rPr>
        <w:t>4.4 Adding training cohorts did not improve transfer (H3)</w:t>
      </w:r>
    </w:p>
    <w:p>
      <w:pPr>
        <w:spacing w:after="120"/>
      </w:pPr>
      <w:r>
        <w:t>The null H3 result is perhaps the most theoretically important finding. Down-sampling bootstrap showed |ΔC| ≤ 0.0013 after adding a second Asian training cohort, with no consistent direction. SA-1 converges on the same point from a different angle: restricting the index to the 19 items available in all six cohorts produced |ΔC| ≤ 0.0124, leaving all conclusions intact. Together they say the same thing: the bottleneck is not how many training cohorts or items you have, but what the same nominal measure means in different questionnaire contexts.</w:t>
      </w:r>
    </w:p>
    <w:p>
      <w:pPr>
        <w:spacing w:after="120"/>
      </w:pPr>
      <w:r>
        <w:t xml:space="preserve">Two barriers define that bottleneck. Measurement non-equivalence means that </w:t>
      </w:r>
      <w:r>
        <w:rPr>
          <w:rFonts w:ascii="Consolas" w:hAnsi="Consolas"/>
          <w:sz w:val="19"/>
        </w:rPr>
        <w:t>hibpe</w:t>
      </w:r>
      <w:r>
        <w:t xml:space="preserve"> (hypertension) has a positive rate of 0.067 in KLoSA but 0.682 in HRS, and </w:t>
      </w:r>
      <w:r>
        <w:rPr>
          <w:rFonts w:ascii="Consolas" w:hAnsi="Consolas"/>
          <w:sz w:val="19"/>
        </w:rPr>
        <w:t>arthre</w:t>
      </w:r>
      <w:r>
        <w:t xml:space="preserve"> 0.025 versus 0.672, differences too large to attribute to true prevalence. And event-rate drift — documented by H4 — is a property of the target population, not the training set, so no training-set manipulation can remove it.</w:t>
      </w:r>
    </w:p>
    <w:p>
      <w:pPr>
        <w:spacing w:after="120"/>
      </w:pPr>
      <w:r>
        <w:t>The practical upshot is direct: to deploy a model in a new population, collecting a small amount of local data for L1 recalibration (which requires only an event-rate estimate) is more efficient than enlarging the training pool. That shift in strategy is worth noting for multi-centre ageing research.</w:t>
      </w:r>
    </w:p>
    <w:p>
      <w:pPr>
        <w:pStyle w:val="Heading3"/>
      </w:pPr>
      <w:r>
        <w:rPr>
          <w:rFonts w:ascii="Times New Roman" w:hAnsi="Times New Roman"/>
          <w:color w:val="000000"/>
        </w:rPr>
        <w:t>4.5 Feature importance heterogeneity (H6)</w:t>
      </w:r>
    </w:p>
    <w:p>
      <w:pPr>
        <w:spacing w:after="120"/>
      </w:pPr>
      <w:r>
        <w:t>Age ranked first in all six cohorts, which is biologically unsurprising. The informative result is the heterogeneity below that: median pairwise Spearman ρ = 0.41 (range 0.10–0.67). KLoSA had the weakest concordance with any other cohort (KLoSA–HRS 0.096; KLoSA–CHARLS 0.099). This traces to floor effects in that cohort's functional items: with a median age of 71 years and most participants community-dwelling and independent, ADL positive rates were only 2–7%, which compresses the variance available for those items to carry predictive weight. Meal-preparation difficulty (</w:t>
      </w:r>
      <w:r>
        <w:rPr>
          <w:rFonts w:ascii="Consolas" w:hAnsi="Consolas"/>
          <w:sz w:val="19"/>
        </w:rPr>
        <w:t>mealsa</w:t>
      </w:r>
      <w:r>
        <w:t>) and cancer (</w:t>
      </w:r>
      <w:r>
        <w:rPr>
          <w:rFonts w:ascii="Consolas" w:hAnsi="Consolas"/>
          <w:sz w:val="19"/>
        </w:rPr>
        <w:t>cancre</w:t>
      </w:r>
      <w:r>
        <w:t>) consequently occupied the second and third importance ranks, whereas self-rated health (</w:t>
      </w:r>
      <w:r>
        <w:rPr>
          <w:rFonts w:ascii="Consolas" w:hAnsi="Consolas"/>
          <w:sz w:val="19"/>
        </w:rPr>
        <w:t>shlt</w:t>
      </w:r>
      <w:r>
        <w:t>) entered the top three in four of the other five cohorts (second in CHARLS, HRS and SHARE; third in MHAS) but not in KLoSA. This is a cohort-level distribution difference rather than an individual-level outlier effect, and it again points to measurement non-equivalence as the binding constraint.</w:t>
      </w:r>
    </w:p>
    <w:p>
      <w:pPr>
        <w:spacing w:after="120"/>
      </w:pPr>
      <w:r>
        <w:t>The analysis used |β_standardised| as an importance proxy, which is exact for a main-effects GLM but insensitive to interactions and non-linearity. Results should be read as exploratory.</w:t>
      </w:r>
    </w:p>
    <w:p>
      <w:pPr>
        <w:pStyle w:val="Heading3"/>
      </w:pPr>
      <w:r>
        <w:rPr>
          <w:rFonts w:ascii="Times New Roman" w:hAnsi="Times New Roman"/>
          <w:color w:val="000000"/>
        </w:rPr>
        <w:t>4.6 FI versus intrinsic capacity (H5, supplementary)</w:t>
      </w:r>
    </w:p>
    <w:p>
      <w:pPr>
        <w:spacing w:after="120"/>
      </w:pPr>
      <w:r>
        <w:t>FI showed a smaller cross-cohort |ΔC| than the WHO intrinsic capacity five-domain framework (0.052 vs. 0.095), supporting H5. Three caveats limit the conclusion: CLHLS IC used binary proxies, the internal baselines differed by about 0.05, and C-index rose for both models in CLHLS partly through a mechanical effect of high event rates on the C-statistic. Full testing with continuous IC measurements will be the central question in Paper 2.</w:t>
      </w:r>
    </w:p>
    <w:p>
      <w:pPr>
        <w:pStyle w:val="Heading3"/>
      </w:pPr>
      <w:r>
        <w:rPr>
          <w:rFonts w:ascii="Times New Roman" w:hAnsi="Times New Roman"/>
          <w:color w:val="000000"/>
        </w:rPr>
        <w:t>4.7 Clinical implications</w:t>
      </w:r>
    </w:p>
    <w:p>
      <w:pPr>
        <w:spacing w:after="120"/>
      </w:pPr>
      <w:r>
        <w:t>Three practical points follow from these results. First, a 41-item Gateway-harmonised FI maintains C-index above 0.72 across five distinct cultural and health-system contexts without retraining, which means it can function as a cross-nationally comparable frailty screening tool drawing on data already collected in existing ageing surveys.[REF-17]</w:t>
      </w:r>
    </w:p>
    <w:p>
      <w:pPr>
        <w:spacing w:after="120"/>
      </w:pPr>
      <w:r>
        <w:t>Second, a single L1 intercept update (requiring only the target population's four-year mortality rate) provides large calibration gains at minimal cost: SHARE's IPA rose from a marginal 0.028 to a substantial 0.119. L2 slope calibration further helps where the target event rate diverges markedly from the training pool.</w:t>
      </w:r>
    </w:p>
    <w:p>
      <w:pPr>
        <w:spacing w:after="120"/>
      </w:pPr>
      <w:r>
        <w:t>Third, this model is a prediction tool, not a causal instrument. FI is a composite measure of multisystem health, not a single modifiable factor, and the coefficients should not be read as effect sizes for intervention. Clinical use should be for risk stratification in conjunction with clinical judgement, not to drive treatment decisions alone.</w:t>
      </w:r>
    </w:p>
    <w:p>
      <w:pPr>
        <w:pStyle w:val="Heading3"/>
      </w:pPr>
      <w:r>
        <w:rPr>
          <w:rFonts w:ascii="Times New Roman" w:hAnsi="Times New Roman"/>
          <w:color w:val="000000"/>
        </w:rPr>
        <w:t>4.8 Limitations</w:t>
      </w:r>
    </w:p>
    <w:p>
      <w:pPr>
        <w:spacing w:after="120"/>
      </w:pPr>
      <w:r>
        <w:t xml:space="preserve">(1) </w:t>
      </w:r>
      <w:r>
        <w:rPr>
          <w:b/>
        </w:rPr>
        <w:t>FI items are not fully equivalent across cohorts.</w:t>
      </w:r>
      <w:r>
        <w:t xml:space="preserve"> MHAS had only 27 of 41 canonical stems; HRS was missing eight items, substituted by documented proxies. More consequentially, </w:t>
      </w:r>
      <w:r>
        <w:rPr>
          <w:rFonts w:ascii="Consolas" w:hAnsi="Consolas"/>
          <w:sz w:val="19"/>
        </w:rPr>
        <w:t>hibpe</w:t>
      </w:r>
      <w:r>
        <w:t xml:space="preserve"> had a positive rate of 0.067 in KLoSA versus 0.682 in HRS, and </w:t>
      </w:r>
      <w:r>
        <w:rPr>
          <w:rFonts w:ascii="Consolas" w:hAnsi="Consolas"/>
          <w:sz w:val="19"/>
        </w:rPr>
        <w:t>arthre</w:t>
      </w:r>
      <w:r>
        <w:t xml:space="preserve"> 0.025 versus 0.672 (Supplementary Table S2). Differences of that magnitude more plausibly reflect between-country variation in self-reported diagnosis rates and screening coverage than genuine prevalence. Both items were retained under the Rockwood framework's tolerance for item heterogeneity, but their presence means that absolute FI values should not be compared across cohorts at face value. SA-1 showed that conclusions survive restriction to the 19 items common to all cohorts (all |ΔC| &lt; 0.02), so the affected items are not driving the findings. Measurement non-equivalence cannot be removed statistically; it can only be reported.</w:t>
      </w:r>
    </w:p>
    <w:p>
      <w:pPr>
        <w:spacing w:after="120"/>
      </w:pPr>
      <w:r>
        <w:t xml:space="preserve">(2) </w:t>
      </w:r>
      <w:r>
        <w:rPr>
          <w:b/>
        </w:rPr>
        <w:t>CHARLS cross-wave ID linkage is incomplete.</w:t>
      </w:r>
      <w:r>
        <w:t xml:space="preserve"> The householdID bridging rule gave 85.5% linkage at 2015 and 81.3% at 2018, leaving 14–19% of participants with unconfirmed follow-up.</w:t>
      </w:r>
    </w:p>
    <w:p>
      <w:pPr>
        <w:spacing w:after="120"/>
      </w:pPr>
      <w:r>
        <w:t xml:space="preserve">(3) </w:t>
      </w:r>
      <w:r>
        <w:rPr>
          <w:b/>
        </w:rPr>
        <w:t>Education was not in the primary model.</w:t>
      </w:r>
      <w:r>
        <w:t xml:space="preserve"> It is available and linkable in all six cohorts (100%, 0.00–0.53% missing), but was excluded to preserve the pre-registered specification, because the availability audit post-dated unblinding. Post hoc SA-3 showed that adding education left Aim 1 performance unchanged (CLHLS ΔC = −0.0009), indicating that FI already absorbs most of the education-related mortality signal. Two caveats on the education analysis itself remain: the ISCED mapping for CHARLS, CLHLS and KLoSA involved judgement calls made after unblinding, including the classification of CHARLS </w:t>
      </w:r>
      <w:r>
        <w:rPr>
          <w:i/>
        </w:rPr>
        <w:t>sishu</w:t>
      </w:r>
      <w:r>
        <w:t xml:space="preserve"> (traditional Chinese tutoring), the collapse of illiterate and semi-literate categories, and year cut-points for CLHLS where the oldest members were schooled under pre-1949 systems; and residual confounding by income, occupation and wealth was not examined.</w:t>
      </w:r>
    </w:p>
    <w:p>
      <w:pPr>
        <w:spacing w:after="120"/>
      </w:pPr>
      <w:r>
        <w:t xml:space="preserve">(4) </w:t>
      </w:r>
      <w:r>
        <w:rPr>
          <w:b/>
        </w:rPr>
        <w:t>22.9% of CLHLS four-year outcomes were missing.</w:t>
      </w:r>
      <w:r>
        <w:t xml:space="preserve"> IPCW analysis confirmed robustness (ΔC = +0.0008), but the rate exceeds the 10% conventional warning level and must be stated.</w:t>
      </w:r>
    </w:p>
    <w:p>
      <w:pPr>
        <w:spacing w:after="120"/>
      </w:pPr>
      <w:r>
        <w:t xml:space="preserve">(5) </w:t>
      </w:r>
      <w:r>
        <w:rPr>
          <w:b/>
        </w:rPr>
        <w:t>H5 used binary IC proxies in CLHLS.</w:t>
      </w:r>
      <w:r>
        <w:t xml:space="preserve"> The current conclusion is exploratory; full validation with continuous measurements is deferred to Paper 2.</w:t>
      </w:r>
    </w:p>
    <w:p>
      <w:pPr>
        <w:spacing w:after="120"/>
      </w:pPr>
      <w:r>
        <w:t xml:space="preserve">(6) </w:t>
      </w:r>
      <w:r>
        <w:rPr>
          <w:b/>
        </w:rPr>
        <w:t>The Asian training pool had unbalanced event rates.</w:t>
      </w:r>
      <w:r>
        <w:t xml:space="preserve"> CLHLS at 46.3% dominated the pool mean, which introduced slope drift confirmed by MHAS's post-L1 slope of 0.686.</w:t>
      </w:r>
    </w:p>
    <w:p>
      <w:pPr>
        <w:spacing w:after="120"/>
      </w:pPr>
      <w:r>
        <w:t xml:space="preserve">(7) </w:t>
      </w:r>
      <w:r>
        <w:rPr>
          <w:b/>
        </w:rPr>
        <w:t>The study does not make causal claims.</w:t>
      </w:r>
      <w:r>
        <w:t xml:space="preserve"> FI coefficients are not intervention effect sizes.</w:t>
      </w:r>
    </w:p>
    <w:p>
      <w:pPr>
        <w:spacing w:after="120"/>
      </w:pPr>
      <w:r>
        <w:t xml:space="preserve">(8) </w:t>
      </w:r>
      <w:r>
        <w:rPr>
          <w:b/>
        </w:rPr>
        <w:t>European validation excludes the United Kingdom.</w:t>
      </w:r>
      <w:r>
        <w:t xml:space="preserve"> ELSA was removed because its follow-up death records covered only to 2012, yielding zero events in the required 2012–2016 window. European results generalise to SHARE countries, not the UK.</w:t>
      </w:r>
    </w:p>
    <w:p>
      <w:pPr>
        <w:spacing w:after="120"/>
      </w:pPr>
      <w:r>
        <w:t xml:space="preserve">(9) </w:t>
      </w:r>
      <w:r>
        <w:rPr>
          <w:b/>
        </w:rPr>
        <w:t>The pre-specified 7-year sensitivity outcome was not computed in this submission.</w:t>
      </w:r>
      <w:r>
        <w:t xml:space="preserve"> All-cause mortality within approximately seven years (periods 1 + 2 + 3, 2011–2018; CHARLS and CLHLS only) was registered in SAP v1.0 §9.3 but is not reported here. This analysis is planned as a future extension; its absence does not affect the primary four-year conclusions.</w:t>
      </w:r>
    </w:p>
    <w:p>
      <w:pPr>
        <w:spacing w:after="120"/>
      </w:pPr>
      <w:r>
        <w:t xml:space="preserve">(10) </w:t>
      </w:r>
      <w:r>
        <w:rPr>
          <w:b/>
        </w:rPr>
        <w:t>Competing events were not modelled.</w:t>
      </w:r>
      <w:r>
        <w:t xml:space="preserve"> All analyses used all-cause mortality as the outcome. In a 60+ population, institutionalisation, migration and other events that precede death may not be exchangeable with survival. Competing-risk analysis was outside the pre-registered scope and is a direction for future work.</w:t>
      </w:r>
    </w:p>
    <w:p>
      <w:pPr>
        <w:pStyle w:val="Heading3"/>
      </w:pPr>
      <w:r>
        <w:rPr>
          <w:rFonts w:ascii="Times New Roman" w:hAnsi="Times New Roman"/>
          <w:color w:val="000000"/>
        </w:rPr>
        <w:t>4.9 Strengths</w:t>
      </w:r>
    </w:p>
    <w:p>
      <w:pPr>
        <w:spacing w:after="120"/>
      </w:pPr>
      <w:r>
        <w:t xml:space="preserve">Five aspects are worth noting. (1) </w:t>
      </w:r>
      <w:r>
        <w:rPr>
          <w:i/>
        </w:rPr>
        <w:t>Scale and coverage:</w:t>
      </w:r>
      <w:r>
        <w:t xml:space="preserve"> 76,069 complete-case participants aged ≥60 years and 10,790 deaths across six countries and regions make this one of the largest cross-cultural FI mortality prediction studies to date. (2) </w:t>
      </w:r>
      <w:r>
        <w:rPr>
          <w:i/>
        </w:rPr>
        <w:t>Pre-registration and outcome blinding:</w:t>
      </w:r>
      <w:r>
        <w:t xml:space="preserve"> all analytic decisions were locked before any outcome–predictor analysis (commit 9bc7b85), with a complete decision audit trail from D-001 to D-036 including SAP amendment A-001. (3) </w:t>
      </w:r>
      <w:r>
        <w:rPr>
          <w:i/>
        </w:rPr>
        <w:t>Attribution-decomposition framework:</w:t>
      </w:r>
      <w:r>
        <w:t xml:space="preserve"> the L0–L3 ladder prices each recalibration level separately, giving a concrete operational reference for cross-cultural model transfer. (4) </w:t>
      </w:r>
      <w:r>
        <w:rPr>
          <w:i/>
        </w:rPr>
        <w:t>Item-level auditability:</w:t>
      </w:r>
      <w:r>
        <w:t xml:space="preserve"> FI construction for CHARLS and KLoSA was re-implemented from official Gateway </w:t>
      </w:r>
      <w:r>
        <w:rPr>
          <w:rFonts w:ascii="Consolas" w:hAnsi="Consolas"/>
          <w:sz w:val="19"/>
        </w:rPr>
        <w:t>.do</w:t>
      </w:r>
      <w:r>
        <w:t xml:space="preserve"> scripts with every item's source line number recorded (Supplementary Table S1), enabling item-by-item verification against the official source. (5) </w:t>
      </w:r>
      <w:r>
        <w:rPr>
          <w:i/>
        </w:rPr>
        <w:t>Open data and reproducibility:</w:t>
      </w:r>
      <w:r>
        <w:t xml:space="preserve"> all six cohorts are available through official application and the full analytic codebase is archived on GitHub with version-controlled reproducibility.</w:t>
      </w:r>
    </w:p>
    <w:p>
      <w:pPr>
        <w:pStyle w:val="Heading2"/>
      </w:pPr>
      <w:r>
        <w:rPr>
          <w:rFonts w:ascii="Times New Roman" w:hAnsi="Times New Roman"/>
          <w:color w:val="000000"/>
        </w:rPr>
        <w:t>Declarations</w:t>
      </w:r>
    </w:p>
    <w:p>
      <w:pPr>
        <w:spacing w:after="120"/>
      </w:pPr>
      <w:r>
        <w:rPr>
          <w:b/>
        </w:rPr>
        <w:t>Funding.</w:t>
      </w:r>
      <w:r>
        <w:t xml:space="preserve"> [To be completed by authors]</w:t>
      </w:r>
    </w:p>
    <w:p>
      <w:pPr>
        <w:spacing w:after="120"/>
      </w:pPr>
      <w:r>
        <w:rPr>
          <w:b/>
        </w:rPr>
        <w:t>Competing interests.</w:t>
      </w:r>
      <w:r>
        <w:t xml:space="preserve"> [To be completed by authors]</w:t>
      </w:r>
    </w:p>
    <w:p>
      <w:pPr>
        <w:spacing w:after="120"/>
      </w:pPr>
      <w:r>
        <w:rPr>
          <w:b/>
        </w:rPr>
        <w:t>Ethics.</w:t>
      </w:r>
      <w:r>
        <w:t xml:space="preserve"> All datasets used in this study are publicly available, de-identified secondary data held by their respective archives. Each cohort's original data collection received ethics approval from the relevant institutional review board(s); secondary analysis of de-identified public-use files was exempt from additional ethics review under applicable regulations. Details of original cohort ethics approvals are available from each archive. </w:t>
      </w:r>
      <w:r>
        <w:rPr>
          <w:b/>
        </w:rPr>
        <w:t>CHARLS:</w:t>
      </w:r>
      <w:r>
        <w:t xml:space="preserve"> Peking University institutional review board.[REF-20] </w:t>
      </w:r>
      <w:r>
        <w:rPr>
          <w:b/>
        </w:rPr>
        <w:t>CLHLS:</w:t>
      </w:r>
      <w:r>
        <w:t xml:space="preserve"> Duke University and Peking University institutional review boards.[REF-21] </w:t>
      </w:r>
      <w:r>
        <w:rPr>
          <w:b/>
        </w:rPr>
        <w:t>KLoSA:</w:t>
      </w:r>
      <w:r>
        <w:t xml:space="preserve"> Korea Employment Information Service institutional review board.[REF-22] </w:t>
      </w:r>
      <w:r>
        <w:rPr>
          <w:b/>
        </w:rPr>
        <w:t>HRS:</w:t>
      </w:r>
      <w:r>
        <w:t xml:space="preserve"> University of Michigan institutional review board (HUM00061128).[REF-23] </w:t>
      </w:r>
      <w:r>
        <w:rPr>
          <w:b/>
        </w:rPr>
        <w:t>SHARE:</w:t>
      </w:r>
      <w:r>
        <w:t xml:space="preserve"> Multiple national ethics committees (listed at share-project.org).[REF-24] </w:t>
      </w:r>
      <w:r>
        <w:rPr>
          <w:b/>
        </w:rPr>
        <w:t>MHAS:</w:t>
      </w:r>
      <w:r>
        <w:t xml:space="preserve"> University of Texas Medical Branch and Instituto Nacional de Estadística y Geografía institutional review boards.[REF-25]</w:t>
      </w:r>
    </w:p>
    <w:p>
      <w:pPr>
        <w:spacing w:after="120"/>
      </w:pPr>
      <w:r>
        <w:rPr>
          <w:b/>
        </w:rPr>
        <w:t>Data availability.</w:t>
      </w:r>
      <w:r>
        <w:t xml:space="preserve"> All six datasets used are publicly available through application to the respective archives: CHARLS (charls.pku.edu.cn), CLHLS (g2aging.org), KLoSA (survey.keis.or.kr), HRS (hrs.isr.umich.edu), SHARE (share-project.org), MHAS (mhasweb.org). This study additionally used harmonised data from the Gateway to Global Aging Data (g2aging.org).[REF-19]</w:t>
      </w:r>
    </w:p>
    <w:p>
      <w:pPr>
        <w:spacing w:after="120"/>
      </w:pPr>
      <w:r>
        <w:rPr>
          <w:b/>
        </w:rPr>
        <w:t>Code availability.</w:t>
      </w:r>
      <w:r>
        <w:t xml:space="preserve"> All analysis code is archived at https://github.com/alsoran007/Elderly, including the statistical analysis plan pre-registration timestamp (commit 9bc7b85, 2026-07-29) and all analytic scripts from the development through figures.</w:t>
      </w:r>
    </w:p>
    <w:p>
      <w:pPr>
        <w:spacing w:after="120"/>
      </w:pPr>
      <w:r>
        <w:rPr>
          <w:b/>
        </w:rPr>
        <w:t>Author contributions.</w:t>
      </w:r>
      <w:r>
        <w:t xml:space="preserve"> [CRediT taxonomy to be completed by authors]</w:t>
      </w:r>
    </w:p>
    <w:p>
      <w:pPr>
        <w:spacing w:after="120"/>
      </w:pPr>
      <w:r>
        <w:rPr>
          <w:b/>
        </w:rPr>
        <w:t>Acknowledgements.</w:t>
      </w:r>
      <w:r>
        <w:t xml:space="preserve"> This study used data from the China Health and Retirement Longitudinal Study (CHARLS), the Chinese Longitudinal Healthy Longevity Survey (CLHLS), the Korean Longitudinal Study of Ageing (KLoSA), the Health and Retirement Study (HRS), the Survey of Health, Ageing and Retirement in Europe (SHARE), and the Mexican Health and Aging Study (MHAS). [Full cohort-specific acknowledgements per each archive's requirements to be inserted here by authors.]</w:t>
      </w:r>
    </w:p>
    <w:p>
      <w:pPr>
        <w:pStyle w:val="Heading2"/>
      </w:pPr>
      <w:r>
        <w:rPr>
          <w:rFonts w:ascii="Times New Roman" w:hAnsi="Times New Roman"/>
          <w:color w:val="000000"/>
        </w:rPr>
        <w:t>References</w:t>
      </w:r>
    </w:p>
    <w:p>
      <w:pPr>
        <w:spacing w:after="120"/>
      </w:pPr>
      <w:r>
        <w:t xml:space="preserve">[REF-1] United Nations. </w:t>
      </w:r>
      <w:r>
        <w:rPr>
          <w:i/>
        </w:rPr>
        <w:t>World Population Ageing 2019</w:t>
      </w:r>
      <w:r>
        <w:t>. Department of Economic and Social Affairs, Population Division; 2020. ST/ESA/SER.A/444.</w:t>
      </w:r>
    </w:p>
    <w:p>
      <w:pPr>
        <w:spacing w:after="120"/>
      </w:pPr>
      <w:r>
        <w:t xml:space="preserve">[REF-2] Mitnitski AB, Mogilner AJ, Rockwood K. Accumulation of deficits as a proxy measure of aging. </w:t>
      </w:r>
      <w:r>
        <w:rPr>
          <w:i/>
        </w:rPr>
        <w:t>Sci World J.</w:t>
      </w:r>
      <w:r>
        <w:t xml:space="preserve"> 2001;1:323–336.</w:t>
      </w:r>
    </w:p>
    <w:p>
      <w:pPr>
        <w:spacing w:after="120"/>
      </w:pPr>
      <w:r>
        <w:t xml:space="preserve">[REF-3] Rockwood K, Mitnitski A. Frailty in relation to the accumulation of deficits. </w:t>
      </w:r>
      <w:r>
        <w:rPr>
          <w:i/>
        </w:rPr>
        <w:t>J Gerontol A Biol Sci Med Sci.</w:t>
      </w:r>
      <w:r>
        <w:t xml:space="preserve"> 2007;62(7):722–727.</w:t>
      </w:r>
    </w:p>
    <w:p>
      <w:pPr>
        <w:spacing w:after="120"/>
      </w:pPr>
      <w:r>
        <w:t xml:space="preserve">[REF-4] Searle SD, Mitnitski A, Gahbauer EA, Gill TM, Rockwood K. A standard procedure for creating a frailty index. </w:t>
      </w:r>
      <w:r>
        <w:rPr>
          <w:i/>
        </w:rPr>
        <w:t>BMC Geriatr.</w:t>
      </w:r>
      <w:r>
        <w:t xml:space="preserve"> 2008;8:24.</w:t>
      </w:r>
    </w:p>
    <w:p>
      <w:pPr>
        <w:spacing w:after="120"/>
      </w:pPr>
      <w:r>
        <w:t xml:space="preserve">[REF-5] Clegg A, Young J, Iliffe S, Rikkert MO, Rockwood K. Frailty in elderly people. </w:t>
      </w:r>
      <w:r>
        <w:rPr>
          <w:i/>
        </w:rPr>
        <w:t>Lancet.</w:t>
      </w:r>
      <w:r>
        <w:t xml:space="preserve"> 2013;381(9868):752–762.</w:t>
      </w:r>
    </w:p>
    <w:p>
      <w:pPr>
        <w:spacing w:after="120"/>
      </w:pPr>
      <w:r>
        <w:t xml:space="preserve">[REF-6] Hoogendijk EO, Afilalo J, Ensrud KE, Bandeen-Roche K, Bellizi K, Kivimäki M, et al. Frailty: implications for clinical practice and public health. </w:t>
      </w:r>
      <w:r>
        <w:rPr>
          <w:i/>
        </w:rPr>
        <w:t>Lancet.</w:t>
      </w:r>
      <w:r>
        <w:t xml:space="preserve"> 2019;394(10206):1365–1375.</w:t>
      </w:r>
    </w:p>
    <w:p>
      <w:pPr>
        <w:spacing w:after="120"/>
      </w:pPr>
      <w:r>
        <w:t xml:space="preserve">[REF-7] Hanlon P, Nicholl BI, Jani BD, et al. Frailty and pre-frailty in middle-aged and older adults and its association with multimorbidity and mortality. </w:t>
      </w:r>
      <w:r>
        <w:rPr>
          <w:i/>
        </w:rPr>
        <w:t>Lancet Public Health.</w:t>
      </w:r>
      <w:r>
        <w:t xml:space="preserve"> 2018;3(7):e323–e332.</w:t>
      </w:r>
    </w:p>
    <w:p>
      <w:pPr>
        <w:spacing w:after="120"/>
      </w:pPr>
      <w:r>
        <w:t xml:space="preserve">[REF-8] Collins GS, Moons KGM, Dhiman P, et al. TRIPOD+AI statement: updated guidance for reporting clinical prediction models that use regression or machine learning. </w:t>
      </w:r>
      <w:r>
        <w:rPr>
          <w:i/>
        </w:rPr>
        <w:t>BMJ.</w:t>
      </w:r>
      <w:r>
        <w:t xml:space="preserve"> 2024;385:e078378.</w:t>
      </w:r>
    </w:p>
    <w:p>
      <w:pPr>
        <w:spacing w:after="120"/>
      </w:pPr>
      <w:r>
        <w:t xml:space="preserve">[REF-9] Wolff RF, Moons KGM, Riley RD, et al. PROBAST: a tool to assess the risk of bias and applicability of prediction model studies. </w:t>
      </w:r>
      <w:r>
        <w:rPr>
          <w:i/>
        </w:rPr>
        <w:t>Ann Intern Med.</w:t>
      </w:r>
      <w:r>
        <w:t xml:space="preserve"> 2019;170(1):51–58.</w:t>
      </w:r>
    </w:p>
    <w:p>
      <w:pPr>
        <w:spacing w:after="120"/>
      </w:pPr>
      <w:r>
        <w:t xml:space="preserve">[REF-10] Singer JD, Willett JB. </w:t>
      </w:r>
      <w:r>
        <w:rPr>
          <w:i/>
        </w:rPr>
        <w:t>Applied Longitudinal Data Analysis.</w:t>
      </w:r>
      <w:r>
        <w:t xml:space="preserve"> Oxford University Press; 2003.</w:t>
      </w:r>
    </w:p>
    <w:p>
      <w:pPr>
        <w:spacing w:after="120"/>
      </w:pPr>
      <w:r>
        <w:t xml:space="preserve">[REF-11] van Calster B, McLernon DJ, van Smeden M, Wynants L, Steyerberg EW. Calibration: the Achilles heel of predictive analytics. </w:t>
      </w:r>
      <w:r>
        <w:rPr>
          <w:i/>
        </w:rPr>
        <w:t>BMC Med.</w:t>
      </w:r>
      <w:r>
        <w:t xml:space="preserve"> 2019;17(1):230.</w:t>
      </w:r>
    </w:p>
    <w:p>
      <w:pPr>
        <w:spacing w:after="120"/>
      </w:pPr>
      <w:r>
        <w:t xml:space="preserve">[REF-12] Steyerberg EW, Vickers AJ, Cook NR, et al. Assessing the performance of prediction models: a framework for traditional and novel measures. </w:t>
      </w:r>
      <w:r>
        <w:rPr>
          <w:i/>
        </w:rPr>
        <w:t>Epidemiology.</w:t>
      </w:r>
      <w:r>
        <w:t xml:space="preserve"> 2010;21(1):128–138.</w:t>
      </w:r>
    </w:p>
    <w:p>
      <w:pPr>
        <w:spacing w:after="120"/>
      </w:pPr>
      <w:r>
        <w:t xml:space="preserve">[REF-13] Harrell FE, Califf RM, Pryor DB, Lee KL, Rosati RA. Evaluating the yield of medical tests. </w:t>
      </w:r>
      <w:r>
        <w:rPr>
          <w:i/>
        </w:rPr>
        <w:t>JAMA.</w:t>
      </w:r>
      <w:r>
        <w:t xml:space="preserve"> 1982;247(18):2543–2546.</w:t>
      </w:r>
    </w:p>
    <w:p>
      <w:pPr>
        <w:spacing w:after="120"/>
      </w:pPr>
      <w:r>
        <w:t xml:space="preserve">[REF-14] Steyerberg EW. </w:t>
      </w:r>
      <w:r>
        <w:rPr>
          <w:i/>
        </w:rPr>
        <w:t>Clinical Prediction Models: A Practical Approach to Development, Validation, and Updating.</w:t>
      </w:r>
      <w:r>
        <w:t xml:space="preserve"> 2nd ed. Springer; 2019.</w:t>
      </w:r>
    </w:p>
    <w:p>
      <w:pPr>
        <w:spacing w:after="120"/>
      </w:pPr>
      <w:r>
        <w:t xml:space="preserve">[REF-17] Beard JR, Officer A, de Carvalho IA, et al. The World report on ageing and health: a policy framework for healthy ageing. </w:t>
      </w:r>
      <w:r>
        <w:rPr>
          <w:i/>
        </w:rPr>
        <w:t>Lancet.</w:t>
      </w:r>
      <w:r>
        <w:t xml:space="preserve"> 2016;387(10033):2145–2154.</w:t>
      </w:r>
    </w:p>
    <w:p>
      <w:pPr>
        <w:spacing w:after="120"/>
      </w:pPr>
      <w:r>
        <w:t xml:space="preserve">[REF-18] Yourman LC, Lee SJ, Schonberg MA, Widera EW, Smith AK. Prognostic indices for older adults: a systematic review. </w:t>
      </w:r>
      <w:r>
        <w:rPr>
          <w:i/>
        </w:rPr>
        <w:t>JAMA.</w:t>
      </w:r>
      <w:r>
        <w:t xml:space="preserve"> 2012;307(2):182–192.</w:t>
      </w:r>
    </w:p>
    <w:p>
      <w:pPr>
        <w:spacing w:after="120"/>
      </w:pPr>
      <w:r>
        <w:t>[REF-19] Gateway to Global Aging Data. University of Southern California. https://g2aging.org/ (2025 data release, accessed July 2026).</w:t>
      </w:r>
    </w:p>
    <w:p>
      <w:pPr>
        <w:spacing w:after="120"/>
      </w:pPr>
      <w:r>
        <w:t xml:space="preserve">[REF-20] Zhao Y, Hu Y, Smith JP, Strauss J, Yang G. Cohort profile: the China Health and Retirement Longitudinal Study (CHARLS). </w:t>
      </w:r>
      <w:r>
        <w:rPr>
          <w:i/>
        </w:rPr>
        <w:t>Int J Epidemiol.</w:t>
      </w:r>
      <w:r>
        <w:t xml:space="preserve"> 2014;43(1):61–68.</w:t>
      </w:r>
    </w:p>
    <w:p>
      <w:pPr>
        <w:spacing w:after="120"/>
      </w:pPr>
      <w:r>
        <w:t xml:space="preserve">[REF-21] Zeng Y, Feng Q, Hesketh T, Christensen K, Vaupel JW. Survival, disabilities in activities of daily living, and physical and cognitive functioning among the oldest-old in China. </w:t>
      </w:r>
      <w:r>
        <w:rPr>
          <w:i/>
        </w:rPr>
        <w:t>Lancet.</w:t>
      </w:r>
      <w:r>
        <w:t xml:space="preserve"> 2017;389(10079):1619–1629.</w:t>
      </w:r>
    </w:p>
    <w:p>
      <w:pPr>
        <w:spacing w:after="120"/>
      </w:pPr>
      <w:r>
        <w:t xml:space="preserve">[REF-22] Jang SN, Cho SI, Chang J, et al. Cohort profile: the Korean Longitudinal Study of Ageing (KLoSA). </w:t>
      </w:r>
      <w:r>
        <w:rPr>
          <w:i/>
        </w:rPr>
        <w:t>Int J Epidemiol.</w:t>
      </w:r>
      <w:r>
        <w:t xml:space="preserve"> 2015;44(4):1160–1166.</w:t>
      </w:r>
    </w:p>
    <w:p>
      <w:pPr>
        <w:spacing w:after="120"/>
      </w:pPr>
      <w:r>
        <w:t xml:space="preserve">[REF-23] Sonnega A, Faul JD, Ofstedal MB, Langa KM, Phillips JW, Weir DR. Cohort profile: the Health and Retirement Study (HRS). </w:t>
      </w:r>
      <w:r>
        <w:rPr>
          <w:i/>
        </w:rPr>
        <w:t>Int J Epidemiol.</w:t>
      </w:r>
      <w:r>
        <w:t xml:space="preserve"> 2014;43(2):576–585.</w:t>
      </w:r>
    </w:p>
    <w:p>
      <w:pPr>
        <w:spacing w:after="120"/>
      </w:pPr>
      <w:r>
        <w:t xml:space="preserve">[REF-24] Börsch-Supan A, Brandt M, Hunkler C, et al. Data resource profile: the Survey of Health, Ageing and Retirement in Europe (SHARE). </w:t>
      </w:r>
      <w:r>
        <w:rPr>
          <w:i/>
        </w:rPr>
        <w:t>Int J Epidemiol.</w:t>
      </w:r>
      <w:r>
        <w:t xml:space="preserve"> 2013;42(4):992–1001.</w:t>
      </w:r>
    </w:p>
    <w:p>
      <w:pPr>
        <w:spacing w:after="120"/>
      </w:pPr>
      <w:r>
        <w:t xml:space="preserve">[REF-25] Wong R, Michaels-Obregon A, Palloni A. Cohort profile: the Mexican Health and Aging Study (MHAS). </w:t>
      </w:r>
      <w:r>
        <w:rPr>
          <w:i/>
        </w:rPr>
        <w:t>Int J Epidemiol.</w:t>
      </w:r>
      <w:r>
        <w:t xml:space="preserve"> 2017;46(2):e2.</w:t>
      </w:r>
    </w:p>
    <w:p>
      <w:pPr>
        <w:pStyle w:val="Heading2"/>
      </w:pPr>
      <w:r>
        <w:rPr>
          <w:rFonts w:ascii="Times New Roman" w:hAnsi="Times New Roman"/>
          <w:color w:val="000000"/>
        </w:rPr>
        <w:t>Figures and tables</w:t>
      </w:r>
    </w:p>
    <w:p>
      <w:pPr>
        <w:spacing w:after="120"/>
      </w:pPr>
      <w:r>
        <w:rPr>
          <w:b/>
        </w:rPr>
        <w:t>Table 1.</w:t>
      </w:r>
      <w:r>
        <w:t xml:space="preserve"> Baseline characteristics and four-year outcomes by cohort (in text §3.1).</w:t>
      </w:r>
    </w:p>
    <w:p>
      <w:pPr>
        <w:spacing w:after="120"/>
      </w:pPr>
      <w:r>
        <w:rPr>
          <w:b/>
        </w:rPr>
        <w:t>Table 2.</w:t>
      </w:r>
      <w:r>
        <w:t xml:space="preserve"> Pooled logistic regression coefficients, CHARLS development set (in text §3.3).</w:t>
      </w:r>
    </w:p>
    <w:p>
      <w:pPr>
        <w:spacing w:after="120"/>
      </w:pPr>
      <w:r>
        <w:rPr>
          <w:b/>
        </w:rPr>
        <w:t>Table 3.</w:t>
      </w:r>
      <w:r>
        <w:t xml:space="preserve"> LOCO and Asian-pool external validation performance (in text §3.5).</w:t>
      </w:r>
    </w:p>
    <w:p>
      <w:pPr>
        <w:spacing w:after="120"/>
      </w:pPr>
      <w:r>
        <w:rPr>
          <w:b/>
        </w:rPr>
        <w:t>Table 4.</w:t>
      </w:r>
      <w:r>
        <w:t xml:space="preserve"> SA-1: FI_core (19 items) versus FI_full (41 items) (in text §3.10).</w:t>
      </w:r>
    </w:p>
    <w:p>
      <w:pPr>
        <w:spacing w:after="120"/>
      </w:pPr>
      <w:r>
        <w:rPr>
          <w:b/>
        </w:rPr>
        <w:t>Table 5.</w:t>
      </w:r>
      <w:r>
        <w:t xml:space="preserve"> SA-3: education-adjusted sensitivity analysis, Aim 1 (in text §3.11).</w:t>
      </w:r>
    </w:p>
    <w:p>
      <w:pPr>
        <w:spacing w:after="120"/>
      </w:pPr>
      <w:r>
        <w:rPr>
          <w:b/>
        </w:rPr>
        <w:t>Figure 1.</w:t>
      </w:r>
      <w:r>
        <w:t xml:space="preserve"> Study design and participant flow (CONSORT-style). Source file: </w:t>
      </w:r>
      <w:r>
        <w:rPr>
          <w:rFonts w:ascii="Consolas" w:hAnsi="Consolas"/>
          <w:sz w:val="19"/>
        </w:rPr>
        <w:t>results/figures/fig1_flow_2026-07-30.pdf</w:t>
      </w:r>
      <w:r>
        <w:t>.</w:t>
      </w:r>
    </w:p>
    <w:p>
      <w:pPr>
        <w:spacing w:after="120"/>
      </w:pPr>
      <w:r>
        <w:rPr>
          <w:b/>
        </w:rPr>
        <w:t>Figure 2.</w:t>
      </w:r>
      <w:r>
        <w:t xml:space="preserve"> FI distribution across six cohorts (violin + boxplot, 60+ analytic samples). Source file: </w:t>
      </w:r>
      <w:r>
        <w:rPr>
          <w:rFonts w:ascii="Consolas" w:hAnsi="Consolas"/>
          <w:sz w:val="19"/>
        </w:rPr>
        <w:t>results/figures/fig2_fi_distribution_2026-07-30.pdf</w:t>
      </w:r>
      <w:r>
        <w:t>.</w:t>
      </w:r>
    </w:p>
    <w:p>
      <w:pPr>
        <w:spacing w:after="120"/>
      </w:pPr>
      <w:r>
        <w:rPr>
          <w:b/>
        </w:rPr>
        <w:t>Figure 3.</w:t>
      </w:r>
      <w:r>
        <w:t xml:space="preserve"> Aim 1 model performance. (A) ROC curves for Model A and Model B, CHARLS development set. (B) Calibration decile plot, CLHLS external validation. Source file: </w:t>
      </w:r>
      <w:r>
        <w:rPr>
          <w:rFonts w:ascii="Consolas" w:hAnsi="Consolas"/>
          <w:sz w:val="19"/>
        </w:rPr>
        <w:t>results/aim1/figures/fig3_aim1_roc_calibration_2026-07-30.pdf</w:t>
      </w:r>
      <w:r>
        <w:t>.</w:t>
      </w:r>
    </w:p>
    <w:p>
      <w:pPr>
        <w:spacing w:after="120"/>
      </w:pPr>
      <w:r>
        <w:rPr>
          <w:b/>
        </w:rPr>
        <w:t>Figure 4.</w:t>
      </w:r>
      <w:r>
        <w:t xml:space="preserve"> Aim 2 LOCO calibration panels: Rounds A, B and C, raw (L0) and L1 recalibrated. Source file: </w:t>
      </w:r>
      <w:r>
        <w:rPr>
          <w:rFonts w:ascii="Consolas" w:hAnsi="Consolas"/>
          <w:sz w:val="19"/>
        </w:rPr>
        <w:t>results/aim2/figures/fig4_aim2_loco_calibration_2026-07-30.pdf</w:t>
      </w:r>
      <w:r>
        <w:t>.</w:t>
      </w:r>
    </w:p>
    <w:p>
      <w:pPr>
        <w:spacing w:after="120"/>
      </w:pPr>
      <w:r>
        <w:rPr>
          <w:b/>
        </w:rPr>
        <w:t>Figure 5.</w:t>
      </w:r>
      <w:r>
        <w:t xml:space="preserve"> Aim 3 recalibration ladder: C-index, O:E, calibration slope and IPA at L0–L3 for HRS, SHARE and MHAS. Source file: </w:t>
      </w:r>
      <w:r>
        <w:rPr>
          <w:rFonts w:ascii="Consolas" w:hAnsi="Consolas"/>
          <w:sz w:val="19"/>
        </w:rPr>
        <w:t>results/aim3/figures/fig5_aim3_recalibration_ladder_2026-07-30.pdf</w:t>
      </w:r>
      <w:r>
        <w:t>.</w:t>
      </w:r>
    </w:p>
    <w:p>
      <w:pPr>
        <w:spacing w:after="120"/>
      </w:pPr>
      <w:r>
        <w:rPr>
          <w:b/>
        </w:rPr>
        <w:t>Supplementary Table S1.</w:t>
      </w:r>
      <w:r>
        <w:t xml:space="preserve"> Final 41-item FI specification with Gateway </w:t>
      </w:r>
      <w:r>
        <w:rPr>
          <w:rFonts w:ascii="Consolas" w:hAnsi="Consolas"/>
          <w:sz w:val="19"/>
        </w:rPr>
        <w:t>.do</w:t>
      </w:r>
      <w:r>
        <w:t xml:space="preserve"> source line numbers. Source file: </w:t>
      </w:r>
      <w:r>
        <w:rPr>
          <w:rFonts w:ascii="Consolas" w:hAnsi="Consolas"/>
          <w:sz w:val="19"/>
        </w:rPr>
        <w:t>results/tables/tableS1_fi_specification_2026-07-30.csv</w:t>
      </w:r>
      <w:r>
        <w:t>.</w:t>
      </w:r>
    </w:p>
    <w:p>
      <w:pPr>
        <w:spacing w:after="120"/>
      </w:pPr>
      <w:r>
        <w:rPr>
          <w:b/>
        </w:rPr>
        <w:t>Supplementary Table S2.</w:t>
      </w:r>
      <w:r>
        <w:t xml:space="preserve"> FI_core cross-cohort coverage matrix with positive rates. Source file: </w:t>
      </w:r>
      <w:r>
        <w:rPr>
          <w:rFonts w:ascii="Consolas" w:hAnsi="Consolas"/>
          <w:sz w:val="19"/>
        </w:rPr>
        <w:t>results/tables/tableS2_fi_core_coverage_2026-07-30.csv</w:t>
      </w:r>
      <w:r>
        <w:t>.</w:t>
      </w:r>
    </w:p>
    <w:p>
      <w:pPr>
        <w:spacing w:after="120"/>
      </w:pPr>
      <w:r>
        <w:rPr>
          <w:b/>
        </w:rPr>
        <w:t>Supplementary Table S3.</w:t>
      </w:r>
      <w:r>
        <w:t xml:space="preserve"> TRIPOD+AI checklist. Source file: </w:t>
      </w:r>
      <w:r>
        <w:rPr>
          <w:rFonts w:ascii="Consolas" w:hAnsi="Consolas"/>
          <w:sz w:val="19"/>
        </w:rPr>
        <w:t>docs/tripod_checklist_2026-07-30.md</w:t>
      </w:r>
      <w:r>
        <w:t>.</w:t>
      </w:r>
    </w:p>
    <w:p>
      <w:pPr>
        <w:spacing w:after="120"/>
      </w:pPr>
      <w:r>
        <w:rPr>
          <w:b/>
        </w:rPr>
        <w:t>Supplementary Figure S1.</w:t>
      </w:r>
      <w:r>
        <w:t xml:space="preserve"> H6 feature importance heatmap and Spearman concordance matrix. Source file: </w:t>
      </w:r>
      <w:r>
        <w:rPr>
          <w:rFonts w:ascii="Consolas" w:hAnsi="Consolas"/>
          <w:sz w:val="19"/>
        </w:rPr>
        <w:t>results/h6_shap/figures/figS1_h6_importance_concordance_2026-07-30.pdf</w:t>
      </w:r>
      <w:r>
        <w:t>.</w:t>
      </w:r>
    </w:p>
    <w:p>
      <w:pPr>
        <w:spacing w:after="120"/>
      </w:pPr>
      <w:r>
        <w:rPr>
          <w:b/>
        </w:rPr>
        <w:t>Supplementary Figure S2.</w:t>
      </w:r>
      <w:r>
        <w:t xml:space="preserve"> SHARE 19-country C-index distribution. Source file: </w:t>
      </w:r>
      <w:r>
        <w:rPr>
          <w:rFonts w:ascii="Consolas" w:hAnsi="Consolas"/>
          <w:sz w:val="19"/>
        </w:rPr>
        <w:t>results/aim3/figures/figS2_share_country_cindex_2026-07-30.pdf</w:t>
      </w:r>
      <w:r>
        <w:t>.</w:t>
      </w:r>
    </w:p>
    <w:p>
      <w:pPr>
        <w:spacing w:after="120"/>
      </w:pPr>
      <w:r>
        <w:rPr>
          <w:b/>
        </w:rPr>
        <w:t>Supplementary Figure S3.</w:t>
      </w:r>
      <w:r>
        <w:t xml:space="preserve"> CLHLS IPCW sensitivity analysis. Source file: </w:t>
      </w:r>
      <w:r>
        <w:rPr>
          <w:rFonts w:ascii="Consolas" w:hAnsi="Consolas"/>
          <w:sz w:val="19"/>
        </w:rPr>
        <w:t>results/ipcw/figures/figS3_ipcw_sensitivity_2026-07-30.pdf</w:t>
      </w:r>
      <w:r>
        <w:t>.</w:t>
      </w:r>
    </w:p>
    <w:p>
      <w:pPr>
        <w:spacing w:after="120"/>
      </w:pPr>
      <w:r>
        <w:rPr>
          <w:b/>
        </w:rPr>
        <w:t>Supplementary Figure S4.</w:t>
      </w:r>
      <w:r>
        <w:t xml:space="preserve"> H5: FI versus intrinsic capacity, CHARLS → CLHLS dumbbell plot. Source file: </w:t>
      </w:r>
      <w:r>
        <w:rPr>
          <w:rFonts w:ascii="Consolas" w:hAnsi="Consolas"/>
          <w:sz w:val="19"/>
        </w:rPr>
        <w:t>results/h5_ic/figS4_h5_dumbbell_2026-07-30.pdf</w:t>
      </w:r>
      <w:r>
        <w:t>.</w:t>
      </w:r>
    </w:p>
    <w:p>
      <w:pPr>
        <w:spacing w:after="120"/>
      </w:pPr>
      <w:r>
        <w:rPr>
          <w:i/>
        </w:rPr>
        <w:t>Manuscript version: 2026-07-31 | Humanizer pass applied | All numbers verified against results CSVs</w:t>
      </w:r>
    </w:p>
    <w:p>
      <w:pPr>
        <w:spacing w:after="120"/>
      </w:pPr>
      <w:r>
        <w:rPr>
          <w:i/>
        </w:rPr>
        <w:t>Word count: Abstract 331 | Introduction 485 | Methods 2,127 | Results 2,322 | Discussion 1,967 | main text total 6,901 (excluding tables, declarations, references and figure list)</w:t>
      </w:r>
    </w:p>
    <w:p>
      <w:pPr>
        <w:spacing w:after="120"/>
      </w:pPr>
      <w:r>
        <w:rPr>
          <w:i/>
        </w:rPr>
        <w:t>Note on abstract length: at 331 words the structured abstract exceeds the 250–300 word limit of several target journals (e.g. Lancet Healthy Longevity 300, Age and Ageing 250). Trimming will be needed once the target journal is fixed; the Results paragraph carries the most compressible detail.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