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lang w:val="de-AT"/>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lang w:val="de-AT"/>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lang w:val="de-AT"/>
        </w:rPr>
      </w:pPr>
      <w:r w:rsidRPr="0007569C">
        <w:rPr>
          <w:rFonts w:ascii="Arial" w:hAnsi="Arial" w:cs="Arial"/>
          <w:sz w:val="28"/>
          <w:szCs w:val="28"/>
          <w:lang w:val="de-AT"/>
        </w:rPr>
        <w:t xml:space="preserve">Master </w:t>
      </w:r>
      <w:proofErr w:type="spellStart"/>
      <w:r w:rsidRPr="0007569C">
        <w:rPr>
          <w:rFonts w:ascii="Arial" w:hAnsi="Arial" w:cs="Arial"/>
          <w:sz w:val="28"/>
          <w:szCs w:val="28"/>
          <w:lang w:val="de-AT"/>
        </w:rPr>
        <w:t>of</w:t>
      </w:r>
      <w:proofErr w:type="spellEnd"/>
      <w:r w:rsidRPr="0007569C">
        <w:rPr>
          <w:rFonts w:ascii="Arial" w:hAnsi="Arial" w:cs="Arial"/>
          <w:sz w:val="28"/>
          <w:szCs w:val="28"/>
          <w:lang w:val="de-AT"/>
        </w:rPr>
        <w:t xml:space="preserve"> Science (</w:t>
      </w:r>
      <w:proofErr w:type="spellStart"/>
      <w:r w:rsidRPr="0007569C">
        <w:rPr>
          <w:rFonts w:ascii="Arial" w:hAnsi="Arial" w:cs="Arial"/>
          <w:sz w:val="28"/>
          <w:szCs w:val="28"/>
          <w:lang w:val="de-AT"/>
        </w:rPr>
        <w:t>MSc</w:t>
      </w:r>
      <w:proofErr w:type="spellEnd"/>
      <w:r w:rsidRPr="0007569C">
        <w:rPr>
          <w:rFonts w:ascii="Arial" w:hAnsi="Arial" w:cs="Arial"/>
          <w:sz w:val="28"/>
          <w:szCs w:val="28"/>
          <w:lang w:val="de-AT"/>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lang w:val="de-AT"/>
              </w:rPr>
            </w:pPr>
            <w:r w:rsidRPr="0007569C">
              <w:rPr>
                <w:rFonts w:ascii="Arial" w:hAnsi="Arial" w:cs="Arial"/>
                <w:lang w:val="de-AT"/>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lang w:val="de-AT"/>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lang w:val="de-AT"/>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lang w:val="de-AT"/>
              </w:rPr>
              <w:t>Supervisor:</w:t>
            </w:r>
          </w:p>
          <w:p w14:paraId="60FFC97C" w14:textId="77777777" w:rsidR="00B94D94" w:rsidRPr="0007569C" w:rsidRDefault="00B94D94" w:rsidP="008560A3">
            <w:pPr>
              <w:spacing w:before="60" w:after="60"/>
              <w:rPr>
                <w:rFonts w:ascii="Arial" w:hAnsi="Arial" w:cs="Arial"/>
                <w:lang w:val="de-AT"/>
              </w:rPr>
            </w:pPr>
          </w:p>
          <w:p w14:paraId="4FE177B5" w14:textId="77777777" w:rsidR="00B94D94" w:rsidRPr="0007569C" w:rsidRDefault="00B94D94" w:rsidP="008560A3">
            <w:pPr>
              <w:spacing w:before="60" w:after="60"/>
              <w:rPr>
                <w:rFonts w:ascii="Arial" w:hAnsi="Arial" w:cs="Arial"/>
                <w:lang w:val="de-AT"/>
              </w:rPr>
            </w:pPr>
          </w:p>
        </w:tc>
        <w:tc>
          <w:tcPr>
            <w:tcW w:w="6379" w:type="dxa"/>
            <w:gridSpan w:val="3"/>
          </w:tcPr>
          <w:p w14:paraId="17BA368B" w14:textId="77777777" w:rsidR="00B94D94" w:rsidRPr="0007569C" w:rsidRDefault="00B94D94" w:rsidP="008560A3">
            <w:pPr>
              <w:spacing w:before="60" w:after="60"/>
              <w:rPr>
                <w:rFonts w:ascii="Arial" w:hAnsi="Arial" w:cs="Arial"/>
                <w:lang w:val="de-AT"/>
              </w:rPr>
            </w:pPr>
            <w:r w:rsidRPr="0007569C">
              <w:rPr>
                <w:rFonts w:ascii="Arial" w:hAnsi="Arial" w:cs="Arial"/>
                <w:lang w:val="de-AT"/>
              </w:rPr>
              <w:t xml:space="preserve">Univ.-Prof. Dr. Erich </w:t>
            </w:r>
            <w:proofErr w:type="spellStart"/>
            <w:r w:rsidRPr="0007569C">
              <w:rPr>
                <w:rFonts w:ascii="Arial" w:hAnsi="Arial" w:cs="Arial"/>
                <w:lang w:val="de-AT"/>
              </w:rPr>
              <w:t>Kirchler</w:t>
            </w:r>
            <w:proofErr w:type="spellEnd"/>
            <w:r w:rsidRPr="0007569C">
              <w:rPr>
                <w:rFonts w:ascii="Arial" w:hAnsi="Arial" w:cs="Arial"/>
                <w:lang w:val="de-AT"/>
              </w:rPr>
              <w:t xml:space="preserve"> </w:t>
            </w:r>
          </w:p>
          <w:p w14:paraId="5DCB3987" w14:textId="77777777" w:rsidR="00B94D94" w:rsidRPr="0007569C" w:rsidRDefault="00B94D94" w:rsidP="008560A3">
            <w:pPr>
              <w:spacing w:before="60" w:after="60"/>
              <w:rPr>
                <w:rFonts w:ascii="Arial" w:hAnsi="Arial" w:cs="Arial"/>
                <w:lang w:val="de-AT"/>
              </w:rPr>
            </w:pPr>
          </w:p>
        </w:tc>
      </w:tr>
    </w:tbl>
    <w:p w14:paraId="5E84E3A8" w14:textId="66FFC023" w:rsidR="00277E88" w:rsidRDefault="00277E88"/>
    <w:p w14:paraId="7C7AFBB1" w14:textId="1CF18DD0" w:rsidR="00B94D94" w:rsidRDefault="00B94D94" w:rsidP="00B94D94">
      <w:pPr>
        <w:pStyle w:val="berschrift1"/>
        <w:rPr>
          <w:lang w:val="de-AT"/>
        </w:rPr>
      </w:pPr>
      <w:r>
        <w:rPr>
          <w:lang w:val="de-AT"/>
        </w:rPr>
        <w:lastRenderedPageBreak/>
        <w:t>Zusammenfassung von Literatur</w:t>
      </w:r>
    </w:p>
    <w:p w14:paraId="79DA2659" w14:textId="4996EE02" w:rsidR="00F56543" w:rsidRPr="00F56543" w:rsidRDefault="00F56543" w:rsidP="00F56543">
      <w:pPr>
        <w:pStyle w:val="berschrift1"/>
        <w:rPr>
          <w:lang w:val="de-AT"/>
        </w:rPr>
      </w:pPr>
      <w:r>
        <w:rPr>
          <w:lang w:val="de-AT"/>
        </w:rPr>
        <w:t>Mental Accounting Basics</w:t>
      </w:r>
    </w:p>
    <w:p w14:paraId="6C03E90C" w14:textId="6372BCEB" w:rsidR="00930EDA" w:rsidRPr="00A15434" w:rsidRDefault="00930EDA" w:rsidP="00A15434">
      <w:pPr>
        <w:spacing w:line="360" w:lineRule="auto"/>
        <w:rPr>
          <w:rFonts w:ascii="Arial" w:hAnsi="Arial" w:cs="Arial"/>
          <w:sz w:val="24"/>
          <w:szCs w:val="24"/>
          <w:lang w:val="de-AT"/>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t>
      </w:r>
      <w:r w:rsidR="00F307AE">
        <w:rPr>
          <w:rFonts w:ascii="Arial" w:hAnsi="Arial" w:cs="Arial"/>
          <w:sz w:val="24"/>
          <w:szCs w:val="24"/>
          <w:lang w:val="de-DE"/>
        </w:rPr>
        <w:t>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307AE">
        <w:rPr>
          <w:rFonts w:ascii="Arial" w:hAnsi="Arial" w:cs="Arial"/>
          <w:sz w:val="24"/>
          <w:szCs w:val="24"/>
          <w:lang w:val="de-DE"/>
        </w:rPr>
        <w:t xml:space="preserve"> Des </w:t>
      </w:r>
      <w:proofErr w:type="spellStart"/>
      <w:r w:rsidR="00F307AE">
        <w:rPr>
          <w:rFonts w:ascii="Arial" w:hAnsi="Arial" w:cs="Arial"/>
          <w:sz w:val="24"/>
          <w:szCs w:val="24"/>
          <w:lang w:val="de-DE"/>
        </w:rPr>
        <w:t>weiteren</w:t>
      </w:r>
      <w:proofErr w:type="spellEnd"/>
      <w:r w:rsidR="00F307AE">
        <w:rPr>
          <w:rFonts w:ascii="Arial" w:hAnsi="Arial" w:cs="Arial"/>
          <w:sz w:val="24"/>
          <w:szCs w:val="24"/>
          <w:lang w:val="de-DE"/>
        </w:rPr>
        <w:t xml:space="preserve"> konnten die Autoren feststellen, dass am ehesten Geld aus dem jetzigen Einkommen verwendet wird, um Ausgaben zu tätigen und am Unwahrscheinlichsten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lang w:val="de-AT"/>
        </w:rPr>
      </w:pPr>
      <w:r w:rsidRPr="002737FA">
        <w:rPr>
          <w:rFonts w:ascii="Arial" w:hAnsi="Arial" w:cs="Arial"/>
          <w:sz w:val="24"/>
          <w:szCs w:val="24"/>
          <w:lang w:val="de-AT"/>
        </w:rPr>
        <w:lastRenderedPageBreak/>
        <w:t xml:space="preserve">PAPER ENTHÄLT NOCH SEHR </w:t>
      </w:r>
      <w:r>
        <w:rPr>
          <w:rFonts w:ascii="Arial" w:hAnsi="Arial" w:cs="Arial"/>
          <w:sz w:val="24"/>
          <w:szCs w:val="24"/>
          <w:lang w:val="de-AT"/>
        </w:rPr>
        <w:t>VIEL MEHR</w:t>
      </w:r>
    </w:p>
    <w:p w14:paraId="32457781" w14:textId="06813716" w:rsidR="002737FA" w:rsidRPr="00086306" w:rsidRDefault="002737FA" w:rsidP="002A1256">
      <w:pPr>
        <w:pStyle w:val="berschrift2"/>
        <w:rPr>
          <w:rFonts w:ascii="Arial" w:hAnsi="Arial" w:cs="Arial"/>
          <w:lang w:val="en-US"/>
        </w:rPr>
      </w:pPr>
      <w:r w:rsidRPr="00086306">
        <w:rPr>
          <w:rFonts w:ascii="Arial" w:hAnsi="Arial" w:cs="Arial"/>
          <w:lang w:val="en-US"/>
        </w:rPr>
        <w:t>P</w:t>
      </w:r>
      <w:r w:rsidR="002A1256" w:rsidRPr="00086306">
        <w:rPr>
          <w:rFonts w:ascii="Arial" w:hAnsi="Arial" w:cs="Arial"/>
          <w:lang w:val="en-US"/>
        </w:rPr>
        <w:t>rospect Theory</w:t>
      </w:r>
    </w:p>
    <w:p w14:paraId="262AEF9B" w14:textId="0104A0C4" w:rsidR="002A1256" w:rsidRDefault="002A1256" w:rsidP="00264FA7">
      <w:pPr>
        <w:spacing w:line="360" w:lineRule="auto"/>
        <w:jc w:val="both"/>
        <w:rPr>
          <w:rFonts w:ascii="Arial" w:hAnsi="Arial" w:cs="Arial"/>
          <w:sz w:val="24"/>
          <w:szCs w:val="24"/>
          <w:lang w:val="de-AT"/>
        </w:rPr>
      </w:pPr>
      <w:r w:rsidRPr="0084511A">
        <w:rPr>
          <w:rFonts w:ascii="Arial" w:hAnsi="Arial" w:cs="Arial"/>
          <w:sz w:val="24"/>
          <w:szCs w:val="24"/>
          <w:lang w:val="de-AT"/>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lang w:val="de-AT"/>
        </w:rPr>
        <w:t>dar,</w:t>
      </w:r>
      <w:r w:rsidRPr="0084511A">
        <w:rPr>
          <w:rFonts w:ascii="Arial" w:hAnsi="Arial" w:cs="Arial"/>
          <w:sz w:val="24"/>
          <w:szCs w:val="24"/>
          <w:lang w:val="de-AT"/>
        </w:rPr>
        <w:t xml:space="preserve"> um nachvollziehen zu können, wie Individuen Entscheidungen unter Unsicherheit treffen (</w:t>
      </w:r>
      <w:proofErr w:type="spellStart"/>
      <w:r w:rsidRPr="0084511A">
        <w:rPr>
          <w:rFonts w:ascii="Arial" w:hAnsi="Arial" w:cs="Arial"/>
          <w:sz w:val="24"/>
          <w:szCs w:val="24"/>
          <w:lang w:val="de-AT"/>
        </w:rPr>
        <w:t>Kahneman</w:t>
      </w:r>
      <w:proofErr w:type="spellEnd"/>
      <w:r w:rsidRPr="0084511A">
        <w:rPr>
          <w:rFonts w:ascii="Arial" w:hAnsi="Arial" w:cs="Arial"/>
          <w:sz w:val="24"/>
          <w:szCs w:val="24"/>
          <w:lang w:val="de-AT"/>
        </w:rPr>
        <w:t xml:space="preserve"> &amp; Tversky, 1979). Unsicherheit bedeutet, dass </w:t>
      </w:r>
      <w:r w:rsidR="0084511A" w:rsidRPr="0084511A">
        <w:rPr>
          <w:rFonts w:ascii="Arial" w:hAnsi="Arial" w:cs="Arial"/>
          <w:sz w:val="24"/>
          <w:szCs w:val="24"/>
          <w:lang w:val="de-AT"/>
        </w:rPr>
        <w:t xml:space="preserve">die Wahrscheinlichkeit, dass ein bestimmtes Ereignis eintritt nicht mit Sicherheit bestimmt werden </w:t>
      </w:r>
      <w:r w:rsidR="00EA1C4B">
        <w:rPr>
          <w:rFonts w:ascii="Arial" w:hAnsi="Arial" w:cs="Arial"/>
          <w:sz w:val="24"/>
          <w:szCs w:val="24"/>
          <w:lang w:val="de-AT"/>
        </w:rPr>
        <w:t>kann</w:t>
      </w:r>
      <w:r w:rsidR="0084511A" w:rsidRPr="0084511A">
        <w:rPr>
          <w:rFonts w:ascii="Arial" w:hAnsi="Arial" w:cs="Arial"/>
          <w:sz w:val="24"/>
          <w:szCs w:val="24"/>
          <w:lang w:val="de-AT"/>
        </w:rPr>
        <w:t xml:space="preserve"> </w:t>
      </w:r>
      <w:r w:rsidR="0084511A" w:rsidRPr="0084511A">
        <w:rPr>
          <w:rFonts w:ascii="Arial" w:hAnsi="Arial" w:cs="Arial"/>
          <w:sz w:val="24"/>
          <w:szCs w:val="24"/>
          <w:lang w:val="de-AT"/>
        </w:rPr>
        <w:t>(Tversky &amp; Fox, 1995).</w:t>
      </w:r>
      <w:r w:rsidR="0084511A" w:rsidRPr="0084511A">
        <w:rPr>
          <w:rFonts w:ascii="Arial" w:hAnsi="Arial" w:cs="Arial"/>
          <w:sz w:val="24"/>
          <w:szCs w:val="24"/>
          <w:lang w:val="de-AT"/>
        </w:rPr>
        <w:t xml:space="preserve"> </w:t>
      </w:r>
      <w:r w:rsidR="00EA1C4B">
        <w:rPr>
          <w:rFonts w:ascii="Arial" w:hAnsi="Arial" w:cs="Arial"/>
          <w:sz w:val="24"/>
          <w:szCs w:val="24"/>
          <w:lang w:val="de-AT"/>
        </w:rPr>
        <w:t>Die Prospect Theory baut auf den vier Elementen Referenzabhängigkeit,</w:t>
      </w:r>
      <w:r w:rsidR="00F00141" w:rsidRPr="00F00141">
        <w:rPr>
          <w:rFonts w:ascii="Arial" w:hAnsi="Arial" w:cs="Arial"/>
          <w:sz w:val="24"/>
          <w:szCs w:val="24"/>
          <w:lang w:val="de-AT"/>
        </w:rPr>
        <w:t xml:space="preserve"> </w:t>
      </w:r>
      <w:r w:rsidR="00F00141">
        <w:rPr>
          <w:rFonts w:ascii="Arial" w:hAnsi="Arial" w:cs="Arial"/>
          <w:sz w:val="24"/>
          <w:szCs w:val="24"/>
          <w:lang w:val="de-AT"/>
        </w:rPr>
        <w:t>abnehmende Empfindlichkeit</w:t>
      </w:r>
      <w:r w:rsidR="00086306">
        <w:rPr>
          <w:rFonts w:ascii="Arial" w:hAnsi="Arial" w:cs="Arial"/>
          <w:sz w:val="24"/>
          <w:szCs w:val="24"/>
          <w:lang w:val="de-AT"/>
        </w:rPr>
        <w:t>,</w:t>
      </w:r>
      <w:r w:rsidR="00EA1C4B">
        <w:rPr>
          <w:rFonts w:ascii="Arial" w:hAnsi="Arial" w:cs="Arial"/>
          <w:sz w:val="24"/>
          <w:szCs w:val="24"/>
          <w:lang w:val="de-AT"/>
        </w:rPr>
        <w:t xml:space="preserve"> Verlustaversion</w:t>
      </w:r>
      <w:r w:rsidR="00F00141">
        <w:rPr>
          <w:rFonts w:ascii="Arial" w:hAnsi="Arial" w:cs="Arial"/>
          <w:sz w:val="24"/>
          <w:szCs w:val="24"/>
          <w:lang w:val="de-AT"/>
        </w:rPr>
        <w:t xml:space="preserve"> und </w:t>
      </w:r>
      <w:r w:rsidR="00EA1C4B">
        <w:rPr>
          <w:rFonts w:ascii="Arial" w:hAnsi="Arial" w:cs="Arial"/>
          <w:sz w:val="24"/>
          <w:szCs w:val="24"/>
          <w:lang w:val="de-AT"/>
        </w:rPr>
        <w:t>Wahrscheinlichkeitsgewichtung auf (</w:t>
      </w:r>
      <w:proofErr w:type="spellStart"/>
      <w:r w:rsidR="00EA1C4B" w:rsidRPr="00EA1C4B">
        <w:rPr>
          <w:rFonts w:ascii="Arial" w:hAnsi="Arial" w:cs="Arial"/>
          <w:sz w:val="24"/>
          <w:szCs w:val="24"/>
          <w:lang w:val="de-AT"/>
        </w:rPr>
        <w:t>Kahneman</w:t>
      </w:r>
      <w:proofErr w:type="spellEnd"/>
      <w:r w:rsidR="00EA1C4B" w:rsidRPr="00EA1C4B">
        <w:rPr>
          <w:rFonts w:ascii="Arial" w:hAnsi="Arial" w:cs="Arial"/>
          <w:sz w:val="24"/>
          <w:szCs w:val="24"/>
          <w:lang w:val="de-AT"/>
        </w:rPr>
        <w:t xml:space="preserve"> &amp; Tversky, 1979</w:t>
      </w:r>
      <w:r w:rsidR="00EA1C4B">
        <w:rPr>
          <w:rFonts w:ascii="Arial" w:hAnsi="Arial" w:cs="Arial"/>
          <w:sz w:val="24"/>
          <w:szCs w:val="24"/>
          <w:lang w:val="de-AT"/>
        </w:rPr>
        <w:t xml:space="preserve">). Referenzabhängigkeit bedeutet, dass </w:t>
      </w:r>
      <w:r w:rsidR="00F00141">
        <w:rPr>
          <w:rFonts w:ascii="Arial" w:hAnsi="Arial" w:cs="Arial"/>
          <w:sz w:val="24"/>
          <w:szCs w:val="24"/>
          <w:lang w:val="de-AT"/>
        </w:rPr>
        <w:t>Gewinne und Verluste relativ zu einem Referenzpunkt gesehen werden, statt im Bezug zu dem gesamten Wohlhaben (</w:t>
      </w:r>
      <w:proofErr w:type="spellStart"/>
      <w:r w:rsidR="00F00141">
        <w:rPr>
          <w:rFonts w:ascii="Arial" w:hAnsi="Arial" w:cs="Arial"/>
          <w:sz w:val="24"/>
          <w:szCs w:val="24"/>
          <w:lang w:val="de-AT"/>
        </w:rPr>
        <w:t>Barberis</w:t>
      </w:r>
      <w:proofErr w:type="spellEnd"/>
      <w:r w:rsidR="00F00141">
        <w:rPr>
          <w:rFonts w:ascii="Arial" w:hAnsi="Arial" w:cs="Arial"/>
          <w:sz w:val="24"/>
          <w:szCs w:val="24"/>
          <w:lang w:val="de-AT"/>
        </w:rPr>
        <w:t>, 2013). Abnehmende Empfindlichkeit bedeutet, dass</w:t>
      </w:r>
      <w:r w:rsidR="00086306">
        <w:rPr>
          <w:rFonts w:ascii="Arial" w:hAnsi="Arial" w:cs="Arial"/>
          <w:sz w:val="24"/>
          <w:szCs w:val="24"/>
          <w:lang w:val="de-AT"/>
        </w:rPr>
        <w:t xml:space="preserve"> die Empfindlichkeit für</w:t>
      </w:r>
      <w:r w:rsidR="00F00141">
        <w:rPr>
          <w:rFonts w:ascii="Arial" w:hAnsi="Arial" w:cs="Arial"/>
          <w:sz w:val="24"/>
          <w:szCs w:val="24"/>
          <w:lang w:val="de-AT"/>
        </w:rPr>
        <w:t xml:space="preserve"> Veränderungen</w:t>
      </w:r>
      <w:r w:rsidR="00086306">
        <w:rPr>
          <w:rFonts w:ascii="Arial" w:hAnsi="Arial" w:cs="Arial"/>
          <w:sz w:val="24"/>
          <w:szCs w:val="24"/>
          <w:lang w:val="de-AT"/>
        </w:rPr>
        <w:t xml:space="preserve"> sich</w:t>
      </w:r>
      <w:r w:rsidR="00F00141">
        <w:rPr>
          <w:rFonts w:ascii="Arial" w:hAnsi="Arial" w:cs="Arial"/>
          <w:sz w:val="24"/>
          <w:szCs w:val="24"/>
          <w:lang w:val="de-AT"/>
        </w:rPr>
        <w:t xml:space="preserve"> je nach Referenzpunkt sich </w:t>
      </w:r>
      <w:r w:rsidR="00086306">
        <w:rPr>
          <w:rFonts w:ascii="Arial" w:hAnsi="Arial" w:cs="Arial"/>
          <w:sz w:val="24"/>
          <w:szCs w:val="24"/>
          <w:lang w:val="de-AT"/>
        </w:rPr>
        <w:t>verändert</w:t>
      </w:r>
      <w:r w:rsidR="00F00141">
        <w:rPr>
          <w:rFonts w:ascii="Arial" w:hAnsi="Arial" w:cs="Arial"/>
          <w:sz w:val="24"/>
          <w:szCs w:val="24"/>
          <w:lang w:val="de-AT"/>
        </w:rPr>
        <w:t xml:space="preserve"> (</w:t>
      </w:r>
      <w:proofErr w:type="spellStart"/>
      <w:r w:rsidR="00086306">
        <w:rPr>
          <w:rFonts w:ascii="Arial" w:hAnsi="Arial" w:cs="Arial"/>
          <w:sz w:val="24"/>
          <w:szCs w:val="24"/>
          <w:lang w:val="de-AT"/>
        </w:rPr>
        <w:t>Kahneman</w:t>
      </w:r>
      <w:proofErr w:type="spellEnd"/>
      <w:r w:rsidR="00086306">
        <w:rPr>
          <w:rFonts w:ascii="Arial" w:hAnsi="Arial" w:cs="Arial"/>
          <w:sz w:val="24"/>
          <w:szCs w:val="24"/>
          <w:lang w:val="de-AT"/>
        </w:rPr>
        <w:t xml:space="preserve"> &amp; Tversky, 1979)</w:t>
      </w:r>
      <w:r w:rsidR="00F00141">
        <w:rPr>
          <w:rFonts w:ascii="Arial" w:hAnsi="Arial" w:cs="Arial"/>
          <w:sz w:val="24"/>
          <w:szCs w:val="24"/>
          <w:lang w:val="de-AT"/>
        </w:rPr>
        <w:t>.</w:t>
      </w:r>
      <w:r w:rsidR="00086306">
        <w:rPr>
          <w:rFonts w:ascii="Arial" w:hAnsi="Arial" w:cs="Arial"/>
          <w:sz w:val="24"/>
          <w:szCs w:val="24"/>
          <w:lang w:val="de-AT"/>
        </w:rPr>
        <w:t xml:space="preserve"> Werden mit 100€ Einsatz 200€ gewonnen, so wird dieser Gewinn als größer wahrgenommen, als wenn mit 1</w:t>
      </w:r>
      <w:r w:rsidR="006009DD">
        <w:rPr>
          <w:rFonts w:ascii="Arial" w:hAnsi="Arial" w:cs="Arial"/>
          <w:sz w:val="24"/>
          <w:szCs w:val="24"/>
          <w:lang w:val="de-AT"/>
        </w:rPr>
        <w:t>1</w:t>
      </w:r>
      <w:r w:rsidR="00086306">
        <w:rPr>
          <w:rFonts w:ascii="Arial" w:hAnsi="Arial" w:cs="Arial"/>
          <w:sz w:val="24"/>
          <w:szCs w:val="24"/>
          <w:lang w:val="de-AT"/>
        </w:rPr>
        <w:t>00€ Einsatz 1</w:t>
      </w:r>
      <w:r w:rsidR="006009DD">
        <w:rPr>
          <w:rFonts w:ascii="Arial" w:hAnsi="Arial" w:cs="Arial"/>
          <w:sz w:val="24"/>
          <w:szCs w:val="24"/>
          <w:lang w:val="de-AT"/>
        </w:rPr>
        <w:t>2</w:t>
      </w:r>
      <w:r w:rsidR="00086306">
        <w:rPr>
          <w:rFonts w:ascii="Arial" w:hAnsi="Arial" w:cs="Arial"/>
          <w:sz w:val="24"/>
          <w:szCs w:val="24"/>
          <w:lang w:val="de-AT"/>
        </w:rPr>
        <w:t>00€ gewonnen werden (</w:t>
      </w:r>
      <w:proofErr w:type="spellStart"/>
      <w:r w:rsidR="00086306" w:rsidRPr="00086306">
        <w:rPr>
          <w:rFonts w:ascii="Arial" w:hAnsi="Arial" w:cs="Arial"/>
          <w:sz w:val="24"/>
          <w:szCs w:val="24"/>
          <w:lang w:val="de-AT"/>
        </w:rPr>
        <w:t>Kahneman</w:t>
      </w:r>
      <w:proofErr w:type="spellEnd"/>
      <w:r w:rsidR="00086306" w:rsidRPr="00086306">
        <w:rPr>
          <w:rFonts w:ascii="Arial" w:hAnsi="Arial" w:cs="Arial"/>
          <w:sz w:val="24"/>
          <w:szCs w:val="24"/>
          <w:lang w:val="de-AT"/>
        </w:rPr>
        <w:t xml:space="preserve"> &amp; Tversky, 1979</w:t>
      </w:r>
      <w:r w:rsidR="00086306">
        <w:rPr>
          <w:rFonts w:ascii="Arial" w:hAnsi="Arial" w:cs="Arial"/>
          <w:sz w:val="24"/>
          <w:szCs w:val="24"/>
          <w:lang w:val="de-AT"/>
        </w:rPr>
        <w:t xml:space="preserve">). </w:t>
      </w:r>
      <w:r w:rsidR="00086306">
        <w:rPr>
          <w:rFonts w:ascii="Arial" w:hAnsi="Arial" w:cs="Arial"/>
          <w:sz w:val="24"/>
          <w:szCs w:val="24"/>
          <w:lang w:val="de-AT"/>
        </w:rPr>
        <w:t>Abnehmende Empfindlichkeit</w:t>
      </w:r>
      <w:r w:rsidR="00086306">
        <w:rPr>
          <w:rFonts w:ascii="Arial" w:hAnsi="Arial" w:cs="Arial"/>
          <w:sz w:val="24"/>
          <w:szCs w:val="24"/>
          <w:lang w:val="de-AT"/>
        </w:rPr>
        <w:t xml:space="preserve"> gilt auch für Verluste und riskante Entscheidungen </w:t>
      </w:r>
      <w:r w:rsidR="00086306">
        <w:rPr>
          <w:rFonts w:ascii="Arial" w:hAnsi="Arial" w:cs="Arial"/>
          <w:sz w:val="24"/>
          <w:szCs w:val="24"/>
          <w:lang w:val="de-AT"/>
        </w:rPr>
        <w:t>(</w:t>
      </w:r>
      <w:proofErr w:type="spellStart"/>
      <w:r w:rsidR="00086306" w:rsidRPr="00086306">
        <w:rPr>
          <w:rFonts w:ascii="Arial" w:hAnsi="Arial" w:cs="Arial"/>
          <w:sz w:val="24"/>
          <w:szCs w:val="24"/>
          <w:lang w:val="de-AT"/>
        </w:rPr>
        <w:t>Kahneman</w:t>
      </w:r>
      <w:proofErr w:type="spellEnd"/>
      <w:r w:rsidR="00086306" w:rsidRPr="00086306">
        <w:rPr>
          <w:rFonts w:ascii="Arial" w:hAnsi="Arial" w:cs="Arial"/>
          <w:sz w:val="24"/>
          <w:szCs w:val="24"/>
          <w:lang w:val="de-AT"/>
        </w:rPr>
        <w:t xml:space="preserve"> &amp; Tversky, 1979</w:t>
      </w:r>
      <w:r w:rsidR="00086306">
        <w:rPr>
          <w:rFonts w:ascii="Arial" w:hAnsi="Arial" w:cs="Arial"/>
          <w:sz w:val="24"/>
          <w:szCs w:val="24"/>
          <w:lang w:val="de-AT"/>
        </w:rPr>
        <w:t>).</w:t>
      </w:r>
      <w:r w:rsidR="00086306">
        <w:rPr>
          <w:rFonts w:ascii="Arial" w:hAnsi="Arial" w:cs="Arial"/>
          <w:sz w:val="24"/>
          <w:szCs w:val="24"/>
          <w:lang w:val="de-AT"/>
        </w:rPr>
        <w:t xml:space="preserve"> Verlustaversion bedeutet, dass Verluste sensibler wahrgenommen </w:t>
      </w:r>
      <w:r w:rsidR="006009DD">
        <w:rPr>
          <w:rFonts w:ascii="Arial" w:hAnsi="Arial" w:cs="Arial"/>
          <w:sz w:val="24"/>
          <w:szCs w:val="24"/>
          <w:lang w:val="de-AT"/>
        </w:rPr>
        <w:t>werden</w:t>
      </w:r>
      <w:r w:rsidR="00086306">
        <w:rPr>
          <w:rFonts w:ascii="Arial" w:hAnsi="Arial" w:cs="Arial"/>
          <w:sz w:val="24"/>
          <w:szCs w:val="24"/>
          <w:lang w:val="de-AT"/>
        </w:rPr>
        <w:t xml:space="preserve"> als Gewinne im gleichen Ausmaß </w:t>
      </w:r>
      <w:r w:rsidR="00086306">
        <w:rPr>
          <w:rFonts w:ascii="Arial" w:hAnsi="Arial" w:cs="Arial"/>
          <w:sz w:val="24"/>
          <w:szCs w:val="24"/>
          <w:lang w:val="de-AT"/>
        </w:rPr>
        <w:t>(</w:t>
      </w:r>
      <w:proofErr w:type="spellStart"/>
      <w:r w:rsidR="00086306" w:rsidRPr="00086306">
        <w:rPr>
          <w:rFonts w:ascii="Arial" w:hAnsi="Arial" w:cs="Arial"/>
          <w:sz w:val="24"/>
          <w:szCs w:val="24"/>
          <w:lang w:val="de-AT"/>
        </w:rPr>
        <w:t>Kahneman</w:t>
      </w:r>
      <w:proofErr w:type="spellEnd"/>
      <w:r w:rsidR="00086306" w:rsidRPr="00086306">
        <w:rPr>
          <w:rFonts w:ascii="Arial" w:hAnsi="Arial" w:cs="Arial"/>
          <w:sz w:val="24"/>
          <w:szCs w:val="24"/>
          <w:lang w:val="de-AT"/>
        </w:rPr>
        <w:t xml:space="preserve"> &amp; Tversky, 1979</w:t>
      </w:r>
      <w:r w:rsidR="00086306">
        <w:rPr>
          <w:rFonts w:ascii="Arial" w:hAnsi="Arial" w:cs="Arial"/>
          <w:sz w:val="24"/>
          <w:szCs w:val="24"/>
          <w:lang w:val="de-AT"/>
        </w:rPr>
        <w:t>)</w:t>
      </w:r>
      <w:r w:rsidR="00086306">
        <w:rPr>
          <w:rFonts w:ascii="Arial" w:hAnsi="Arial" w:cs="Arial"/>
          <w:sz w:val="24"/>
          <w:szCs w:val="24"/>
          <w:lang w:val="de-AT"/>
        </w:rPr>
        <w:t>.</w:t>
      </w:r>
      <w:r w:rsidR="00DF0522">
        <w:rPr>
          <w:rFonts w:ascii="Arial" w:hAnsi="Arial" w:cs="Arial"/>
          <w:sz w:val="24"/>
          <w:szCs w:val="24"/>
          <w:lang w:val="de-AT"/>
        </w:rPr>
        <w:t xml:space="preserve"> Diese drei Faktoren bilden gemeinsam die Wertfunktion. Die Wertfunktion ist eine asymmetrische, S-förmige Funktion (</w:t>
      </w:r>
      <w:proofErr w:type="spellStart"/>
      <w:r w:rsidR="00DF0522">
        <w:rPr>
          <w:rFonts w:ascii="Arial" w:hAnsi="Arial" w:cs="Arial"/>
          <w:sz w:val="24"/>
          <w:szCs w:val="24"/>
          <w:lang w:val="de-AT"/>
        </w:rPr>
        <w:t>Barberis</w:t>
      </w:r>
      <w:proofErr w:type="spellEnd"/>
      <w:r w:rsidR="00DF0522">
        <w:rPr>
          <w:rFonts w:ascii="Arial" w:hAnsi="Arial" w:cs="Arial"/>
          <w:sz w:val="24"/>
          <w:szCs w:val="24"/>
          <w:lang w:val="de-AT"/>
        </w:rPr>
        <w:t>,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lang w:val="de-AT"/>
        </w:rPr>
        <w:t xml:space="preserve">e </w:t>
      </w:r>
      <w:r w:rsidR="00DF0522">
        <w:rPr>
          <w:rFonts w:ascii="Arial" w:hAnsi="Arial" w:cs="Arial"/>
          <w:sz w:val="24"/>
          <w:szCs w:val="24"/>
          <w:lang w:val="de-AT"/>
        </w:rPr>
        <w:t>steiler</w:t>
      </w:r>
      <w:r w:rsidR="00AA5A00">
        <w:rPr>
          <w:rFonts w:ascii="Arial" w:hAnsi="Arial" w:cs="Arial"/>
          <w:sz w:val="24"/>
          <w:szCs w:val="24"/>
          <w:lang w:val="de-AT"/>
        </w:rPr>
        <w:t xml:space="preserve"> ist</w:t>
      </w:r>
      <w:r w:rsidR="00DF0522">
        <w:rPr>
          <w:rFonts w:ascii="Arial" w:hAnsi="Arial" w:cs="Arial"/>
          <w:sz w:val="24"/>
          <w:szCs w:val="24"/>
          <w:lang w:val="de-AT"/>
        </w:rPr>
        <w:t xml:space="preserve"> als für Gewinne.</w:t>
      </w:r>
      <w:r w:rsidR="00AA5A00">
        <w:rPr>
          <w:rFonts w:ascii="Arial" w:hAnsi="Arial" w:cs="Arial"/>
          <w:sz w:val="24"/>
          <w:szCs w:val="24"/>
          <w:lang w:val="de-AT"/>
        </w:rPr>
        <w:t xml:space="preserve"> Der vierte Faktor, die Wahrscheinlichkeitsgewichtung bedeutet, dass in der Prospect Theory weniger Wahrscheinlichkeiten, sondern die Gewichtung solcher nach Erwünschtheit (</w:t>
      </w:r>
      <w:proofErr w:type="spellStart"/>
      <w:r w:rsidR="00AA5A00" w:rsidRPr="00AA5A00">
        <w:rPr>
          <w:rFonts w:ascii="Arial" w:hAnsi="Arial" w:cs="Arial"/>
          <w:sz w:val="24"/>
          <w:szCs w:val="24"/>
          <w:lang w:val="de-AT"/>
        </w:rPr>
        <w:t>Kahneman</w:t>
      </w:r>
      <w:proofErr w:type="spellEnd"/>
      <w:r w:rsidR="00AA5A00" w:rsidRPr="00AA5A00">
        <w:rPr>
          <w:rFonts w:ascii="Arial" w:hAnsi="Arial" w:cs="Arial"/>
          <w:sz w:val="24"/>
          <w:szCs w:val="24"/>
          <w:lang w:val="de-AT"/>
        </w:rPr>
        <w:t xml:space="preserve"> &amp; Tversky, 1979</w:t>
      </w:r>
      <w:r w:rsidR="00AA5A00">
        <w:rPr>
          <w:rFonts w:ascii="Arial" w:hAnsi="Arial" w:cs="Arial"/>
          <w:sz w:val="24"/>
          <w:szCs w:val="24"/>
          <w:lang w:val="de-AT"/>
        </w:rPr>
        <w:t xml:space="preserve">). Wird ein Ereignis durch Erhöhung der Wahrscheinlichkeit ermöglicht oder sicher, wird diese Änderung als signifikanter </w:t>
      </w:r>
      <w:r w:rsidR="00264FA7">
        <w:rPr>
          <w:rFonts w:ascii="Arial" w:hAnsi="Arial" w:cs="Arial"/>
          <w:sz w:val="24"/>
          <w:szCs w:val="24"/>
          <w:lang w:val="de-AT"/>
        </w:rPr>
        <w:t>wahrgenommen</w:t>
      </w:r>
      <w:r w:rsidR="00AA5A00">
        <w:rPr>
          <w:rFonts w:ascii="Arial" w:hAnsi="Arial" w:cs="Arial"/>
          <w:sz w:val="24"/>
          <w:szCs w:val="24"/>
          <w:lang w:val="de-AT"/>
        </w:rPr>
        <w:t xml:space="preserve"> als eine</w:t>
      </w:r>
      <w:r w:rsidR="00264FA7">
        <w:rPr>
          <w:rFonts w:ascii="Arial" w:hAnsi="Arial" w:cs="Arial"/>
          <w:sz w:val="24"/>
          <w:szCs w:val="24"/>
          <w:lang w:val="de-AT"/>
        </w:rPr>
        <w:t xml:space="preserve"> äquivalente</w:t>
      </w:r>
      <w:r w:rsidR="00AA5A00">
        <w:rPr>
          <w:rFonts w:ascii="Arial" w:hAnsi="Arial" w:cs="Arial"/>
          <w:sz w:val="24"/>
          <w:szCs w:val="24"/>
          <w:lang w:val="de-AT"/>
        </w:rPr>
        <w:t xml:space="preserve"> Änderung </w:t>
      </w:r>
      <w:r w:rsidR="00264FA7">
        <w:rPr>
          <w:rFonts w:ascii="Arial" w:hAnsi="Arial" w:cs="Arial"/>
          <w:sz w:val="24"/>
          <w:szCs w:val="24"/>
          <w:lang w:val="de-AT"/>
        </w:rPr>
        <w:t>von z.B. 50% auf 55% (</w:t>
      </w:r>
      <w:proofErr w:type="spellStart"/>
      <w:r w:rsidR="00264FA7" w:rsidRPr="00264FA7">
        <w:rPr>
          <w:rFonts w:ascii="Arial" w:hAnsi="Arial" w:cs="Arial"/>
          <w:sz w:val="24"/>
          <w:szCs w:val="24"/>
          <w:lang w:val="de-AT"/>
        </w:rPr>
        <w:t>Kahneman</w:t>
      </w:r>
      <w:proofErr w:type="spellEnd"/>
      <w:r w:rsidR="00264FA7" w:rsidRPr="00264FA7">
        <w:rPr>
          <w:rFonts w:ascii="Arial" w:hAnsi="Arial" w:cs="Arial"/>
          <w:sz w:val="24"/>
          <w:szCs w:val="24"/>
          <w:lang w:val="de-AT"/>
        </w:rPr>
        <w:t xml:space="preserve"> &amp; Tversky, 1979</w:t>
      </w:r>
      <w:r w:rsidR="00264FA7">
        <w:rPr>
          <w:rFonts w:ascii="Arial" w:hAnsi="Arial" w:cs="Arial"/>
          <w:sz w:val="24"/>
          <w:szCs w:val="24"/>
          <w:lang w:val="de-AT"/>
        </w:rPr>
        <w:t xml:space="preserve">). </w:t>
      </w:r>
    </w:p>
    <w:p w14:paraId="40DC0A6D" w14:textId="40FC5741" w:rsidR="005959C5" w:rsidRDefault="005959C5" w:rsidP="005959C5">
      <w:pPr>
        <w:pStyle w:val="berschrift2"/>
        <w:rPr>
          <w:lang w:val="en-US"/>
        </w:rPr>
      </w:pPr>
      <w:r w:rsidRPr="005959C5">
        <w:rPr>
          <w:lang w:val="en-US"/>
        </w:rPr>
        <w:t xml:space="preserve">Mental Accounting und </w:t>
      </w:r>
      <w:r w:rsidRPr="005959C5">
        <w:rPr>
          <w:lang w:val="en-US"/>
        </w:rPr>
        <w:t>Prospect T</w:t>
      </w:r>
      <w:r>
        <w:rPr>
          <w:lang w:val="en-US"/>
        </w:rPr>
        <w:t>heory</w:t>
      </w:r>
    </w:p>
    <w:p w14:paraId="2BAC3693" w14:textId="77777777" w:rsidR="005959C5" w:rsidRPr="005959C5" w:rsidRDefault="005959C5" w:rsidP="005959C5">
      <w:pPr>
        <w:rPr>
          <w:lang w:val="en-US"/>
        </w:rPr>
      </w:pPr>
    </w:p>
    <w:p w14:paraId="0017BC03" w14:textId="5A45E6F3" w:rsidR="00264FA7" w:rsidRPr="00F56543" w:rsidRDefault="005959C5" w:rsidP="00264FA7">
      <w:pPr>
        <w:spacing w:line="360" w:lineRule="auto"/>
        <w:jc w:val="both"/>
        <w:rPr>
          <w:rFonts w:ascii="Arial" w:hAnsi="Arial" w:cs="Arial"/>
          <w:color w:val="FF0000"/>
          <w:sz w:val="24"/>
          <w:szCs w:val="24"/>
          <w:lang w:val="de-AT"/>
        </w:rPr>
      </w:pPr>
      <w:r w:rsidRPr="005959C5">
        <w:rPr>
          <w:rFonts w:ascii="Arial" w:hAnsi="Arial" w:cs="Arial"/>
          <w:color w:val="FF0000"/>
          <w:sz w:val="24"/>
          <w:szCs w:val="24"/>
          <w:lang w:val="de-AT"/>
        </w:rPr>
        <w:lastRenderedPageBreak/>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lang w:val="de-AT"/>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lang w:val="de-AT"/>
        </w:rPr>
        <w:t>(</w:t>
      </w:r>
      <w:proofErr w:type="spellStart"/>
      <w:r w:rsidR="00F56543" w:rsidRPr="00AA5A00">
        <w:rPr>
          <w:rFonts w:ascii="Arial" w:hAnsi="Arial" w:cs="Arial"/>
          <w:sz w:val="24"/>
          <w:szCs w:val="24"/>
          <w:lang w:val="de-AT"/>
        </w:rPr>
        <w:t>Kahneman</w:t>
      </w:r>
      <w:proofErr w:type="spellEnd"/>
      <w:r w:rsidR="00F56543" w:rsidRPr="00AA5A00">
        <w:rPr>
          <w:rFonts w:ascii="Arial" w:hAnsi="Arial" w:cs="Arial"/>
          <w:sz w:val="24"/>
          <w:szCs w:val="24"/>
          <w:lang w:val="de-AT"/>
        </w:rPr>
        <w:t xml:space="preserve"> &amp; Tversky, 1979</w:t>
      </w:r>
      <w:r w:rsidR="00F56543">
        <w:rPr>
          <w:rFonts w:ascii="Arial" w:hAnsi="Arial" w:cs="Arial"/>
          <w:sz w:val="24"/>
          <w:szCs w:val="24"/>
          <w:lang w:val="de-AT"/>
        </w:rPr>
        <w:t>)</w:t>
      </w:r>
      <w:r w:rsidR="00F56543">
        <w:rPr>
          <w:rFonts w:ascii="Arial" w:hAnsi="Arial" w:cs="Arial"/>
          <w:color w:val="FF0000"/>
          <w:sz w:val="24"/>
          <w:szCs w:val="24"/>
          <w:lang w:val="de-AT"/>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rPr>
          <w:lang w:val="de-AT"/>
        </w:rPr>
      </w:pPr>
      <w:r w:rsidRPr="002A1256">
        <w:rPr>
          <w:lang w:val="de-AT"/>
        </w:rPr>
        <w:t>Mental Accounting und Entscheidungstreffung</w:t>
      </w:r>
    </w:p>
    <w:p w14:paraId="60C5AB83" w14:textId="1A51B661" w:rsidR="002737FA" w:rsidRPr="002A1256" w:rsidRDefault="002737FA" w:rsidP="002737FA">
      <w:pPr>
        <w:rPr>
          <w:lang w:val="de-AT"/>
        </w:rPr>
      </w:pPr>
    </w:p>
    <w:p w14:paraId="4BCE6F65" w14:textId="19DBC51F" w:rsidR="002737FA" w:rsidRPr="002A1256" w:rsidRDefault="002737FA" w:rsidP="002737FA">
      <w:pPr>
        <w:pStyle w:val="berschrift2"/>
        <w:rPr>
          <w:lang w:val="en-US"/>
        </w:rPr>
      </w:pPr>
      <w:r w:rsidRPr="002A1256">
        <w:rPr>
          <w:lang w:val="en-US"/>
        </w:rPr>
        <w:t>Mental Accounting und Framing</w:t>
      </w:r>
    </w:p>
    <w:p w14:paraId="283B1195" w14:textId="17F5F259" w:rsidR="00930EDA" w:rsidRDefault="00930EDA" w:rsidP="00930EDA">
      <w:pPr>
        <w:rPr>
          <w:rFonts w:ascii="Arial" w:hAnsi="Arial" w:cs="Arial"/>
          <w:sz w:val="24"/>
          <w:szCs w:val="24"/>
          <w:lang w:val="en-US"/>
        </w:rPr>
      </w:pPr>
    </w:p>
    <w:p w14:paraId="515F00EB" w14:textId="322E43EE" w:rsidR="00431541" w:rsidRPr="00431541" w:rsidRDefault="00431541" w:rsidP="00431541">
      <w:pPr>
        <w:pStyle w:val="berschrift1"/>
        <w:rPr>
          <w:lang w:val="de-AT"/>
        </w:rPr>
      </w:pPr>
      <w:r w:rsidRPr="00431541">
        <w:rPr>
          <w:lang w:val="de-AT"/>
        </w:rPr>
        <w:t>Fr</w:t>
      </w:r>
      <w:r>
        <w:rPr>
          <w:lang w:val="de-AT"/>
        </w:rPr>
        <w:t>aming</w:t>
      </w:r>
    </w:p>
    <w:p w14:paraId="35E365F8" w14:textId="54B155C9" w:rsidR="00431541" w:rsidRPr="00431541" w:rsidRDefault="00431541" w:rsidP="00A15434">
      <w:pPr>
        <w:spacing w:line="360" w:lineRule="auto"/>
        <w:jc w:val="both"/>
        <w:rPr>
          <w:rFonts w:ascii="Arial" w:hAnsi="Arial" w:cs="Arial"/>
          <w:sz w:val="24"/>
          <w:szCs w:val="24"/>
          <w:lang w:val="de-AT"/>
        </w:rPr>
      </w:pPr>
      <w:r>
        <w:rPr>
          <w:rFonts w:ascii="Arial" w:hAnsi="Arial" w:cs="Arial"/>
          <w:sz w:val="24"/>
          <w:szCs w:val="24"/>
          <w:lang w:val="de-AT"/>
        </w:rPr>
        <w:t>Wenn ein Problem betrachtet wird, wird es oft isoliert betrachtet, ohne den Kontext zu berücksichtigen (</w:t>
      </w:r>
      <w:proofErr w:type="spellStart"/>
      <w:r>
        <w:rPr>
          <w:rFonts w:ascii="Arial" w:hAnsi="Arial" w:cs="Arial"/>
          <w:sz w:val="24"/>
          <w:szCs w:val="24"/>
          <w:lang w:val="de-AT"/>
        </w:rPr>
        <w:t>Kahneman</w:t>
      </w:r>
      <w:proofErr w:type="spellEnd"/>
      <w:r>
        <w:rPr>
          <w:rFonts w:ascii="Arial" w:hAnsi="Arial" w:cs="Arial"/>
          <w:sz w:val="24"/>
          <w:szCs w:val="24"/>
          <w:lang w:val="de-AT"/>
        </w:rPr>
        <w:t xml:space="preserve"> &amp; </w:t>
      </w:r>
      <w:proofErr w:type="spellStart"/>
      <w:r>
        <w:rPr>
          <w:rFonts w:ascii="Arial" w:hAnsi="Arial" w:cs="Arial"/>
          <w:sz w:val="24"/>
          <w:szCs w:val="24"/>
          <w:lang w:val="de-AT"/>
        </w:rPr>
        <w:t>Lovallo</w:t>
      </w:r>
      <w:proofErr w:type="spellEnd"/>
      <w:r>
        <w:rPr>
          <w:rFonts w:ascii="Arial" w:hAnsi="Arial" w:cs="Arial"/>
          <w:sz w:val="24"/>
          <w:szCs w:val="24"/>
          <w:lang w:val="de-AT"/>
        </w:rPr>
        <w:t>, 1993). Dementsprechend werden einerseits zukünftige Ereignisse sehr optimistisch betrachtet, da nicht das Ergebnis von früheren ähnlichen Ereignissen betrachtet wird, sondern von Erfolg ausgegangen wird (</w:t>
      </w:r>
      <w:proofErr w:type="spellStart"/>
      <w:r>
        <w:rPr>
          <w:rFonts w:ascii="Arial" w:hAnsi="Arial" w:cs="Arial"/>
          <w:sz w:val="24"/>
          <w:szCs w:val="24"/>
          <w:lang w:val="de-AT"/>
        </w:rPr>
        <w:t>Kahneman</w:t>
      </w:r>
      <w:proofErr w:type="spellEnd"/>
      <w:r>
        <w:rPr>
          <w:rFonts w:ascii="Arial" w:hAnsi="Arial" w:cs="Arial"/>
          <w:sz w:val="24"/>
          <w:szCs w:val="24"/>
          <w:lang w:val="de-AT"/>
        </w:rPr>
        <w:t xml:space="preserve"> &amp; </w:t>
      </w:r>
      <w:proofErr w:type="spellStart"/>
      <w:r>
        <w:rPr>
          <w:rFonts w:ascii="Arial" w:hAnsi="Arial" w:cs="Arial"/>
          <w:sz w:val="24"/>
          <w:szCs w:val="24"/>
          <w:lang w:val="de-AT"/>
        </w:rPr>
        <w:t>Lovallo</w:t>
      </w:r>
      <w:proofErr w:type="spellEnd"/>
      <w:r>
        <w:rPr>
          <w:rFonts w:ascii="Arial" w:hAnsi="Arial" w:cs="Arial"/>
          <w:sz w:val="24"/>
          <w:szCs w:val="24"/>
          <w:lang w:val="de-AT"/>
        </w:rPr>
        <w:t>, 1993</w:t>
      </w:r>
      <w:r>
        <w:rPr>
          <w:rFonts w:ascii="Arial" w:hAnsi="Arial" w:cs="Arial"/>
          <w:sz w:val="24"/>
          <w:szCs w:val="24"/>
          <w:lang w:val="de-AT"/>
        </w:rPr>
        <w:t>). Andererseits werden einzelne riskante Optionen überbewertet, da sie nicht in Zusammenhang mit anderen Optionen, die eventuell das Risiko minimieren können, betrachtet werden (</w:t>
      </w:r>
      <w:proofErr w:type="spellStart"/>
      <w:r>
        <w:rPr>
          <w:rFonts w:ascii="Arial" w:hAnsi="Arial" w:cs="Arial"/>
          <w:sz w:val="24"/>
          <w:szCs w:val="24"/>
          <w:lang w:val="de-AT"/>
        </w:rPr>
        <w:t>Kahneman</w:t>
      </w:r>
      <w:proofErr w:type="spellEnd"/>
      <w:r>
        <w:rPr>
          <w:rFonts w:ascii="Arial" w:hAnsi="Arial" w:cs="Arial"/>
          <w:sz w:val="24"/>
          <w:szCs w:val="24"/>
          <w:lang w:val="de-AT"/>
        </w:rPr>
        <w:t xml:space="preserve"> &amp; </w:t>
      </w:r>
      <w:proofErr w:type="spellStart"/>
      <w:r>
        <w:rPr>
          <w:rFonts w:ascii="Arial" w:hAnsi="Arial" w:cs="Arial"/>
          <w:sz w:val="24"/>
          <w:szCs w:val="24"/>
          <w:lang w:val="de-AT"/>
        </w:rPr>
        <w:t>Lovallo</w:t>
      </w:r>
      <w:proofErr w:type="spellEnd"/>
      <w:r>
        <w:rPr>
          <w:rFonts w:ascii="Arial" w:hAnsi="Arial" w:cs="Arial"/>
          <w:sz w:val="24"/>
          <w:szCs w:val="24"/>
          <w:lang w:val="de-AT"/>
        </w:rPr>
        <w:t>, 1993</w:t>
      </w:r>
      <w:r>
        <w:rPr>
          <w:rFonts w:ascii="Arial" w:hAnsi="Arial" w:cs="Arial"/>
          <w:sz w:val="24"/>
          <w:szCs w:val="24"/>
          <w:lang w:val="de-AT"/>
        </w:rPr>
        <w:t>).</w:t>
      </w:r>
      <w:r w:rsidR="009918D0">
        <w:rPr>
          <w:rFonts w:ascii="Arial" w:hAnsi="Arial" w:cs="Arial"/>
          <w:sz w:val="24"/>
          <w:szCs w:val="24"/>
          <w:lang w:val="de-AT"/>
        </w:rPr>
        <w:t xml:space="preserve"> Somit werden riskante Entscheidungen jeweils für sich allein getroffen und ohne die Relevanz von zukünftigen Möglichkeiten zu berücksichtigen </w:t>
      </w:r>
      <w:r w:rsidR="009918D0">
        <w:rPr>
          <w:rFonts w:ascii="Arial" w:hAnsi="Arial" w:cs="Arial"/>
          <w:sz w:val="24"/>
          <w:szCs w:val="24"/>
          <w:lang w:val="de-AT"/>
        </w:rPr>
        <w:t>(</w:t>
      </w:r>
      <w:proofErr w:type="spellStart"/>
      <w:r w:rsidR="009918D0">
        <w:rPr>
          <w:rFonts w:ascii="Arial" w:hAnsi="Arial" w:cs="Arial"/>
          <w:sz w:val="24"/>
          <w:szCs w:val="24"/>
          <w:lang w:val="de-AT"/>
        </w:rPr>
        <w:t>Kahneman</w:t>
      </w:r>
      <w:proofErr w:type="spellEnd"/>
      <w:r w:rsidR="009918D0">
        <w:rPr>
          <w:rFonts w:ascii="Arial" w:hAnsi="Arial" w:cs="Arial"/>
          <w:sz w:val="24"/>
          <w:szCs w:val="24"/>
          <w:lang w:val="de-AT"/>
        </w:rPr>
        <w:t xml:space="preserve"> &amp; </w:t>
      </w:r>
      <w:proofErr w:type="spellStart"/>
      <w:r w:rsidR="009918D0">
        <w:rPr>
          <w:rFonts w:ascii="Arial" w:hAnsi="Arial" w:cs="Arial"/>
          <w:sz w:val="24"/>
          <w:szCs w:val="24"/>
          <w:lang w:val="de-AT"/>
        </w:rPr>
        <w:t>Lovallo</w:t>
      </w:r>
      <w:proofErr w:type="spellEnd"/>
      <w:r w:rsidR="009918D0">
        <w:rPr>
          <w:rFonts w:ascii="Arial" w:hAnsi="Arial" w:cs="Arial"/>
          <w:sz w:val="24"/>
          <w:szCs w:val="24"/>
          <w:lang w:val="de-AT"/>
        </w:rPr>
        <w:t>, 1993)</w:t>
      </w:r>
      <w:r w:rsidR="009918D0">
        <w:rPr>
          <w:rFonts w:ascii="Arial" w:hAnsi="Arial" w:cs="Arial"/>
          <w:sz w:val="24"/>
          <w:szCs w:val="24"/>
          <w:lang w:val="de-AT"/>
        </w:rPr>
        <w:t>. Dieses Phänomen wird „</w:t>
      </w:r>
      <w:proofErr w:type="spellStart"/>
      <w:r w:rsidR="009918D0">
        <w:rPr>
          <w:rFonts w:ascii="Arial" w:hAnsi="Arial" w:cs="Arial"/>
          <w:sz w:val="24"/>
          <w:szCs w:val="24"/>
          <w:lang w:val="de-AT"/>
        </w:rPr>
        <w:t>narrow</w:t>
      </w:r>
      <w:proofErr w:type="spellEnd"/>
      <w:r w:rsidR="009918D0">
        <w:rPr>
          <w:rFonts w:ascii="Arial" w:hAnsi="Arial" w:cs="Arial"/>
          <w:sz w:val="24"/>
          <w:szCs w:val="24"/>
          <w:lang w:val="de-AT"/>
        </w:rPr>
        <w:t xml:space="preserve"> </w:t>
      </w:r>
      <w:proofErr w:type="spellStart"/>
      <w:r w:rsidR="009918D0">
        <w:rPr>
          <w:rFonts w:ascii="Arial" w:hAnsi="Arial" w:cs="Arial"/>
          <w:sz w:val="24"/>
          <w:szCs w:val="24"/>
          <w:lang w:val="de-AT"/>
        </w:rPr>
        <w:t>framing</w:t>
      </w:r>
      <w:proofErr w:type="spellEnd"/>
      <w:r w:rsidR="009918D0">
        <w:rPr>
          <w:rFonts w:ascii="Arial" w:hAnsi="Arial" w:cs="Arial"/>
          <w:sz w:val="24"/>
          <w:szCs w:val="24"/>
          <w:lang w:val="de-AT"/>
        </w:rPr>
        <w:t xml:space="preserve">“ genannt.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lang w:val="de-AT"/>
        </w:rPr>
      </w:pPr>
      <w:r w:rsidRPr="00A15434">
        <w:rPr>
          <w:rFonts w:ascii="Arial" w:hAnsi="Arial" w:cs="Arial"/>
          <w:sz w:val="24"/>
          <w:szCs w:val="24"/>
          <w:lang w:val="de-AT"/>
        </w:rPr>
        <w:t xml:space="preserve">Für </w:t>
      </w:r>
      <w:r>
        <w:rPr>
          <w:rFonts w:ascii="Arial" w:hAnsi="Arial" w:cs="Arial"/>
          <w:sz w:val="24"/>
          <w:szCs w:val="24"/>
          <w:lang w:val="de-AT"/>
        </w:rPr>
        <w:t xml:space="preserve">Gutscheine werden andere Regeln was mental Accounting betrifft verwendet (Helion &amp; </w:t>
      </w:r>
      <w:proofErr w:type="spellStart"/>
      <w:r>
        <w:rPr>
          <w:rFonts w:ascii="Arial" w:hAnsi="Arial" w:cs="Arial"/>
          <w:sz w:val="24"/>
          <w:szCs w:val="24"/>
          <w:lang w:val="de-AT"/>
        </w:rPr>
        <w:t>Gilovich</w:t>
      </w:r>
      <w:proofErr w:type="spellEnd"/>
      <w:r>
        <w:rPr>
          <w:rFonts w:ascii="Arial" w:hAnsi="Arial" w:cs="Arial"/>
          <w:sz w:val="24"/>
          <w:szCs w:val="24"/>
          <w:lang w:val="de-AT"/>
        </w:rPr>
        <w:t>, 2014).</w:t>
      </w:r>
      <w:r w:rsidR="000A0D9A">
        <w:rPr>
          <w:rFonts w:ascii="Arial" w:hAnsi="Arial" w:cs="Arial"/>
          <w:sz w:val="24"/>
          <w:szCs w:val="24"/>
          <w:lang w:val="de-AT"/>
        </w:rPr>
        <w:t xml:space="preserve"> Bei Zahlung mit einem</w:t>
      </w:r>
      <w:r>
        <w:rPr>
          <w:rFonts w:ascii="Arial" w:hAnsi="Arial" w:cs="Arial"/>
          <w:sz w:val="24"/>
          <w:szCs w:val="24"/>
          <w:lang w:val="de-AT"/>
        </w:rPr>
        <w:t xml:space="preserve"> Gutschein </w:t>
      </w:r>
      <w:r w:rsidR="000A0D9A">
        <w:rPr>
          <w:rFonts w:ascii="Arial" w:hAnsi="Arial" w:cs="Arial"/>
          <w:sz w:val="24"/>
          <w:szCs w:val="24"/>
          <w:lang w:val="de-AT"/>
        </w:rPr>
        <w:t xml:space="preserve">wird dieser </w:t>
      </w:r>
      <w:r>
        <w:rPr>
          <w:rFonts w:ascii="Arial" w:hAnsi="Arial" w:cs="Arial"/>
          <w:sz w:val="24"/>
          <w:szCs w:val="24"/>
          <w:lang w:val="de-AT"/>
        </w:rPr>
        <w:t>eher für hedonistische Güter (Luxusgüter) ausgegeben als für zweckmäßige Güter, selbst wenn beide zur Verfügung stehen</w:t>
      </w:r>
      <w:r w:rsidR="000A0D9A">
        <w:rPr>
          <w:rFonts w:ascii="Arial" w:hAnsi="Arial" w:cs="Arial"/>
          <w:sz w:val="24"/>
          <w:szCs w:val="24"/>
          <w:lang w:val="de-AT"/>
        </w:rPr>
        <w:t>,</w:t>
      </w:r>
      <w:r w:rsidR="000A0D9A" w:rsidRPr="000A0D9A">
        <w:rPr>
          <w:rFonts w:ascii="Arial" w:hAnsi="Arial" w:cs="Arial"/>
          <w:sz w:val="24"/>
          <w:szCs w:val="24"/>
          <w:lang w:val="de-AT"/>
        </w:rPr>
        <w:t xml:space="preserve"> </w:t>
      </w:r>
      <w:r w:rsidR="000A0D9A">
        <w:rPr>
          <w:rFonts w:ascii="Arial" w:hAnsi="Arial" w:cs="Arial"/>
          <w:sz w:val="24"/>
          <w:szCs w:val="24"/>
          <w:lang w:val="de-AT"/>
        </w:rPr>
        <w:t xml:space="preserve">als </w:t>
      </w:r>
      <w:r w:rsidR="000A0D9A">
        <w:rPr>
          <w:rFonts w:ascii="Arial" w:hAnsi="Arial" w:cs="Arial"/>
          <w:sz w:val="24"/>
          <w:szCs w:val="24"/>
          <w:lang w:val="de-AT"/>
        </w:rPr>
        <w:t xml:space="preserve">bei Zahlung mit </w:t>
      </w:r>
      <w:r w:rsidR="000A0D9A">
        <w:rPr>
          <w:rFonts w:ascii="Arial" w:hAnsi="Arial" w:cs="Arial"/>
          <w:sz w:val="24"/>
          <w:szCs w:val="24"/>
          <w:lang w:val="de-AT"/>
        </w:rPr>
        <w:t>z.B. Kreditkarte</w:t>
      </w:r>
      <w:r w:rsidR="000A0D9A">
        <w:rPr>
          <w:rFonts w:ascii="Arial" w:hAnsi="Arial" w:cs="Arial"/>
          <w:sz w:val="24"/>
          <w:szCs w:val="24"/>
          <w:lang w:val="de-AT"/>
        </w:rPr>
        <w:t xml:space="preserve"> </w:t>
      </w:r>
      <w:r>
        <w:rPr>
          <w:rFonts w:ascii="Arial" w:hAnsi="Arial" w:cs="Arial"/>
          <w:sz w:val="24"/>
          <w:szCs w:val="24"/>
          <w:lang w:val="de-AT"/>
        </w:rPr>
        <w:t>(</w:t>
      </w:r>
      <w:r>
        <w:rPr>
          <w:rFonts w:ascii="Arial" w:hAnsi="Arial" w:cs="Arial"/>
          <w:sz w:val="24"/>
          <w:szCs w:val="24"/>
          <w:lang w:val="de-AT"/>
        </w:rPr>
        <w:t xml:space="preserve">Helion &amp; </w:t>
      </w:r>
      <w:proofErr w:type="spellStart"/>
      <w:r>
        <w:rPr>
          <w:rFonts w:ascii="Arial" w:hAnsi="Arial" w:cs="Arial"/>
          <w:sz w:val="24"/>
          <w:szCs w:val="24"/>
          <w:lang w:val="de-AT"/>
        </w:rPr>
        <w:t>Gilovich</w:t>
      </w:r>
      <w:proofErr w:type="spellEnd"/>
      <w:r>
        <w:rPr>
          <w:rFonts w:ascii="Arial" w:hAnsi="Arial" w:cs="Arial"/>
          <w:sz w:val="24"/>
          <w:szCs w:val="24"/>
          <w:lang w:val="de-AT"/>
        </w:rPr>
        <w:t>, 2014)</w:t>
      </w:r>
      <w:r>
        <w:rPr>
          <w:rFonts w:ascii="Arial" w:hAnsi="Arial" w:cs="Arial"/>
          <w:sz w:val="24"/>
          <w:szCs w:val="24"/>
          <w:lang w:val="de-AT"/>
        </w:rPr>
        <w:t>. Für Gutscheine wird ein mentaler Account geöffnet, der eher hedonistischen Gütern zugeschrieben wird und dementsprechend wird das Budget in diesem Account verwendet (</w:t>
      </w:r>
      <w:r>
        <w:rPr>
          <w:rFonts w:ascii="Arial" w:hAnsi="Arial" w:cs="Arial"/>
          <w:sz w:val="24"/>
          <w:szCs w:val="24"/>
          <w:lang w:val="de-AT"/>
        </w:rPr>
        <w:t xml:space="preserve">Helion &amp; </w:t>
      </w:r>
      <w:proofErr w:type="spellStart"/>
      <w:r>
        <w:rPr>
          <w:rFonts w:ascii="Arial" w:hAnsi="Arial" w:cs="Arial"/>
          <w:sz w:val="24"/>
          <w:szCs w:val="24"/>
          <w:lang w:val="de-AT"/>
        </w:rPr>
        <w:t>Gilovich</w:t>
      </w:r>
      <w:proofErr w:type="spellEnd"/>
      <w:r>
        <w:rPr>
          <w:rFonts w:ascii="Arial" w:hAnsi="Arial" w:cs="Arial"/>
          <w:sz w:val="24"/>
          <w:szCs w:val="24"/>
          <w:lang w:val="de-AT"/>
        </w:rPr>
        <w:t>, 2014)</w:t>
      </w:r>
      <w:r>
        <w:rPr>
          <w:rFonts w:ascii="Arial" w:hAnsi="Arial" w:cs="Arial"/>
          <w:sz w:val="24"/>
          <w:szCs w:val="24"/>
          <w:lang w:val="de-AT"/>
        </w:rPr>
        <w:t>.</w:t>
      </w:r>
      <w:r w:rsidR="000A0D9A">
        <w:rPr>
          <w:rFonts w:ascii="Arial" w:hAnsi="Arial" w:cs="Arial"/>
          <w:sz w:val="24"/>
          <w:szCs w:val="24"/>
          <w:lang w:val="de-AT"/>
        </w:rPr>
        <w:t xml:space="preserve"> In ihrer Studie konnten die Autoren zusätzlich zeigen, dass TeilnehmerInnen, welche sowohl mit Kreditkarte als auch mit Gutscheinen zahlten, wesentlich mehr Geld für hedonistische Güter ausgaben, wenn sie mit dem Gutschein gezahlt haben (</w:t>
      </w:r>
      <w:r w:rsidR="000A0D9A">
        <w:rPr>
          <w:rFonts w:ascii="Arial" w:hAnsi="Arial" w:cs="Arial"/>
          <w:sz w:val="24"/>
          <w:szCs w:val="24"/>
          <w:lang w:val="de-AT"/>
        </w:rPr>
        <w:t xml:space="preserve">Helion &amp; </w:t>
      </w:r>
      <w:proofErr w:type="spellStart"/>
      <w:r w:rsidR="000A0D9A">
        <w:rPr>
          <w:rFonts w:ascii="Arial" w:hAnsi="Arial" w:cs="Arial"/>
          <w:sz w:val="24"/>
          <w:szCs w:val="24"/>
          <w:lang w:val="de-AT"/>
        </w:rPr>
        <w:t>Gilovich</w:t>
      </w:r>
      <w:proofErr w:type="spellEnd"/>
      <w:r w:rsidR="000A0D9A">
        <w:rPr>
          <w:rFonts w:ascii="Arial" w:hAnsi="Arial" w:cs="Arial"/>
          <w:sz w:val="24"/>
          <w:szCs w:val="24"/>
          <w:lang w:val="de-AT"/>
        </w:rPr>
        <w:t>, 2014)</w:t>
      </w:r>
      <w:r w:rsidR="000A0D9A">
        <w:rPr>
          <w:rFonts w:ascii="Arial" w:hAnsi="Arial" w:cs="Arial"/>
          <w:sz w:val="24"/>
          <w:szCs w:val="24"/>
          <w:lang w:val="de-AT"/>
        </w:rPr>
        <w:t>.</w:t>
      </w:r>
    </w:p>
    <w:p w14:paraId="4726F777" w14:textId="5BDFBF6F" w:rsidR="000A0D9A" w:rsidRDefault="000A0D9A" w:rsidP="000A0D9A">
      <w:pPr>
        <w:pStyle w:val="berschrift1"/>
      </w:pPr>
      <w:r>
        <w:lastRenderedPageBreak/>
        <w:t>The Labeling Effect of a Child Benefit System</w:t>
      </w:r>
    </w:p>
    <w:p w14:paraId="4FD1BB3D" w14:textId="579C1D38" w:rsidR="000A0D9A" w:rsidRPr="004147FC" w:rsidRDefault="004147FC" w:rsidP="004147FC">
      <w:pPr>
        <w:spacing w:line="360" w:lineRule="auto"/>
        <w:jc w:val="both"/>
        <w:rPr>
          <w:rFonts w:ascii="Arial" w:hAnsi="Arial" w:cs="Arial"/>
          <w:sz w:val="24"/>
          <w:szCs w:val="24"/>
          <w:lang w:val="de-AT"/>
        </w:rPr>
      </w:pPr>
      <w:r w:rsidRPr="004147FC">
        <w:rPr>
          <w:rFonts w:ascii="Arial" w:hAnsi="Arial" w:cs="Arial"/>
          <w:sz w:val="24"/>
          <w:szCs w:val="24"/>
          <w:lang w:val="de-AT"/>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lang w:val="de-AT"/>
        </w:rPr>
        <w:t>Kooreman</w:t>
      </w:r>
      <w:proofErr w:type="spellEnd"/>
      <w:r w:rsidRPr="004147FC">
        <w:rPr>
          <w:rFonts w:ascii="Arial" w:hAnsi="Arial" w:cs="Arial"/>
          <w:sz w:val="24"/>
          <w:szCs w:val="24"/>
          <w:lang w:val="de-AT"/>
        </w:rPr>
        <w:t xml:space="preserve"> 2000).</w:t>
      </w:r>
      <w:r w:rsidRPr="004147FC">
        <w:rPr>
          <w:rFonts w:ascii="Arial" w:hAnsi="Arial" w:cs="Arial"/>
          <w:sz w:val="24"/>
          <w:szCs w:val="24"/>
          <w:lang w:val="de-AT"/>
        </w:rPr>
        <w:t xml:space="preserve"> Erklärt werden kann dieser Effekt einerseits dadurch, dass das Geld aus Kinderbeihilfe ein Etikett hat, welches einen Verwendungszweck impliziert. Andererseits kann die Summe als Orientierungswert hergenommen werden, wie viel Geld für Kinder ausgegeben werden soll </w:t>
      </w:r>
      <w:r w:rsidRPr="004147FC">
        <w:rPr>
          <w:rFonts w:ascii="Arial" w:hAnsi="Arial" w:cs="Arial"/>
          <w:sz w:val="24"/>
          <w:szCs w:val="24"/>
          <w:lang w:val="de-AT"/>
        </w:rPr>
        <w:t>(</w:t>
      </w:r>
      <w:proofErr w:type="spellStart"/>
      <w:r w:rsidRPr="004147FC">
        <w:rPr>
          <w:rFonts w:ascii="Arial" w:hAnsi="Arial" w:cs="Arial"/>
          <w:sz w:val="24"/>
          <w:szCs w:val="24"/>
          <w:lang w:val="de-AT"/>
        </w:rPr>
        <w:t>Kooreman</w:t>
      </w:r>
      <w:proofErr w:type="spellEnd"/>
      <w:r w:rsidRPr="004147FC">
        <w:rPr>
          <w:rFonts w:ascii="Arial" w:hAnsi="Arial" w:cs="Arial"/>
          <w:sz w:val="24"/>
          <w:szCs w:val="24"/>
          <w:lang w:val="de-AT"/>
        </w:rPr>
        <w:t xml:space="preserve"> 2000)</w:t>
      </w:r>
      <w:r w:rsidRPr="004147FC">
        <w:rPr>
          <w:rFonts w:ascii="Arial" w:hAnsi="Arial" w:cs="Arial"/>
          <w:sz w:val="24"/>
          <w:szCs w:val="24"/>
          <w:lang w:val="de-AT"/>
        </w:rPr>
        <w:t xml:space="preserve">. </w:t>
      </w:r>
    </w:p>
    <w:p w14:paraId="200EFE63" w14:textId="37CD699F" w:rsidR="0077722E" w:rsidRPr="00431541" w:rsidRDefault="0077722E" w:rsidP="00930EDA">
      <w:pPr>
        <w:rPr>
          <w:rFonts w:ascii="Arial" w:hAnsi="Arial" w:cs="Arial"/>
          <w:sz w:val="24"/>
          <w:szCs w:val="24"/>
          <w:lang w:val="de-AT"/>
        </w:rPr>
      </w:pPr>
      <w:r w:rsidRPr="00431541">
        <w:rPr>
          <w:rFonts w:ascii="Arial" w:hAnsi="Arial" w:cs="Arial"/>
          <w:sz w:val="24"/>
          <w:szCs w:val="24"/>
          <w:lang w:val="de-AT"/>
        </w:rPr>
        <w:t xml:space="preserve">Aufbau Client </w:t>
      </w:r>
      <w:proofErr w:type="spellStart"/>
      <w:r w:rsidRPr="00431541">
        <w:rPr>
          <w:rFonts w:ascii="Arial" w:hAnsi="Arial" w:cs="Arial"/>
          <w:sz w:val="24"/>
          <w:szCs w:val="24"/>
          <w:lang w:val="de-AT"/>
        </w:rPr>
        <w:t>Psychology</w:t>
      </w:r>
      <w:proofErr w:type="spellEnd"/>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Default="0077722E" w:rsidP="00930EDA">
      <w:r>
        <w:t>Mental Accounting as Categorization</w:t>
      </w:r>
    </w:p>
    <w:p w14:paraId="72B3D2B8" w14:textId="3031AE86" w:rsidR="0077722E" w:rsidRDefault="0077722E" w:rsidP="00930EDA">
      <w:r>
        <w:t>Methods for Categorizing Fund</w:t>
      </w:r>
    </w:p>
    <w:p w14:paraId="7D010AD1" w14:textId="67830ACC" w:rsidR="0077722E" w:rsidRPr="0077722E" w:rsidRDefault="0077722E" w:rsidP="0077722E">
      <w:pPr>
        <w:pStyle w:val="Listenabsatz"/>
        <w:numPr>
          <w:ilvl w:val="0"/>
          <w:numId w:val="1"/>
        </w:numPr>
        <w:rPr>
          <w:lang w:val="en-US"/>
        </w:rPr>
      </w:pPr>
      <w:r>
        <w:t>Sources and Uses of Funds</w:t>
      </w:r>
    </w:p>
    <w:p w14:paraId="2942257A" w14:textId="44C76EC4" w:rsidR="0077722E" w:rsidRPr="0077722E" w:rsidRDefault="0077722E" w:rsidP="0077722E">
      <w:pPr>
        <w:pStyle w:val="Listenabsatz"/>
        <w:numPr>
          <w:ilvl w:val="0"/>
          <w:numId w:val="1"/>
        </w:numPr>
        <w:rPr>
          <w:lang w:val="en-US"/>
        </w:rPr>
      </w:pPr>
      <w:r>
        <w:t>Sets of Choices and Outcomes</w:t>
      </w:r>
    </w:p>
    <w:p w14:paraId="31F1399C" w14:textId="5B43D377" w:rsidR="0077722E" w:rsidRDefault="0077722E" w:rsidP="0077722E">
      <w:r>
        <w:t>Budgeting</w:t>
      </w:r>
    </w:p>
    <w:p w14:paraId="54145698" w14:textId="42E135B3" w:rsidR="0077722E" w:rsidRDefault="0077722E" w:rsidP="0077722E">
      <w:r>
        <w:t>Implications for Financial Planning Practice</w:t>
      </w:r>
    </w:p>
    <w:p w14:paraId="54D5E5B3" w14:textId="050184AD" w:rsidR="0077722E" w:rsidRDefault="0077722E" w:rsidP="0077722E">
      <w:r>
        <w:t>Assets versus Debts</w:t>
      </w:r>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r>
        <w:t>Implications for Investing</w:t>
      </w:r>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r>
        <w:t>What Assets to Purchase</w:t>
      </w:r>
    </w:p>
    <w:p w14:paraId="5DF4876F" w14:textId="77777777" w:rsidR="00930EDA" w:rsidRPr="002A1256" w:rsidRDefault="00930EDA" w:rsidP="00930EDA">
      <w:pPr>
        <w:rPr>
          <w:lang w:val="en-US"/>
        </w:rPr>
      </w:pPr>
    </w:p>
    <w:p w14:paraId="0B986430" w14:textId="1A9FA947" w:rsidR="00930EDA" w:rsidRDefault="00930EDA" w:rsidP="00930EDA">
      <w:pPr>
        <w:pStyle w:val="berschrift1"/>
        <w:rPr>
          <w:lang w:val="en-US"/>
        </w:rPr>
      </w:pPr>
      <w:proofErr w:type="spellStart"/>
      <w:r w:rsidRPr="002737FA">
        <w:rPr>
          <w:lang w:val="en-US"/>
        </w:rPr>
        <w:t>Quellen</w:t>
      </w:r>
      <w:proofErr w:type="spellEnd"/>
    </w:p>
    <w:p w14:paraId="7A2DC88E" w14:textId="77777777" w:rsidR="00F00141" w:rsidRPr="00F00141" w:rsidRDefault="00F00141" w:rsidP="00F00141">
      <w:pPr>
        <w:rPr>
          <w:lang w:val="en-US"/>
        </w:rPr>
      </w:pPr>
    </w:p>
    <w:p w14:paraId="0694D3FF" w14:textId="02DE3C0F" w:rsidR="00F00141" w:rsidRDefault="00F00141" w:rsidP="00F00141">
      <w:pPr>
        <w:spacing w:line="360" w:lineRule="auto"/>
        <w:rPr>
          <w:rFonts w:ascii="Arial" w:hAnsi="Arial" w:cs="Arial"/>
          <w:sz w:val="24"/>
          <w:szCs w:val="24"/>
          <w:lang w:val="en-US"/>
        </w:rPr>
      </w:pPr>
      <w:proofErr w:type="spellStart"/>
      <w:r w:rsidRPr="00F00141">
        <w:rPr>
          <w:rFonts w:ascii="Arial" w:hAnsi="Arial" w:cs="Arial"/>
          <w:sz w:val="24"/>
          <w:szCs w:val="24"/>
          <w:lang w:val="en-US"/>
        </w:rPr>
        <w:t>Barberis</w:t>
      </w:r>
      <w:proofErr w:type="spellEnd"/>
      <w:r w:rsidRPr="00F00141">
        <w:rPr>
          <w:rFonts w:ascii="Arial" w:hAnsi="Arial" w:cs="Arial"/>
          <w:sz w:val="24"/>
          <w:szCs w:val="24"/>
          <w:lang w:val="en-US"/>
        </w:rPr>
        <w:t>, N. (2013). Thirty years of prospect theory in economics: A review and</w:t>
      </w:r>
      <w:r w:rsidRPr="00F00141">
        <w:rPr>
          <w:rFonts w:ascii="Arial" w:hAnsi="Arial" w:cs="Arial"/>
          <w:sz w:val="24"/>
          <w:szCs w:val="24"/>
          <w:lang w:val="en-US"/>
        </w:rPr>
        <w:t xml:space="preserve"> </w:t>
      </w:r>
      <w:r w:rsidRPr="00F00141">
        <w:rPr>
          <w:rFonts w:ascii="Arial" w:hAnsi="Arial" w:cs="Arial"/>
          <w:sz w:val="24"/>
          <w:szCs w:val="24"/>
          <w:lang w:val="en-US"/>
        </w:rPr>
        <w:t xml:space="preserve">assessment. </w:t>
      </w:r>
      <w:r w:rsidRPr="00F00141">
        <w:rPr>
          <w:rFonts w:ascii="Arial" w:hAnsi="Arial" w:cs="Arial"/>
          <w:i/>
          <w:sz w:val="24"/>
          <w:szCs w:val="24"/>
          <w:lang w:val="en-US"/>
        </w:rPr>
        <w:t>Journal of Economic Perspectives</w:t>
      </w:r>
      <w:r w:rsidRPr="00F00141">
        <w:rPr>
          <w:rFonts w:ascii="Arial" w:hAnsi="Arial" w:cs="Arial"/>
          <w:sz w:val="24"/>
          <w:szCs w:val="24"/>
          <w:lang w:val="en-US"/>
        </w:rPr>
        <w:t>, 27(1), 173–195.</w:t>
      </w:r>
    </w:p>
    <w:p w14:paraId="3BB2BA09" w14:textId="77777777" w:rsidR="00F00141" w:rsidRDefault="00F00141" w:rsidP="00F00141">
      <w:pPr>
        <w:spacing w:line="360" w:lineRule="auto"/>
        <w:jc w:val="both"/>
        <w:rPr>
          <w:rFonts w:ascii="Arial" w:hAnsi="Arial" w:cs="Arial"/>
          <w:sz w:val="24"/>
          <w:szCs w:val="24"/>
        </w:rPr>
      </w:pPr>
      <w:r w:rsidRPr="0084511A">
        <w:rPr>
          <w:rFonts w:ascii="Arial" w:hAnsi="Arial" w:cs="Arial"/>
          <w:sz w:val="24"/>
          <w:szCs w:val="24"/>
        </w:rPr>
        <w:t xml:space="preserve">Fox, C. R., &amp; Tversky, A. (1995). Ambiguity aversion and comparative ignorance. </w:t>
      </w:r>
      <w:r w:rsidRPr="0084511A">
        <w:rPr>
          <w:rFonts w:ascii="Arial" w:hAnsi="Arial" w:cs="Arial"/>
          <w:i/>
          <w:iCs/>
          <w:sz w:val="24"/>
          <w:szCs w:val="24"/>
        </w:rPr>
        <w:t>The quarterly journal of economics</w:t>
      </w:r>
      <w:r w:rsidRPr="0084511A">
        <w:rPr>
          <w:rFonts w:ascii="Arial" w:hAnsi="Arial" w:cs="Arial"/>
          <w:sz w:val="24"/>
          <w:szCs w:val="24"/>
        </w:rPr>
        <w:t>, 110(3), 585-603.</w:t>
      </w:r>
    </w:p>
    <w:p w14:paraId="21DC4715" w14:textId="77777777" w:rsidR="00F00141" w:rsidRDefault="00F00141" w:rsidP="00F00141">
      <w:pPr>
        <w:spacing w:line="360" w:lineRule="auto"/>
        <w:jc w:val="both"/>
        <w:rPr>
          <w:rFonts w:ascii="Arial" w:hAnsi="Arial" w:cs="Arial"/>
          <w:sz w:val="24"/>
          <w:szCs w:val="24"/>
        </w:rPr>
      </w:pPr>
      <w:r w:rsidRPr="0084511A">
        <w:rPr>
          <w:rFonts w:ascii="Arial" w:hAnsi="Arial" w:cs="Arial"/>
          <w:sz w:val="24"/>
          <w:szCs w:val="24"/>
        </w:rPr>
        <w:lastRenderedPageBreak/>
        <w:t>Kahneman, D., &amp; Tversky, A. (1979). Prospect theory: An analysis of decision under risk.</w:t>
      </w:r>
      <w:r w:rsidRPr="0084511A">
        <w:rPr>
          <w:rFonts w:ascii="Arial" w:hAnsi="Arial" w:cs="Arial"/>
          <w:sz w:val="24"/>
          <w:szCs w:val="24"/>
          <w:lang w:val="en-US"/>
        </w:rPr>
        <w:t xml:space="preserve"> </w:t>
      </w:r>
      <w:r w:rsidRPr="0084511A">
        <w:rPr>
          <w:rFonts w:ascii="Arial" w:hAnsi="Arial" w:cs="Arial"/>
          <w:i/>
          <w:sz w:val="24"/>
          <w:szCs w:val="24"/>
        </w:rPr>
        <w:t>Econometrica</w:t>
      </w:r>
      <w:r w:rsidRPr="0084511A">
        <w:rPr>
          <w:rFonts w:ascii="Arial" w:hAnsi="Arial" w:cs="Arial"/>
          <w:sz w:val="24"/>
          <w:szCs w:val="24"/>
        </w:rPr>
        <w:t>, 47(2), 263–292.</w:t>
      </w:r>
    </w:p>
    <w:p w14:paraId="4FCDAE60" w14:textId="0D6720BB" w:rsidR="00221FE1" w:rsidRDefault="00221FE1" w:rsidP="00221FE1">
      <w:pPr>
        <w:spacing w:line="360" w:lineRule="auto"/>
        <w:jc w:val="both"/>
        <w:rPr>
          <w:rFonts w:ascii="Arial" w:hAnsi="Arial" w:cs="Arial"/>
          <w:sz w:val="24"/>
          <w:szCs w:val="24"/>
        </w:rPr>
      </w:pPr>
      <w:r w:rsidRPr="008550E6">
        <w:rPr>
          <w:rFonts w:ascii="Arial" w:hAnsi="Arial" w:cs="Arial"/>
          <w:sz w:val="24"/>
          <w:szCs w:val="24"/>
        </w:rPr>
        <w:t xml:space="preserve">Thaler, Richard H. (1999). “Mental Accounting Matters.” </w:t>
      </w:r>
      <w:r w:rsidRPr="008550E6">
        <w:rPr>
          <w:rFonts w:ascii="Arial" w:hAnsi="Arial" w:cs="Arial"/>
          <w:i/>
          <w:sz w:val="24"/>
          <w:szCs w:val="24"/>
        </w:rPr>
        <w:t>Journal of Behavioral Decision Making</w:t>
      </w:r>
      <w:r w:rsidRPr="008550E6">
        <w:rPr>
          <w:rFonts w:ascii="Arial" w:hAnsi="Arial" w:cs="Arial"/>
          <w:sz w:val="24"/>
          <w:szCs w:val="24"/>
        </w:rPr>
        <w:t>, 12, 183–206.</w:t>
      </w:r>
    </w:p>
    <w:p w14:paraId="5F515F9B" w14:textId="56E6D1F5" w:rsidR="00221FE1" w:rsidRDefault="00F56543" w:rsidP="00F56543">
      <w:pPr>
        <w:spacing w:line="360" w:lineRule="auto"/>
        <w:rPr>
          <w:rFonts w:ascii="Arial" w:hAnsi="Arial" w:cs="Arial"/>
          <w:sz w:val="24"/>
          <w:szCs w:val="24"/>
        </w:rPr>
      </w:pPr>
      <w:r w:rsidRPr="00F56543">
        <w:rPr>
          <w:rFonts w:ascii="Arial" w:hAnsi="Arial" w:cs="Arial"/>
          <w:sz w:val="24"/>
          <w:szCs w:val="24"/>
        </w:rPr>
        <w:t>Tversky, A., &amp; Kahneman, D. (1981). The framing of decisions and the psychology</w:t>
      </w:r>
      <w:r w:rsidRPr="00F56543">
        <w:rPr>
          <w:rFonts w:ascii="Arial" w:hAnsi="Arial" w:cs="Arial"/>
          <w:sz w:val="24"/>
          <w:szCs w:val="24"/>
          <w:lang w:val="en-US"/>
        </w:rPr>
        <w:t xml:space="preserve"> </w:t>
      </w:r>
      <w:r w:rsidRPr="00F56543">
        <w:rPr>
          <w:rFonts w:ascii="Arial" w:hAnsi="Arial" w:cs="Arial"/>
          <w:sz w:val="24"/>
          <w:szCs w:val="24"/>
        </w:rPr>
        <w:t xml:space="preserve">of choice. </w:t>
      </w:r>
      <w:r w:rsidRPr="00F56543">
        <w:rPr>
          <w:rFonts w:ascii="Arial" w:hAnsi="Arial" w:cs="Arial"/>
          <w:i/>
          <w:sz w:val="24"/>
          <w:szCs w:val="24"/>
        </w:rPr>
        <w:t>Science</w:t>
      </w:r>
      <w:r w:rsidRPr="00F56543">
        <w:rPr>
          <w:rFonts w:ascii="Arial" w:hAnsi="Arial" w:cs="Arial"/>
          <w:sz w:val="24"/>
          <w:szCs w:val="24"/>
        </w:rPr>
        <w:t>, 211, 453–458.</w:t>
      </w:r>
    </w:p>
    <w:p w14:paraId="6AC7D11F" w14:textId="77777777" w:rsidR="00A15434" w:rsidRPr="00B52E48" w:rsidRDefault="00A15434" w:rsidP="00A15434">
      <w:pPr>
        <w:spacing w:line="360" w:lineRule="auto"/>
        <w:jc w:val="both"/>
        <w:rPr>
          <w:rFonts w:ascii="Arial" w:hAnsi="Arial" w:cs="Arial"/>
          <w:sz w:val="96"/>
          <w:szCs w:val="96"/>
        </w:rPr>
      </w:pPr>
      <w:r w:rsidRPr="00B52E48">
        <w:rPr>
          <w:rFonts w:ascii="Arial" w:hAnsi="Arial" w:cs="Arial"/>
          <w:color w:val="222222"/>
          <w:sz w:val="24"/>
          <w:szCs w:val="24"/>
          <w:shd w:val="clear" w:color="auto" w:fill="FFFFFF"/>
        </w:rPr>
        <w:t>Helion, C., &amp; Gilovich, T. (2014). Gift cards and mental accounting: Green</w:t>
      </w:r>
      <w:r w:rsidRPr="00B52E48">
        <w:rPr>
          <w:rFonts w:ascii="Cambria Math" w:hAnsi="Cambria Math" w:cs="Cambria Math"/>
          <w:color w:val="222222"/>
          <w:sz w:val="24"/>
          <w:szCs w:val="24"/>
          <w:shd w:val="clear" w:color="auto" w:fill="FFFFFF"/>
        </w:rPr>
        <w:t>‐</w:t>
      </w:r>
      <w:r w:rsidRPr="00B52E48">
        <w:rPr>
          <w:rFonts w:ascii="Arial" w:hAnsi="Arial" w:cs="Arial"/>
          <w:color w:val="222222"/>
          <w:sz w:val="24"/>
          <w:szCs w:val="24"/>
          <w:shd w:val="clear" w:color="auto" w:fill="FFFFFF"/>
        </w:rPr>
        <w:t>lighting hedonic spending. </w:t>
      </w:r>
      <w:r w:rsidRPr="00B52E48">
        <w:rPr>
          <w:rFonts w:ascii="Arial" w:hAnsi="Arial" w:cs="Arial"/>
          <w:i/>
          <w:iCs/>
          <w:color w:val="222222"/>
          <w:sz w:val="24"/>
          <w:szCs w:val="24"/>
          <w:shd w:val="clear" w:color="auto" w:fill="FFFFFF"/>
        </w:rPr>
        <w:t>Journal of Behavioral Decision Making</w:t>
      </w:r>
      <w:r w:rsidRPr="00B52E48">
        <w:rPr>
          <w:rFonts w:ascii="Arial" w:hAnsi="Arial" w:cs="Arial"/>
          <w:color w:val="222222"/>
          <w:sz w:val="24"/>
          <w:szCs w:val="24"/>
          <w:shd w:val="clear" w:color="auto" w:fill="FFFFFF"/>
        </w:rPr>
        <w:t>, </w:t>
      </w:r>
      <w:r w:rsidRPr="00B52E48">
        <w:rPr>
          <w:rFonts w:ascii="Arial" w:hAnsi="Arial" w:cs="Arial"/>
          <w:i/>
          <w:iCs/>
          <w:color w:val="222222"/>
          <w:sz w:val="24"/>
          <w:szCs w:val="24"/>
          <w:shd w:val="clear" w:color="auto" w:fill="FFFFFF"/>
        </w:rPr>
        <w:t>27</w:t>
      </w:r>
      <w:r w:rsidRPr="00B52E48">
        <w:rPr>
          <w:rFonts w:ascii="Arial" w:hAnsi="Arial" w:cs="Arial"/>
          <w:color w:val="222222"/>
          <w:sz w:val="24"/>
          <w:szCs w:val="24"/>
          <w:shd w:val="clear" w:color="auto" w:fill="FFFFFF"/>
        </w:rPr>
        <w:t>(4), 386-393.</w:t>
      </w:r>
    </w:p>
    <w:p w14:paraId="162CD11D" w14:textId="77777777" w:rsidR="004147FC" w:rsidRDefault="004147FC" w:rsidP="004147F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Kooreman, P. (2000). The labeling effect of a child benefit system.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90</w:t>
      </w:r>
      <w:r w:rsidRPr="00394DB8">
        <w:rPr>
          <w:rFonts w:ascii="Arial" w:hAnsi="Arial" w:cs="Arial"/>
          <w:color w:val="222222"/>
          <w:sz w:val="24"/>
          <w:szCs w:val="24"/>
          <w:shd w:val="clear" w:color="auto" w:fill="FFFFFF"/>
        </w:rPr>
        <w:t>(3), 571-583.</w:t>
      </w:r>
    </w:p>
    <w:p w14:paraId="7011827C" w14:textId="77777777" w:rsidR="00A15434" w:rsidRPr="00F56543" w:rsidRDefault="00A15434" w:rsidP="00F56543">
      <w:pPr>
        <w:spacing w:line="360" w:lineRule="auto"/>
        <w:rPr>
          <w:rFonts w:ascii="Arial" w:hAnsi="Arial" w:cs="Arial"/>
          <w:sz w:val="24"/>
          <w:szCs w:val="24"/>
        </w:rPr>
      </w:pPr>
    </w:p>
    <w:sectPr w:rsidR="00A15434" w:rsidRPr="00F565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86306"/>
    <w:rsid w:val="000A0D9A"/>
    <w:rsid w:val="001E50B1"/>
    <w:rsid w:val="00205996"/>
    <w:rsid w:val="00221FE1"/>
    <w:rsid w:val="0025125D"/>
    <w:rsid w:val="00264FA7"/>
    <w:rsid w:val="002737FA"/>
    <w:rsid w:val="00277E88"/>
    <w:rsid w:val="002A1256"/>
    <w:rsid w:val="004147FC"/>
    <w:rsid w:val="00431541"/>
    <w:rsid w:val="005959C5"/>
    <w:rsid w:val="006009DD"/>
    <w:rsid w:val="007770E5"/>
    <w:rsid w:val="0077722E"/>
    <w:rsid w:val="0084511A"/>
    <w:rsid w:val="00930EDA"/>
    <w:rsid w:val="009918D0"/>
    <w:rsid w:val="00A15434"/>
    <w:rsid w:val="00AA5A00"/>
    <w:rsid w:val="00B94D94"/>
    <w:rsid w:val="00DF0522"/>
    <w:rsid w:val="00EA1C4B"/>
    <w:rsid w:val="00F00141"/>
    <w:rsid w:val="00F307AE"/>
    <w:rsid w:val="00F565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rPr>
      <w:lang/>
    </w:rPr>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lang/>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lang/>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1318</Words>
  <Characters>8307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cp:revision>
  <dcterms:created xsi:type="dcterms:W3CDTF">2022-07-15T05:59:00Z</dcterms:created>
  <dcterms:modified xsi:type="dcterms:W3CDTF">2022-07-15T15:40:00Z</dcterms:modified>
</cp:coreProperties>
</file>