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000000">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000000">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000000">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000000">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000000">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000000">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000000">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000000">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000000">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000000">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000000">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000000">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000000">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000000">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000000">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000000">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000000">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000000">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000000">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000000">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000000">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1" w:name="_Toc109221693"/>
      <w:r>
        <w:lastRenderedPageBreak/>
        <w:t>Einleitung</w:t>
      </w:r>
      <w:bookmarkEnd w:id="1"/>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 xml:space="preserve">Dabei hat die Quelle von Geld, dessen Erwartbarkeit und </w:t>
      </w:r>
      <w:proofErr w:type="gramStart"/>
      <w:r w:rsidR="00AF24DB">
        <w:rPr>
          <w:rFonts w:ascii="Arial" w:hAnsi="Arial" w:cs="Arial"/>
          <w:color w:val="222222"/>
          <w:sz w:val="24"/>
          <w:szCs w:val="24"/>
          <w:shd w:val="clear" w:color="auto" w:fill="FFFFFF"/>
          <w:lang w:val="de-DE"/>
        </w:rPr>
        <w:t>Emotionen</w:t>
      </w:r>
      <w:proofErr w:type="gramEnd"/>
      <w:r w:rsidR="00AF24DB">
        <w:rPr>
          <w:rFonts w:ascii="Arial" w:hAnsi="Arial" w:cs="Arial"/>
          <w:color w:val="222222"/>
          <w:sz w:val="24"/>
          <w:szCs w:val="24"/>
          <w:shd w:val="clear" w:color="auto" w:fill="FFFFFF"/>
          <w:lang w:val="de-DE"/>
        </w:rPr>
        <w:t xml:space="preserve">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2" w:name="_Toc109221694"/>
      <w:bookmarkStart w:id="3" w:name="_Hlk109299850"/>
      <w:r>
        <w:lastRenderedPageBreak/>
        <w:t>Theoretischer Hintergrund</w:t>
      </w:r>
      <w:bookmarkEnd w:id="2"/>
    </w:p>
    <w:p w14:paraId="79DA2659" w14:textId="62C25F18" w:rsidR="00F56543" w:rsidRPr="00F56543" w:rsidRDefault="00F56543" w:rsidP="00AF24DB">
      <w:pPr>
        <w:pStyle w:val="berschrift2"/>
        <w:spacing w:line="360" w:lineRule="auto"/>
        <w:jc w:val="both"/>
      </w:pPr>
      <w:bookmarkStart w:id="4" w:name="_Toc109221695"/>
      <w:r>
        <w:t>Mental Accounting</w:t>
      </w:r>
      <w:bookmarkEnd w:id="4"/>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5" w:name="_Toc109221696"/>
      <w:r w:rsidRPr="00460280">
        <w:rPr>
          <w:lang w:val="de-DE"/>
        </w:rPr>
        <w:t>Mental Accounting und Kategorisierung</w:t>
      </w:r>
      <w:bookmarkEnd w:id="5"/>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6" w:name="_Toc109221697"/>
      <w:r w:rsidRPr="0083565E">
        <w:rPr>
          <w:lang w:val="de-DE"/>
        </w:rPr>
        <w:t xml:space="preserve">Mental Accounting und </w:t>
      </w:r>
      <w:bookmarkEnd w:id="6"/>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w:t>
      </w:r>
      <w:proofErr w:type="gramStart"/>
      <w:r w:rsidRPr="0084511A">
        <w:rPr>
          <w:rFonts w:ascii="Arial" w:hAnsi="Arial" w:cs="Arial"/>
          <w:sz w:val="24"/>
          <w:szCs w:val="24"/>
        </w:rPr>
        <w:t>bestimmt</w:t>
      </w:r>
      <w:proofErr w:type="gramEnd"/>
      <w:r w:rsidRPr="0084511A">
        <w:rPr>
          <w:rFonts w:ascii="Arial" w:hAnsi="Arial" w:cs="Arial"/>
          <w:sz w:val="24"/>
          <w:szCs w:val="24"/>
        </w:rPr>
        <w:t xml:space="preserve">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proofErr w:type="gramStart"/>
      <w:r w:rsidR="00A238DD">
        <w:rPr>
          <w:rFonts w:ascii="Arial" w:hAnsi="Arial" w:cs="Arial"/>
          <w:sz w:val="24"/>
          <w:szCs w:val="24"/>
          <w:lang w:val="de-DE"/>
        </w:rPr>
        <w:t>kamen</w:t>
      </w:r>
      <w:proofErr w:type="gramEnd"/>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7" w:name="_Toc109221698"/>
      <w:r w:rsidRPr="00A7165B">
        <w:rPr>
          <w:lang w:val="de-DE"/>
        </w:rPr>
        <w:t>Mental Accounting und Fungibilität</w:t>
      </w:r>
      <w:bookmarkEnd w:id="7"/>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8" w:name="_Toc109221699"/>
      <w:r w:rsidRPr="007057F1">
        <w:rPr>
          <w:lang w:val="de-DE"/>
        </w:rPr>
        <w:t>Mental Accounting und Framing</w:t>
      </w:r>
      <w:bookmarkEnd w:id="8"/>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w:t>
      </w:r>
      <w:proofErr w:type="gramStart"/>
      <w:r w:rsidR="00DC3EB4">
        <w:rPr>
          <w:rFonts w:ascii="Arial" w:hAnsi="Arial" w:cs="Arial"/>
          <w:sz w:val="24"/>
          <w:szCs w:val="24"/>
          <w:lang w:val="de-DE"/>
        </w:rPr>
        <w:t>mit der Geld</w:t>
      </w:r>
      <w:proofErr w:type="gramEnd"/>
      <w:r w:rsidR="00DC3EB4">
        <w:rPr>
          <w:rFonts w:ascii="Arial" w:hAnsi="Arial" w:cs="Arial"/>
          <w:sz w:val="24"/>
          <w:szCs w:val="24"/>
          <w:lang w:val="de-DE"/>
        </w:rPr>
        <w:t xml:space="preserve"> ausgegeben wird, sondern auch wofür es ausgegeben wird, hängt von der Einkommensquelle ab. </w:t>
      </w:r>
    </w:p>
    <w:p w14:paraId="261FF42F" w14:textId="25CBFE6B"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w:t>
      </w:r>
      <w:proofErr w:type="gramStart"/>
      <w:r>
        <w:rPr>
          <w:rFonts w:ascii="Arial" w:hAnsi="Arial" w:cs="Arial"/>
          <w:sz w:val="24"/>
          <w:szCs w:val="24"/>
        </w:rPr>
        <w:t>gelten</w:t>
      </w:r>
      <w:proofErr w:type="gramEnd"/>
      <w:r>
        <w:rPr>
          <w:rFonts w:ascii="Arial" w:hAnsi="Arial" w:cs="Arial"/>
          <w:sz w:val="24"/>
          <w:szCs w:val="24"/>
        </w:rPr>
        <w:t xml:space="preserve">,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9" w:name="_Toc109221700"/>
      <w:r w:rsidRPr="00460280">
        <w:rPr>
          <w:lang w:val="en-US"/>
        </w:rPr>
        <w:t>Mental Accounting und Windfall G</w:t>
      </w:r>
      <w:r>
        <w:rPr>
          <w:lang w:val="en-US"/>
        </w:rPr>
        <w:t>ains</w:t>
      </w:r>
      <w:bookmarkEnd w:id="9"/>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0" w:name="_Hlk108520528"/>
      <w:r>
        <w:rPr>
          <w:rFonts w:ascii="Arial" w:hAnsi="Arial" w:cs="Arial"/>
          <w:sz w:val="24"/>
          <w:szCs w:val="24"/>
          <w:lang w:val="de-DE"/>
        </w:rPr>
        <w:t>dass eher riskantere Wetten akzeptiert</w:t>
      </w:r>
      <w:bookmarkEnd w:id="10"/>
      <w:r>
        <w:rPr>
          <w:rFonts w:ascii="Arial" w:hAnsi="Arial" w:cs="Arial"/>
          <w:sz w:val="24"/>
          <w:szCs w:val="24"/>
          <w:lang w:val="de-DE"/>
        </w:rPr>
        <w:t xml:space="preserve"> werden, wenn zuvor Geld gewonnen wurde (</w:t>
      </w:r>
      <w:bookmarkStart w:id="11" w:name="_Hlk108520543"/>
      <w:r>
        <w:rPr>
          <w:rFonts w:ascii="Arial" w:hAnsi="Arial" w:cs="Arial"/>
          <w:sz w:val="24"/>
          <w:szCs w:val="24"/>
          <w:lang w:val="de-DE"/>
        </w:rPr>
        <w:t>Thaler &amp; Johnson, 1990</w:t>
      </w:r>
      <w:bookmarkEnd w:id="11"/>
      <w:r>
        <w:rPr>
          <w:rFonts w:ascii="Arial" w:hAnsi="Arial" w:cs="Arial"/>
          <w:sz w:val="24"/>
          <w:szCs w:val="24"/>
          <w:lang w:val="de-DE"/>
        </w:rPr>
        <w:t xml:space="preserve">). Dieser Effekt wurde als </w:t>
      </w:r>
      <w:bookmarkStart w:id="12"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2"/>
      <w:r>
        <w:rPr>
          <w:rFonts w:ascii="Arial" w:hAnsi="Arial" w:cs="Arial"/>
          <w:sz w:val="24"/>
          <w:szCs w:val="24"/>
          <w:lang w:val="de-DE"/>
        </w:rPr>
        <w:t xml:space="preserve"> bekannt. </w:t>
      </w:r>
      <w:bookmarkStart w:id="13"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3"/>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4" w:name="_Toc109221702"/>
      <w:r w:rsidRPr="00EE122C">
        <w:rPr>
          <w:lang w:val="de-DE"/>
        </w:rPr>
        <w:t xml:space="preserve">Mental Accounting und </w:t>
      </w:r>
      <w:proofErr w:type="spellStart"/>
      <w:r w:rsidRPr="00EE122C">
        <w:rPr>
          <w:lang w:val="de-DE"/>
        </w:rPr>
        <w:t>Bracketing</w:t>
      </w:r>
      <w:bookmarkEnd w:id="14"/>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5" w:name="_Hlk108875389"/>
      <w:r>
        <w:rPr>
          <w:rFonts w:ascii="Arial" w:hAnsi="Arial" w:cs="Arial"/>
          <w:sz w:val="24"/>
          <w:szCs w:val="24"/>
        </w:rPr>
        <w:t>Anlagestrategien</w:t>
      </w:r>
      <w:bookmarkEnd w:id="15"/>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6" w:name="_Toc109221704"/>
      <w:r>
        <w:t>Mental Accounting und der Finanzmarkt</w:t>
      </w:r>
      <w:bookmarkEnd w:id="16"/>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7"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8" w:name="_Hlk108520824"/>
      <w:bookmarkEnd w:id="17"/>
      <w:r>
        <w:rPr>
          <w:rFonts w:ascii="Arial" w:hAnsi="Arial" w:cs="Arial"/>
          <w:sz w:val="24"/>
          <w:szCs w:val="24"/>
          <w:lang w:val="de-DE"/>
        </w:rPr>
        <w:t xml:space="preserve">Ein häufiger Fehler der Investoren passiert, </w:t>
      </w:r>
      <w:bookmarkStart w:id="19" w:name="_Hlk108522071"/>
      <w:r>
        <w:rPr>
          <w:rFonts w:ascii="Arial" w:hAnsi="Arial" w:cs="Arial"/>
          <w:sz w:val="24"/>
          <w:szCs w:val="24"/>
          <w:lang w:val="de-DE"/>
        </w:rPr>
        <w:t>ist das Gewinne zu lange gehalten werden, während Verluste zu früh verkauft werden</w:t>
      </w:r>
      <w:bookmarkEnd w:id="19"/>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8"/>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0" w:name="_Hlk108521741"/>
      <w:r>
        <w:rPr>
          <w:rFonts w:ascii="Arial" w:hAnsi="Arial" w:cs="Arial"/>
          <w:sz w:val="24"/>
          <w:szCs w:val="24"/>
          <w:lang w:val="de-DE"/>
        </w:rPr>
        <w:t>die zurzeit im Verlustbereich ist, wird eher nicht verkauft wird, da das Potential besteht, dass diese wieder ertragreich wird</w:t>
      </w:r>
      <w:bookmarkEnd w:id="20"/>
      <w:r>
        <w:rPr>
          <w:rFonts w:ascii="Arial" w:hAnsi="Arial" w:cs="Arial"/>
          <w:sz w:val="24"/>
          <w:szCs w:val="24"/>
          <w:lang w:val="de-DE"/>
        </w:rPr>
        <w:t>, auch wenn damit ein hohes Risiko einhergeht, dass diese Investition noch mehr an Wert verliert</w:t>
      </w:r>
      <w:bookmarkStart w:id="21"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2"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2"/>
      <w:r>
        <w:rPr>
          <w:rFonts w:ascii="Arial" w:hAnsi="Arial" w:cs="Arial"/>
          <w:sz w:val="24"/>
          <w:szCs w:val="24"/>
          <w:lang w:val="de-DE"/>
        </w:rPr>
        <w:t xml:space="preserve">. </w:t>
      </w:r>
      <w:bookmarkEnd w:id="21"/>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3"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AF24DB">
      <w:pPr>
        <w:pStyle w:val="berschrift3"/>
        <w:spacing w:line="360" w:lineRule="auto"/>
        <w:jc w:val="both"/>
        <w:rPr>
          <w:lang w:val="de-DE"/>
        </w:rPr>
      </w:pPr>
      <w:bookmarkStart w:id="24" w:name="_Toc109221701"/>
      <w:r w:rsidRPr="00D50D25">
        <w:rPr>
          <w:lang w:val="de-DE"/>
        </w:rPr>
        <w:t>Moral</w:t>
      </w:r>
      <w:r w:rsidR="005F526A" w:rsidRPr="00D50D25">
        <w:rPr>
          <w:lang w:val="de-DE"/>
        </w:rPr>
        <w:t>isches und emotionales</w:t>
      </w:r>
      <w:r w:rsidRPr="00D50D25">
        <w:rPr>
          <w:lang w:val="de-DE"/>
        </w:rPr>
        <w:t xml:space="preserve"> Accounting</w:t>
      </w:r>
      <w:bookmarkEnd w:id="24"/>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3"/>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5"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w:t>
      </w:r>
      <w:proofErr w:type="gramStart"/>
      <w:r w:rsidR="00127D71">
        <w:rPr>
          <w:rFonts w:ascii="Arial" w:hAnsi="Arial" w:cs="Arial"/>
          <w:sz w:val="24"/>
          <w:szCs w:val="24"/>
          <w:lang w:val="de-DE"/>
        </w:rPr>
        <w:t>mit der Geld</w:t>
      </w:r>
      <w:proofErr w:type="gramEnd"/>
      <w:r w:rsidR="00127D71">
        <w:rPr>
          <w:rFonts w:ascii="Arial" w:hAnsi="Arial" w:cs="Arial"/>
          <w:sz w:val="24"/>
          <w:szCs w:val="24"/>
          <w:lang w:val="de-DE"/>
        </w:rPr>
        <w:t xml:space="preserve">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w:t>
      </w:r>
      <w:proofErr w:type="gramStart"/>
      <w:r w:rsidR="000E46F8">
        <w:rPr>
          <w:rFonts w:ascii="Arial" w:hAnsi="Arial" w:cs="Arial"/>
          <w:sz w:val="24"/>
          <w:szCs w:val="24"/>
          <w:lang w:val="de-DE"/>
        </w:rPr>
        <w:t>mit der Gewinne</w:t>
      </w:r>
      <w:proofErr w:type="gramEnd"/>
      <w:r w:rsidR="000E46F8">
        <w:rPr>
          <w:rFonts w:ascii="Arial" w:hAnsi="Arial" w:cs="Arial"/>
          <w:sz w:val="24"/>
          <w:szCs w:val="24"/>
          <w:lang w:val="de-DE"/>
        </w:rPr>
        <w:t xml:space="preserv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r w:rsidR="009E2D13" w:rsidRPr="009E2D13">
        <w:rPr>
          <w:rFonts w:ascii="Arial" w:hAnsi="Arial" w:cs="Arial"/>
          <w:i/>
          <w:sz w:val="24"/>
          <w:szCs w:val="24"/>
          <w:lang w:val="de-DE"/>
        </w:rPr>
        <w:t xml:space="preserve">Mental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r>
        <w:rPr>
          <w:lang w:val="de-DE"/>
        </w:rPr>
        <w:t>Hypothesen</w:t>
      </w:r>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791A3C0" w14:textId="5947A92B"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6" w:name="_Hlk108533088"/>
      <w:bookmarkEnd w:id="25"/>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w:t>
      </w:r>
      <w:proofErr w:type="gramStart"/>
      <w:r w:rsidR="00E5549F">
        <w:rPr>
          <w:rFonts w:ascii="Arial" w:hAnsi="Arial" w:cs="Arial"/>
          <w:iCs/>
          <w:sz w:val="24"/>
          <w:szCs w:val="24"/>
        </w:rPr>
        <w:t>investiert</w:t>
      </w:r>
      <w:proofErr w:type="gramEnd"/>
      <w:r w:rsidR="00E5549F">
        <w:rPr>
          <w:rFonts w:ascii="Arial" w:hAnsi="Arial" w:cs="Arial"/>
          <w:iCs/>
          <w:sz w:val="24"/>
          <w:szCs w:val="24"/>
        </w:rPr>
        <w:t xml:space="preserve">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7" w:name="_Hlk108533465"/>
      <w:bookmarkEnd w:id="26"/>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7"/>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077D002C" w:rsidR="00B27AC0" w:rsidRPr="007617D9" w:rsidRDefault="00B27AC0" w:rsidP="00AF24DB">
      <w:pPr>
        <w:spacing w:line="360" w:lineRule="auto"/>
        <w:jc w:val="both"/>
        <w:rPr>
          <w:rFonts w:ascii="Arial" w:hAnsi="Arial" w:cs="Arial"/>
          <w:i/>
          <w:sz w:val="24"/>
          <w:szCs w:val="24"/>
          <w:lang w:val="en-AT"/>
        </w:rPr>
      </w:pPr>
      <w:proofErr w:type="spellStart"/>
      <w:r w:rsidRPr="007617D9">
        <w:rPr>
          <w:rFonts w:ascii="Arial" w:hAnsi="Arial" w:cs="Arial"/>
          <w:i/>
          <w:sz w:val="24"/>
          <w:szCs w:val="24"/>
          <w:lang w:val="en-AT"/>
        </w:rPr>
        <w:t>Hypothese</w:t>
      </w:r>
      <w:proofErr w:type="spellEnd"/>
      <w:r w:rsidRPr="007617D9">
        <w:rPr>
          <w:rFonts w:ascii="Arial" w:hAnsi="Arial" w:cs="Arial"/>
          <w:i/>
          <w:sz w:val="24"/>
          <w:szCs w:val="24"/>
          <w:lang w:val="en-AT"/>
        </w:rPr>
        <w:t xml:space="preserve"> 3b: Ein </w:t>
      </w:r>
      <w:proofErr w:type="spellStart"/>
      <w:r w:rsidRPr="007617D9">
        <w:rPr>
          <w:rFonts w:ascii="Arial" w:hAnsi="Arial" w:cs="Arial"/>
          <w:i/>
          <w:sz w:val="24"/>
          <w:szCs w:val="24"/>
          <w:lang w:val="en-AT"/>
        </w:rPr>
        <w:t>Lotteriegewinn</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wird</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riskanter</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investiert</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als</w:t>
      </w:r>
      <w:proofErr w:type="spellEnd"/>
      <w:r w:rsidRPr="007617D9">
        <w:rPr>
          <w:rFonts w:ascii="Arial" w:hAnsi="Arial" w:cs="Arial"/>
          <w:i/>
          <w:sz w:val="24"/>
          <w:szCs w:val="24"/>
          <w:lang w:val="en-AT"/>
        </w:rPr>
        <w:t xml:space="preserve"> </w:t>
      </w:r>
      <w:proofErr w:type="spellStart"/>
      <w:r w:rsidRPr="007617D9">
        <w:rPr>
          <w:rFonts w:ascii="Arial" w:hAnsi="Arial" w:cs="Arial"/>
          <w:i/>
          <w:sz w:val="24"/>
          <w:szCs w:val="24"/>
          <w:lang w:val="en-AT"/>
        </w:rPr>
        <w:t>Erspartes</w:t>
      </w:r>
      <w:proofErr w:type="spellEnd"/>
      <w:r w:rsidRPr="007617D9">
        <w:rPr>
          <w:rFonts w:ascii="Arial" w:hAnsi="Arial" w:cs="Arial"/>
          <w:i/>
          <w:sz w:val="24"/>
          <w:szCs w:val="24"/>
          <w:lang w:val="en-AT"/>
        </w:rPr>
        <w:t>.</w:t>
      </w:r>
    </w:p>
    <w:p w14:paraId="79C94FA1" w14:textId="5181E85E" w:rsidR="007617D9" w:rsidRDefault="007617D9" w:rsidP="00F8107B">
      <w:pPr>
        <w:spacing w:line="360" w:lineRule="auto"/>
        <w:jc w:val="both"/>
        <w:rPr>
          <w:rFonts w:ascii="Arial" w:hAnsi="Arial" w:cs="Arial"/>
          <w:iCs/>
          <w:color w:val="FF0000"/>
          <w:sz w:val="24"/>
          <w:szCs w:val="24"/>
          <w:lang w:val="de-DE"/>
        </w:rPr>
      </w:pPr>
      <w:r>
        <w:rPr>
          <w:rFonts w:ascii="Arial" w:hAnsi="Arial" w:cs="Arial"/>
          <w:iCs/>
          <w:color w:val="FF0000"/>
          <w:sz w:val="24"/>
          <w:szCs w:val="24"/>
          <w:lang w:val="de-DE"/>
        </w:rPr>
        <w:lastRenderedPageBreak/>
        <w:t xml:space="preserve">Aus den Annahmen, dass sowohl Erbschaften als auch </w:t>
      </w:r>
      <w:r>
        <w:rPr>
          <w:rFonts w:ascii="Arial" w:hAnsi="Arial" w:cs="Arial"/>
          <w:iCs/>
          <w:sz w:val="24"/>
          <w:szCs w:val="24"/>
          <w:lang w:val="de-DE"/>
        </w:rPr>
        <w:t>Ersparnisse aus erarbeitetem Geld eher sicher investier</w:t>
      </w:r>
      <w:r>
        <w:rPr>
          <w:rFonts w:ascii="Arial" w:hAnsi="Arial" w:cs="Arial"/>
          <w:iCs/>
          <w:sz w:val="24"/>
          <w:szCs w:val="24"/>
          <w:lang w:val="de-DE"/>
        </w:rPr>
        <w:t>t werden (Hypothese 1b und Hypothese 1c) ergibt sich Hypothese 2c.</w:t>
      </w:r>
    </w:p>
    <w:p w14:paraId="1E15CE57" w14:textId="50AA24C5" w:rsidR="00F8107B" w:rsidRPr="007617D9" w:rsidRDefault="0099066D" w:rsidP="00AF24DB">
      <w:pPr>
        <w:spacing w:line="360" w:lineRule="auto"/>
        <w:jc w:val="both"/>
        <w:rPr>
          <w:rFonts w:ascii="Arial" w:hAnsi="Arial" w:cs="Arial"/>
          <w:i/>
          <w:iCs/>
          <w:sz w:val="24"/>
          <w:szCs w:val="24"/>
          <w:lang w:val="en-AT"/>
        </w:rPr>
      </w:pPr>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Eine Erbschaft wird genauso riskant investiert wie Erspartes.</w:t>
      </w:r>
    </w:p>
    <w:p w14:paraId="25DBCCA2" w14:textId="76AB2B88"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r>
        <w:t>Versuchsplan / Untersuchungsdesign</w:t>
      </w:r>
    </w:p>
    <w:p w14:paraId="7A819219" w14:textId="0E929B45" w:rsidR="00264809" w:rsidRPr="00264809" w:rsidRDefault="00264809" w:rsidP="003C7F52">
      <w:pPr>
        <w:spacing w:line="360" w:lineRule="auto"/>
        <w:jc w:val="both"/>
        <w:rPr>
          <w:rFonts w:ascii="Arial" w:hAnsi="Arial" w:cs="Arial"/>
          <w:color w:val="FF0000"/>
          <w:sz w:val="24"/>
          <w:szCs w:val="24"/>
        </w:rPr>
      </w:pPr>
      <w:r>
        <w:rPr>
          <w:rFonts w:ascii="Arial" w:hAnsi="Arial" w:cs="Arial"/>
          <w:color w:val="FF0000"/>
          <w:sz w:val="24"/>
          <w:szCs w:val="24"/>
        </w:rPr>
        <w:t>Hypothese 3 die sich aus dem Untersuchungsdesign ergibt einfügen</w:t>
      </w:r>
    </w:p>
    <w:p w14:paraId="361126FF" w14:textId="69D70FAF"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 xml:space="preserve">Die Experimentalgruppen ähneln einander, der einzige Unterschied ist die Aufteilung der Geldmenge in die zur Verfügung stehenden Geldquellen. Deswegen wird im Weiteren Experimentalgruppe A beschrieben und die Geldmenge für </w:t>
      </w:r>
      <w:r>
        <w:rPr>
          <w:rFonts w:ascii="Arial" w:hAnsi="Arial" w:cs="Arial"/>
          <w:sz w:val="24"/>
          <w:szCs w:val="24"/>
        </w:rPr>
        <w:lastRenderedPageBreak/>
        <w:t>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lastRenderedPageBreak/>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74930B2" w14:textId="2CDFE74E" w:rsidR="005A1F42"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p>
    <w:p w14:paraId="24B95781" w14:textId="78BDAA54"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TODO) und dienen TODO.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162" cy="1818381"/>
                    </a:xfrm>
                    <a:prstGeom prst="rect">
                      <a:avLst/>
                    </a:prstGeom>
                  </pic:spPr>
                </pic:pic>
              </a:graphicData>
            </a:graphic>
          </wp:inline>
        </w:drawing>
      </w:r>
    </w:p>
    <w:p w14:paraId="5D9A77F0" w14:textId="7796F263" w:rsidR="006047A9" w:rsidRDefault="006047A9" w:rsidP="003C7F52">
      <w:pPr>
        <w:spacing w:line="360" w:lineRule="auto"/>
        <w:jc w:val="both"/>
        <w:rPr>
          <w:rFonts w:ascii="Arial" w:hAnsi="Arial" w:cs="Arial"/>
          <w:sz w:val="24"/>
          <w:szCs w:val="24"/>
        </w:rPr>
      </w:pPr>
      <w:r>
        <w:rPr>
          <w:rFonts w:ascii="Arial" w:hAnsi="Arial" w:cs="Arial"/>
          <w:sz w:val="24"/>
          <w:szCs w:val="24"/>
        </w:rPr>
        <w:t xml:space="preserve">Anschließend wurde nach der Beziehung zu den Eltern der Versuchsperson gefragt. Dies dient als Kontrollvariable, da grundsätzlich davon ausgegangen wird, dass geerbtes Geld von den Eltern risikoarm </w:t>
      </w:r>
      <w:proofErr w:type="gramStart"/>
      <w:r>
        <w:rPr>
          <w:rFonts w:ascii="Arial" w:hAnsi="Arial" w:cs="Arial"/>
          <w:sz w:val="24"/>
          <w:szCs w:val="24"/>
        </w:rPr>
        <w:t>investiert</w:t>
      </w:r>
      <w:proofErr w:type="gramEnd"/>
      <w:r>
        <w:rPr>
          <w:rFonts w:ascii="Arial" w:hAnsi="Arial" w:cs="Arial"/>
          <w:sz w:val="24"/>
          <w:szCs w:val="24"/>
        </w:rPr>
        <w:t xml:space="preserve"> wird aufgrund des emotionalen Werts. Jedoch könnte die Beziehung zu den Eltern einen Einfluss darauf haben. Zum Beispiel könnte geerbtes Geld weniger emotionalen Wert haben, wenn die Beziehung zu den Eltern sehr schlecht ist.</w:t>
      </w:r>
    </w:p>
    <w:p w14:paraId="43E5E743" w14:textId="5B49A5E5" w:rsidR="00074DB4" w:rsidRDefault="006047A9" w:rsidP="003C7F52">
      <w:pPr>
        <w:spacing w:line="360" w:lineRule="auto"/>
        <w:jc w:val="both"/>
        <w:rPr>
          <w:rFonts w:ascii="Arial" w:hAnsi="Arial" w:cs="Arial"/>
          <w:sz w:val="24"/>
          <w:szCs w:val="24"/>
          <w:lang w:val="de-DE"/>
        </w:rPr>
      </w:pPr>
      <w:r>
        <w:rPr>
          <w:rFonts w:ascii="Arial" w:hAnsi="Arial" w:cs="Arial"/>
          <w:sz w:val="24"/>
          <w:szCs w:val="24"/>
        </w:rPr>
        <w:lastRenderedPageBreak/>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 Die Übersetzung und Validierung der deutschen Items erfolgte durch eine Kollegin und ihr Team im Laufe eines Masterseminars im Fachbereich Psychologie. Die deutschen Items wurden durch mehrere „Native Speaker“ in Deutsch als auch in Englisch durchgeführt. </w:t>
      </w:r>
      <w:r w:rsidR="00D843B6">
        <w:rPr>
          <w:rFonts w:ascii="Arial" w:hAnsi="Arial" w:cs="Arial"/>
          <w:sz w:val="24"/>
          <w:szCs w:val="24"/>
          <w:lang w:val="de-DE"/>
        </w:rPr>
        <w:t>Dadurch</w:t>
      </w:r>
      <w:r w:rsidR="00DF0DB6">
        <w:rPr>
          <w:rFonts w:ascii="Arial" w:hAnsi="Arial" w:cs="Arial"/>
          <w:sz w:val="24"/>
          <w:szCs w:val="24"/>
          <w:lang w:val="de-DE"/>
        </w:rPr>
        <w:t xml:space="preserve"> wird davon ausgegangen, dass die deutschen Items ein Äquivalent zu den englischen Items darstellen, und somit gleichwertig verwendet werden können.</w:t>
      </w:r>
      <w:r w:rsidR="00074DB4">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31660EAD"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Die letzte Frage des Fragebogens ist eine Kontrollfrage, die erfragen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r>
        <w:t>Stichprobengröße und Power</w:t>
      </w:r>
    </w:p>
    <w:p w14:paraId="334DDF16" w14:textId="04BD0DF8" w:rsidR="003544C7" w:rsidRDefault="00264809" w:rsidP="00264809">
      <w:pPr>
        <w:spacing w:line="360" w:lineRule="auto"/>
        <w:jc w:val="both"/>
        <w:rPr>
          <w:rFonts w:ascii="Arial" w:hAnsi="Arial" w:cs="Arial"/>
          <w:sz w:val="24"/>
          <w:szCs w:val="24"/>
          <w:lang w:val="de-DE"/>
        </w:rPr>
      </w:pPr>
      <w:r>
        <w:rPr>
          <w:rFonts w:ascii="Arial" w:hAnsi="Arial" w:cs="Arial"/>
          <w:sz w:val="24"/>
          <w:szCs w:val="24"/>
          <w:lang w:val="de-DE"/>
        </w:rPr>
        <w:t xml:space="preserve">Die Stichprobengröße wurde mittels G-Power berechnet (Faul et al., 2007). </w:t>
      </w:r>
    </w:p>
    <w:p w14:paraId="63CDA57A" w14:textId="635236F9" w:rsidR="00E54136" w:rsidRDefault="00E54136" w:rsidP="00264809">
      <w:pPr>
        <w:spacing w:line="360" w:lineRule="auto"/>
        <w:jc w:val="both"/>
        <w:rPr>
          <w:rFonts w:ascii="Arial" w:hAnsi="Arial" w:cs="Arial"/>
          <w:sz w:val="24"/>
          <w:szCs w:val="24"/>
          <w:lang w:val="de-DE"/>
        </w:rPr>
      </w:pPr>
    </w:p>
    <w:p w14:paraId="6413DFBF" w14:textId="697B94CD" w:rsidR="00E54136" w:rsidRDefault="00E54136" w:rsidP="00264809">
      <w:pPr>
        <w:spacing w:line="360" w:lineRule="auto"/>
        <w:jc w:val="both"/>
        <w:rPr>
          <w:rFonts w:ascii="Arial" w:hAnsi="Arial" w:cs="Arial"/>
          <w:sz w:val="24"/>
          <w:szCs w:val="24"/>
          <w:lang w:val="de-DE"/>
        </w:rPr>
      </w:pPr>
    </w:p>
    <w:p w14:paraId="45086453" w14:textId="7E53947F" w:rsidR="00E54136" w:rsidRDefault="00E54136" w:rsidP="00264809">
      <w:pPr>
        <w:spacing w:line="360" w:lineRule="auto"/>
        <w:jc w:val="both"/>
        <w:rPr>
          <w:rFonts w:ascii="Arial" w:hAnsi="Arial" w:cs="Arial"/>
          <w:sz w:val="24"/>
          <w:szCs w:val="24"/>
          <w:lang w:val="de-DE"/>
        </w:rPr>
      </w:pPr>
      <w:r w:rsidRPr="00E54136">
        <w:rPr>
          <w:rFonts w:ascii="Arial" w:hAnsi="Arial" w:cs="Arial"/>
          <w:sz w:val="24"/>
          <w:szCs w:val="24"/>
          <w:lang w:val="en-US"/>
        </w:rPr>
        <w:t xml:space="preserve">Sheppard, C. R. (1999). How large should my sample be? Some quick guides to sample size and the power of tests. </w:t>
      </w:r>
      <w:r w:rsidRPr="00E54136">
        <w:rPr>
          <w:rFonts w:ascii="Arial" w:hAnsi="Arial" w:cs="Arial"/>
          <w:i/>
          <w:sz w:val="24"/>
          <w:szCs w:val="24"/>
          <w:lang w:val="de-DE"/>
        </w:rPr>
        <w:t>Marine Pollution Bulletin</w:t>
      </w:r>
      <w:r w:rsidRPr="00E54136">
        <w:rPr>
          <w:rFonts w:ascii="Arial" w:hAnsi="Arial" w:cs="Arial"/>
          <w:sz w:val="24"/>
          <w:szCs w:val="24"/>
          <w:lang w:val="de-DE"/>
        </w:rPr>
        <w:t>, 38(6), 439-447.</w:t>
      </w:r>
    </w:p>
    <w:p w14:paraId="754976FB" w14:textId="0B1BB71F" w:rsidR="0085468A" w:rsidRPr="0085468A" w:rsidRDefault="0085468A" w:rsidP="0085468A">
      <w:pPr>
        <w:pStyle w:val="berschrift2"/>
        <w:spacing w:line="360" w:lineRule="auto"/>
        <w:jc w:val="both"/>
      </w:pPr>
      <w:r>
        <w:lastRenderedPageBreak/>
        <w:t>Vorgehen</w:t>
      </w:r>
    </w:p>
    <w:p w14:paraId="588AA579" w14:textId="77777777" w:rsidR="0085468A" w:rsidRPr="007617D9" w:rsidRDefault="0085468A" w:rsidP="003C7F52">
      <w:pPr>
        <w:spacing w:line="360" w:lineRule="auto"/>
        <w:jc w:val="both"/>
        <w:rPr>
          <w:rFonts w:ascii="Arial" w:hAnsi="Arial" w:cs="Arial"/>
          <w:sz w:val="24"/>
          <w:szCs w:val="24"/>
          <w:lang w:val="de-DE"/>
        </w:rPr>
      </w:pPr>
    </w:p>
    <w:p w14:paraId="2CA4370D" w14:textId="1F122956" w:rsidR="003C7A68" w:rsidRDefault="003C7A68" w:rsidP="00AF24DB">
      <w:pPr>
        <w:pStyle w:val="berschrift2"/>
        <w:spacing w:line="360" w:lineRule="auto"/>
        <w:jc w:val="both"/>
      </w:pPr>
      <w:r>
        <w:t>Stichprobenbeschreibung</w:t>
      </w:r>
    </w:p>
    <w:p w14:paraId="5935FBBF" w14:textId="77777777"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291-mal aufgerufen</w:t>
      </w:r>
      <w:r w:rsidR="00610E52">
        <w:rPr>
          <w:rFonts w:ascii="Arial" w:hAnsi="Arial" w:cs="Arial"/>
          <w:sz w:val="24"/>
          <w:szCs w:val="24"/>
        </w:rPr>
        <w:t xml:space="preserve">. 177 Personen haben den Fragebogen gänzlich abgeschlossen. 191 Personen haben den Fragebogen abgeschlossen, aber entweder keinen Konsens gegeben oder ihn nicht vollendet. Von den 191 </w:t>
      </w:r>
      <w:r w:rsidR="003544C7">
        <w:rPr>
          <w:rFonts w:ascii="Arial" w:hAnsi="Arial" w:cs="Arial"/>
          <w:sz w:val="24"/>
          <w:szCs w:val="24"/>
        </w:rPr>
        <w:t>Personen,</w:t>
      </w:r>
      <w:r w:rsidR="00610E52">
        <w:rPr>
          <w:rFonts w:ascii="Arial" w:hAnsi="Arial" w:cs="Arial"/>
          <w:sz w:val="24"/>
          <w:szCs w:val="24"/>
        </w:rPr>
        <w:t xml:space="preserve"> die den Fragebogen abgeschlossen haben, wurden 18 Personen aufgrund der Ausschlusskriterien (siehe Kapitel Umgang mit fehlenden Daten und Qualitätssicherung) von der Datenauswertung ausgeschlossen. </w:t>
      </w:r>
      <w:r w:rsidR="003544C7">
        <w:rPr>
          <w:rFonts w:ascii="Arial" w:hAnsi="Arial" w:cs="Arial"/>
          <w:sz w:val="24"/>
          <w:szCs w:val="24"/>
        </w:rPr>
        <w:t xml:space="preserve">Dadurch ergibt sich eine Stichprobe von 159 Fällen. </w:t>
      </w:r>
    </w:p>
    <w:p w14:paraId="51B3D34E" w14:textId="0CA22F41" w:rsidR="00D13E6B" w:rsidRDefault="0085468A" w:rsidP="00D13E6B">
      <w:pPr>
        <w:spacing w:line="360" w:lineRule="auto"/>
        <w:jc w:val="both"/>
        <w:rPr>
          <w:rFonts w:ascii="Arial" w:hAnsi="Arial" w:cs="Arial"/>
          <w:sz w:val="24"/>
          <w:szCs w:val="24"/>
        </w:rPr>
      </w:pPr>
      <w:r>
        <w:rPr>
          <w:rFonts w:ascii="Arial" w:hAnsi="Arial" w:cs="Arial"/>
          <w:sz w:val="24"/>
          <w:szCs w:val="24"/>
        </w:rPr>
        <w:t>Gründe für den Abbruch während des Fragebogens könnten fehlendes Interesse oder Motivation den Fragebogen zu Ende zu bringen</w:t>
      </w:r>
      <w:r w:rsidR="003E35EB">
        <w:rPr>
          <w:rFonts w:ascii="Arial" w:hAnsi="Arial" w:cs="Arial"/>
          <w:sz w:val="24"/>
          <w:szCs w:val="24"/>
        </w:rPr>
        <w:t xml:space="preserve"> sein. Weiters habe 100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durchgeführt wurde, oder dass der Fragebogen kein Interesse geweckt hat und wieder geschlossen wurde. </w:t>
      </w:r>
    </w:p>
    <w:p w14:paraId="72975CBE" w14:textId="4AC538C7" w:rsidR="006A1795" w:rsidRDefault="00D41466" w:rsidP="00D13E6B">
      <w:pPr>
        <w:spacing w:line="360" w:lineRule="auto"/>
        <w:jc w:val="both"/>
        <w:rPr>
          <w:rFonts w:ascii="Arial" w:hAnsi="Arial" w:cs="Arial"/>
          <w:sz w:val="24"/>
          <w:szCs w:val="24"/>
        </w:rPr>
      </w:pPr>
      <w:r>
        <w:rPr>
          <w:rFonts w:ascii="Arial" w:hAnsi="Arial" w:cs="Arial"/>
          <w:sz w:val="24"/>
          <w:szCs w:val="24"/>
        </w:rPr>
        <w:t xml:space="preserve">XXX (xx%) der Teilnehmer*innen gaben als Geschlecht weiblich. XXX der Teilnehmer*innen gaben als Geschlecht männlich an. XXX (XX%) der Teilnehmer*Innen gaben </w:t>
      </w:r>
      <w:r>
        <w:rPr>
          <w:rFonts w:ascii="Arial" w:hAnsi="Arial" w:cs="Arial"/>
          <w:sz w:val="24"/>
          <w:szCs w:val="24"/>
        </w:rPr>
        <w:t xml:space="preserve">als Geschlecht </w:t>
      </w:r>
      <w:r>
        <w:rPr>
          <w:rFonts w:ascii="Arial" w:hAnsi="Arial" w:cs="Arial"/>
          <w:sz w:val="24"/>
          <w:szCs w:val="24"/>
        </w:rPr>
        <w:t>divers</w:t>
      </w:r>
      <w:r>
        <w:rPr>
          <w:rFonts w:ascii="Arial" w:hAnsi="Arial" w:cs="Arial"/>
          <w:sz w:val="24"/>
          <w:szCs w:val="24"/>
        </w:rPr>
        <w:t xml:space="preserve"> an</w:t>
      </w:r>
      <w:r>
        <w:rPr>
          <w:rFonts w:ascii="Arial" w:hAnsi="Arial" w:cs="Arial"/>
          <w:sz w:val="24"/>
          <w:szCs w:val="24"/>
        </w:rPr>
        <w:t xml:space="preserve">. XXX (XX%) machten keine Angabe. Für eine graphische Darstellung siehe </w:t>
      </w:r>
      <w:r w:rsidR="005221BF">
        <w:rPr>
          <w:rFonts w:ascii="Arial" w:hAnsi="Arial" w:cs="Arial"/>
          <w:sz w:val="24"/>
          <w:szCs w:val="24"/>
        </w:rPr>
        <w:t>Abbildung</w:t>
      </w:r>
      <w:r>
        <w:rPr>
          <w:rFonts w:ascii="Arial" w:hAnsi="Arial" w:cs="Arial"/>
          <w:sz w:val="24"/>
          <w:szCs w:val="24"/>
        </w:rPr>
        <w:t xml:space="preserve"> 2. Es kann festgestellt werden, dass mehr XX als YY an der Studie teilnahmen. </w:t>
      </w:r>
    </w:p>
    <w:p w14:paraId="14856922" w14:textId="1D82E3AA"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Die meisten Personen waren in der Kategorie xx-xx oder eine Kategorie darunter, oder darüber. Für eine graphische Darstellung sie Abbildung 3.</w:t>
      </w:r>
    </w:p>
    <w:p w14:paraId="39057251" w14:textId="7BD08840" w:rsidR="005221BF" w:rsidRPr="00A3050D" w:rsidRDefault="005221BF" w:rsidP="00D13E6B">
      <w:pPr>
        <w:spacing w:line="360" w:lineRule="auto"/>
        <w:jc w:val="both"/>
        <w:rPr>
          <w:rFonts w:ascii="Arial" w:hAnsi="Arial" w:cs="Arial"/>
          <w:color w:val="FF0000"/>
          <w:sz w:val="24"/>
          <w:szCs w:val="24"/>
        </w:rPr>
      </w:pPr>
      <w:r>
        <w:rPr>
          <w:rFonts w:ascii="Arial" w:hAnsi="Arial" w:cs="Arial"/>
          <w:sz w:val="24"/>
          <w:szCs w:val="24"/>
        </w:rPr>
        <w:t>Die Verteilung kann dadurch erklärt werden, dass auf der Plattform „</w:t>
      </w:r>
      <w:proofErr w:type="spellStart"/>
      <w:r>
        <w:rPr>
          <w:rFonts w:ascii="Arial" w:hAnsi="Arial" w:cs="Arial"/>
          <w:sz w:val="24"/>
          <w:szCs w:val="24"/>
        </w:rPr>
        <w:t>SurveyCircle</w:t>
      </w:r>
      <w:proofErr w:type="spellEnd"/>
      <w:r>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w:t>
      </w:r>
      <w:r w:rsidR="0085468A">
        <w:rPr>
          <w:rFonts w:ascii="Arial" w:hAnsi="Arial" w:cs="Arial"/>
          <w:sz w:val="24"/>
          <w:szCs w:val="24"/>
        </w:rPr>
        <w:lastRenderedPageBreak/>
        <w:t xml:space="preserve">Fragebogen wird eine Teilnahme an Ihrer Studie erhofft (siehe Kapitel Vorgehen). </w:t>
      </w:r>
      <w:r w:rsidR="00A3050D">
        <w:rPr>
          <w:rFonts w:ascii="Arial" w:hAnsi="Arial" w:cs="Arial"/>
          <w:color w:val="FF0000"/>
          <w:sz w:val="24"/>
          <w:szCs w:val="24"/>
        </w:rPr>
        <w:t>Irgendeine Erklärung, warum die in dem Alter sind.</w:t>
      </w:r>
    </w:p>
    <w:p w14:paraId="67BEC556" w14:textId="5FCF31BA" w:rsidR="00D776F3" w:rsidRDefault="00A3050D" w:rsidP="00D13E6B">
      <w:pPr>
        <w:spacing w:line="360" w:lineRule="auto"/>
        <w:jc w:val="both"/>
        <w:rPr>
          <w:rFonts w:ascii="Arial" w:hAnsi="Arial" w:cs="Arial"/>
          <w:sz w:val="24"/>
          <w:szCs w:val="24"/>
        </w:rPr>
      </w:pPr>
      <w:r>
        <w:rPr>
          <w:rFonts w:ascii="Arial" w:hAnsi="Arial" w:cs="Arial"/>
          <w:sz w:val="24"/>
          <w:szCs w:val="24"/>
        </w:rPr>
        <w:t>Über das Bildungsniveau der Teilnehmer*innen kann gesagt werden, dass xx (xx%)</w:t>
      </w:r>
    </w:p>
    <w:p w14:paraId="228DE461" w14:textId="77777777" w:rsidR="003E35EB" w:rsidRDefault="003E35EB" w:rsidP="00D13E6B">
      <w:pPr>
        <w:spacing w:line="360" w:lineRule="auto"/>
        <w:jc w:val="both"/>
        <w:rPr>
          <w:rFonts w:ascii="Arial" w:hAnsi="Arial" w:cs="Arial"/>
          <w:sz w:val="24"/>
          <w:szCs w:val="24"/>
        </w:rPr>
      </w:pPr>
    </w:p>
    <w:p w14:paraId="11CD3276" w14:textId="4D941477" w:rsidR="00D776F3" w:rsidRDefault="00D776F3" w:rsidP="00D13E6B">
      <w:pPr>
        <w:spacing w:line="360" w:lineRule="auto"/>
        <w:jc w:val="both"/>
      </w:pPr>
      <w:r>
        <w:t xml:space="preserve">Bildungsniveau, Beruf, </w:t>
      </w:r>
      <w:r w:rsidR="00A3050D">
        <w:t>Nettoeinkommen</w:t>
      </w:r>
      <w:r>
        <w:t xml:space="preserve"> </w:t>
      </w:r>
    </w:p>
    <w:p w14:paraId="6B76076A" w14:textId="24C5C218" w:rsidR="0011428C" w:rsidRPr="0011428C" w:rsidRDefault="0011428C" w:rsidP="00AF24DB">
      <w:pPr>
        <w:pStyle w:val="berschrift2"/>
        <w:spacing w:line="360" w:lineRule="auto"/>
        <w:jc w:val="both"/>
      </w:pPr>
      <w:r>
        <w:t>Umgang mit fehlenden Daten</w:t>
      </w:r>
      <w:r w:rsidR="00956FF4">
        <w:t xml:space="preserve"> und Qualitätssicherung</w:t>
      </w:r>
    </w:p>
    <w:p w14:paraId="6F6A799C" w14:textId="780999E4" w:rsidR="003C7A68" w:rsidRDefault="003C7A68" w:rsidP="00AF24DB">
      <w:pPr>
        <w:pStyle w:val="berschrift2"/>
        <w:spacing w:line="360" w:lineRule="auto"/>
        <w:jc w:val="both"/>
      </w:pPr>
      <w:r>
        <w:t>Messinstrumente / gemessene Variablen</w:t>
      </w:r>
    </w:p>
    <w:p w14:paraId="0D901A6C" w14:textId="04044253" w:rsidR="00CC48B5" w:rsidRDefault="00CC48B5" w:rsidP="00AF24DB">
      <w:pPr>
        <w:pStyle w:val="berschrift1"/>
        <w:spacing w:line="360" w:lineRule="auto"/>
        <w:jc w:val="both"/>
        <w:rPr>
          <w:lang w:val="de-DE"/>
        </w:rPr>
      </w:pPr>
      <w:r>
        <w:rPr>
          <w:lang w:val="de-DE"/>
        </w:rPr>
        <w:t>Ergebnisse</w:t>
      </w:r>
    </w:p>
    <w:p w14:paraId="3271225A" w14:textId="393F9303" w:rsidR="00CC48B5" w:rsidRDefault="00CC48B5" w:rsidP="00AF24DB">
      <w:pPr>
        <w:spacing w:line="360" w:lineRule="auto"/>
        <w:jc w:val="both"/>
        <w:rPr>
          <w:lang w:val="de-DE"/>
        </w:rPr>
      </w:pPr>
    </w:p>
    <w:p w14:paraId="56F7BC65" w14:textId="1A8E022E" w:rsidR="00CC48B5" w:rsidRPr="00CC48B5" w:rsidRDefault="00CC48B5" w:rsidP="00AF24DB">
      <w:pPr>
        <w:pStyle w:val="berschrift1"/>
        <w:spacing w:line="360" w:lineRule="auto"/>
        <w:jc w:val="both"/>
        <w:rPr>
          <w:lang w:val="de-DE"/>
        </w:rPr>
      </w:pPr>
      <w:r>
        <w:rPr>
          <w:lang w:val="de-DE"/>
        </w:rPr>
        <w:t>Diskussion</w:t>
      </w:r>
    </w:p>
    <w:p w14:paraId="25400ED2" w14:textId="25854643" w:rsidR="004F3D6E" w:rsidRDefault="004F3D6E" w:rsidP="00AF24DB">
      <w:pPr>
        <w:spacing w:line="360" w:lineRule="auto"/>
        <w:jc w:val="both"/>
        <w:rPr>
          <w:rFonts w:ascii="Arial" w:hAnsi="Arial" w:cs="Arial"/>
          <w:sz w:val="24"/>
          <w:szCs w:val="24"/>
          <w:lang w:val="de-DE"/>
        </w:rPr>
      </w:pPr>
    </w:p>
    <w:p w14:paraId="04E5461F" w14:textId="0046E6FF" w:rsidR="004F3D6E" w:rsidRDefault="004F3D6E" w:rsidP="005F526A">
      <w:pPr>
        <w:spacing w:line="360" w:lineRule="auto"/>
        <w:jc w:val="both"/>
        <w:rPr>
          <w:rFonts w:ascii="Arial" w:hAnsi="Arial" w:cs="Arial"/>
          <w:sz w:val="24"/>
          <w:szCs w:val="24"/>
          <w:lang w:val="de-DE"/>
        </w:rPr>
      </w:pPr>
    </w:p>
    <w:p w14:paraId="3B187950" w14:textId="34F2C024" w:rsidR="00D23F1E" w:rsidRDefault="00D23F1E" w:rsidP="005F526A">
      <w:pPr>
        <w:spacing w:line="360" w:lineRule="auto"/>
        <w:jc w:val="both"/>
        <w:rPr>
          <w:rFonts w:ascii="Arial" w:hAnsi="Arial" w:cs="Arial"/>
          <w:sz w:val="24"/>
          <w:szCs w:val="24"/>
          <w:lang w:val="de-DE"/>
        </w:rPr>
      </w:pPr>
    </w:p>
    <w:p w14:paraId="5FC1F147" w14:textId="77777777" w:rsidR="00D23F1E" w:rsidRPr="007E62B9" w:rsidRDefault="00D23F1E" w:rsidP="005F526A">
      <w:pPr>
        <w:spacing w:line="360" w:lineRule="auto"/>
        <w:jc w:val="both"/>
        <w:rPr>
          <w:rFonts w:ascii="Arial" w:hAnsi="Arial" w:cs="Arial"/>
          <w:sz w:val="24"/>
          <w:szCs w:val="24"/>
          <w:lang w:val="de-DE"/>
        </w:rPr>
      </w:pPr>
    </w:p>
    <w:p w14:paraId="281202DA" w14:textId="3BD526DA" w:rsidR="001D68A6" w:rsidRPr="00956FF4" w:rsidRDefault="001D68A6" w:rsidP="000A64C9">
      <w:pPr>
        <w:pStyle w:val="berschrift1"/>
        <w:rPr>
          <w:color w:val="FF0000"/>
          <w:lang w:val="en-US"/>
        </w:rPr>
      </w:pPr>
      <w:r w:rsidRPr="00956FF4">
        <w:rPr>
          <w:color w:val="FF0000"/>
          <w:lang w:val="en-US"/>
        </w:rPr>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28" w:name="_Toc109221705"/>
      <w:r w:rsidRPr="000A64C9">
        <w:rPr>
          <w:lang w:val="en-US"/>
        </w:rPr>
        <w:t>Prospect theory,</w:t>
      </w:r>
      <w:r>
        <w:rPr>
          <w:lang w:val="en-US"/>
        </w:rPr>
        <w:t xml:space="preserve"> </w:t>
      </w:r>
      <w:r w:rsidRPr="000A64C9">
        <w:rPr>
          <w:lang w:val="en-US"/>
        </w:rPr>
        <w:t>mental accounting, and momentum</w:t>
      </w:r>
      <w:bookmarkEnd w:id="28"/>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29" w:name="_Toc109221706"/>
      <w:r w:rsidRPr="00A71B0C">
        <w:rPr>
          <w:lang w:val="en-US"/>
        </w:rPr>
        <w:lastRenderedPageBreak/>
        <w:t>Money Doesn’t Stink. Or Does It? The Effect of Immorally Acquiring Money on Its Spending</w:t>
      </w:r>
      <w:bookmarkEnd w:id="29"/>
    </w:p>
    <w:p w14:paraId="419D0316" w14:textId="0016F227" w:rsidR="002342A7" w:rsidRDefault="006F776B" w:rsidP="006F776B">
      <w:pPr>
        <w:pStyle w:val="berschrift1"/>
        <w:rPr>
          <w:lang w:val="en-US"/>
        </w:rPr>
      </w:pPr>
      <w:bookmarkStart w:id="30" w:name="_Toc109221707"/>
      <w:r w:rsidRPr="006F776B">
        <w:rPr>
          <w:lang w:val="en-US"/>
        </w:rPr>
        <w:t>The framing of financial windfalls and implications for public policy</w:t>
      </w:r>
      <w:bookmarkEnd w:id="30"/>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11"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 xml:space="preserve">The Journal of </w:t>
      </w:r>
      <w:proofErr w:type="gramStart"/>
      <w:r w:rsidRPr="00030EF1">
        <w:rPr>
          <w:rFonts w:ascii="Arial" w:hAnsi="Arial" w:cs="Arial"/>
          <w:i/>
          <w:sz w:val="24"/>
          <w:szCs w:val="24"/>
          <w:shd w:val="clear" w:color="auto" w:fill="FFFFFF"/>
          <w:lang w:val="en-US"/>
        </w:rPr>
        <w:t>Socio-Economics</w:t>
      </w:r>
      <w:proofErr w:type="gramEnd"/>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1" w:name="_Toc109221708"/>
      <w:r w:rsidRPr="00AF68FC">
        <w:rPr>
          <w:lang w:val="en-US"/>
        </w:rPr>
        <w:t>The Role of Mental Accounting in Household Spending and Investing Decisions</w:t>
      </w:r>
      <w:bookmarkEnd w:id="31"/>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2" w:name="_Toc109221709"/>
      <w:r>
        <w:rPr>
          <w:lang w:val="en-US"/>
        </w:rPr>
        <w:t>Mental Accounting</w:t>
      </w:r>
      <w:bookmarkEnd w:id="32"/>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lastRenderedPageBreak/>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3" w:name="_Toc109221710"/>
      <w:r>
        <w:rPr>
          <w:lang w:val="en-US"/>
        </w:rPr>
        <w:t xml:space="preserve">Windfall </w:t>
      </w:r>
      <w:proofErr w:type="spellStart"/>
      <w:r>
        <w:rPr>
          <w:lang w:val="en-US"/>
        </w:rPr>
        <w:t>Quellen</w:t>
      </w:r>
      <w:bookmarkEnd w:id="33"/>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4" w:name="_Toc109221711"/>
      <w:r w:rsidRPr="00B541D0">
        <w:t>Warum</w:t>
      </w:r>
      <w:r>
        <w:t>/Für wen</w:t>
      </w:r>
      <w:r w:rsidRPr="00B541D0">
        <w:t xml:space="preserve"> ist mein S</w:t>
      </w:r>
      <w:r>
        <w:t>cheiß wichtig</w:t>
      </w:r>
      <w:bookmarkEnd w:id="34"/>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5" w:name="_Toc109221712"/>
      <w:proofErr w:type="spellStart"/>
      <w:r>
        <w:rPr>
          <w:lang w:val="en-US"/>
        </w:rPr>
        <w:t>Gute</w:t>
      </w:r>
      <w:proofErr w:type="spellEnd"/>
      <w:r>
        <w:rPr>
          <w:lang w:val="en-US"/>
        </w:rPr>
        <w:t xml:space="preserve"> </w:t>
      </w:r>
      <w:proofErr w:type="spellStart"/>
      <w:r>
        <w:rPr>
          <w:lang w:val="en-US"/>
        </w:rPr>
        <w:t>Struktur</w:t>
      </w:r>
      <w:bookmarkEnd w:id="35"/>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36" w:name="_Toc109221713"/>
      <w:r w:rsidRPr="00B541D0">
        <w:t>Literaturverzeichnis</w:t>
      </w:r>
      <w:bookmarkEnd w:id="36"/>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lastRenderedPageBreak/>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04A48CB9"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w:t>
      </w:r>
      <w:proofErr w:type="gramStart"/>
      <w:r w:rsidRPr="00F258ED">
        <w:rPr>
          <w:rFonts w:ascii="Arial" w:hAnsi="Arial" w:cs="Arial"/>
          <w:sz w:val="24"/>
          <w:szCs w:val="24"/>
          <w:shd w:val="clear" w:color="auto" w:fill="FFFFFF"/>
          <w:lang w:val="en-US"/>
        </w:rPr>
        <w:t>rebate?:</w:t>
      </w:r>
      <w:proofErr w:type="gramEnd"/>
      <w:r w:rsidRPr="00F258ED">
        <w:rPr>
          <w:rFonts w:ascii="Arial" w:hAnsi="Arial" w:cs="Arial"/>
          <w:sz w:val="24"/>
          <w:szCs w:val="24"/>
          <w:shd w:val="clear" w:color="auto" w:fill="FFFFFF"/>
          <w:lang w:val="en-US"/>
        </w:rPr>
        <w:t xml:space="preserv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264809" w:rsidRDefault="00264809" w:rsidP="00654EAE">
      <w:pPr>
        <w:spacing w:line="360" w:lineRule="auto"/>
        <w:jc w:val="both"/>
        <w:rPr>
          <w:rFonts w:ascii="Arial" w:hAnsi="Arial" w:cs="Arial"/>
          <w:sz w:val="24"/>
          <w:szCs w:val="24"/>
        </w:rPr>
      </w:pPr>
      <w:r w:rsidRPr="004C79B5">
        <w:rPr>
          <w:rFonts w:ascii="Arial" w:hAnsi="Arial" w:cs="Arial"/>
          <w:sz w:val="24"/>
          <w:szCs w:val="24"/>
        </w:rPr>
        <w:t xml:space="preserve">Faul, F., Erdfelder, E., </w:t>
      </w:r>
      <w:proofErr w:type="gramStart"/>
      <w:r w:rsidRPr="004C79B5">
        <w:rPr>
          <w:rFonts w:ascii="Arial" w:hAnsi="Arial" w:cs="Arial"/>
          <w:sz w:val="24"/>
          <w:szCs w:val="24"/>
        </w:rPr>
        <w:t>Lang</w:t>
      </w:r>
      <w:proofErr w:type="gramEnd"/>
      <w:r w:rsidRPr="004C79B5">
        <w:rPr>
          <w:rFonts w:ascii="Arial" w:hAnsi="Arial" w:cs="Arial"/>
          <w:sz w:val="24"/>
          <w:szCs w:val="24"/>
        </w:rPr>
        <w:t xml:space="preserve">, A.-G., &amp; Buchner, A. (2007). </w:t>
      </w:r>
      <w:r w:rsidRPr="00264809">
        <w:rPr>
          <w:rFonts w:ascii="Arial" w:hAnsi="Arial" w:cs="Arial"/>
          <w:sz w:val="24"/>
          <w:szCs w:val="24"/>
          <w:lang w:val="en-US"/>
        </w:rPr>
        <w:t xml:space="preserve">G*Power 3: A flexible statistical power analysis program for the social, behavioral, and biomedical sciences. </w:t>
      </w:r>
      <w:proofErr w:type="spellStart"/>
      <w:r w:rsidRPr="004C79B5">
        <w:rPr>
          <w:rFonts w:ascii="Arial" w:hAnsi="Arial" w:cs="Arial"/>
          <w:i/>
          <w:iCs/>
          <w:sz w:val="24"/>
          <w:szCs w:val="24"/>
        </w:rPr>
        <w:t>Behavior</w:t>
      </w:r>
      <w:proofErr w:type="spellEnd"/>
      <w:r w:rsidRPr="004C79B5">
        <w:rPr>
          <w:rFonts w:ascii="Arial" w:hAnsi="Arial" w:cs="Arial"/>
          <w:i/>
          <w:iCs/>
          <w:sz w:val="24"/>
          <w:szCs w:val="24"/>
        </w:rPr>
        <w:t xml:space="preserve"> Research Methods</w:t>
      </w:r>
      <w:r w:rsidRPr="004C79B5">
        <w:rPr>
          <w:rFonts w:ascii="Arial" w:hAnsi="Arial" w:cs="Arial"/>
          <w:sz w:val="24"/>
          <w:szCs w:val="24"/>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lastRenderedPageBreak/>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lastRenderedPageBreak/>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56D736BD" w:rsidR="00340DD5" w:rsidRPr="008504D0" w:rsidRDefault="00340DD5" w:rsidP="008504D0">
      <w:pPr>
        <w:spacing w:line="360" w:lineRule="auto"/>
        <w:rPr>
          <w:rFonts w:ascii="Arial" w:hAnsi="Arial" w:cs="Arial"/>
          <w:sz w:val="24"/>
          <w:szCs w:val="24"/>
          <w:lang w:val="en-US"/>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Available at SSRN 2043657</w:t>
      </w:r>
      <w:r w:rsidRPr="00340DD5">
        <w:rPr>
          <w:rFonts w:ascii="Arial" w:hAnsi="Arial" w:cs="Arial"/>
          <w:sz w:val="24"/>
          <w:szCs w:val="24"/>
          <w:lang w:val="en-US"/>
        </w:rPr>
        <w:t>.</w:t>
      </w:r>
    </w:p>
    <w:p w14:paraId="4C232AC6" w14:textId="77777777" w:rsidR="0002242E" w:rsidRPr="00033F57" w:rsidRDefault="0002242E" w:rsidP="001B2D9F">
      <w:pPr>
        <w:spacing w:line="360" w:lineRule="auto"/>
        <w:jc w:val="both"/>
        <w:rPr>
          <w:rFonts w:ascii="Arial" w:hAnsi="Arial" w:cs="Arial"/>
          <w:sz w:val="24"/>
          <w:szCs w:val="24"/>
          <w:lang w:val="en-US"/>
        </w:rPr>
      </w:pPr>
      <w:r w:rsidRPr="00F340AA">
        <w:rPr>
          <w:rFonts w:ascii="Arial" w:hAnsi="Arial" w:cs="Arial"/>
          <w:sz w:val="24"/>
          <w:szCs w:val="24"/>
          <w:lang w:val="en-US"/>
        </w:rPr>
        <w:t xml:space="preserve">Read, D., Loewenstein, G., Rabin, M., Keren, G., &amp; </w:t>
      </w:r>
      <w:proofErr w:type="spellStart"/>
      <w:r w:rsidRPr="00F340AA">
        <w:rPr>
          <w:rFonts w:ascii="Arial" w:hAnsi="Arial" w:cs="Arial"/>
          <w:sz w:val="24"/>
          <w:szCs w:val="24"/>
          <w:lang w:val="en-US"/>
        </w:rPr>
        <w:t>Laibson</w:t>
      </w:r>
      <w:proofErr w:type="spellEnd"/>
      <w:r w:rsidRPr="00F340AA">
        <w:rPr>
          <w:rFonts w:ascii="Arial" w:hAnsi="Arial" w:cs="Arial"/>
          <w:sz w:val="24"/>
          <w:szCs w:val="24"/>
          <w:lang w:val="en-US"/>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lastRenderedPageBreak/>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A72B9" w14:textId="77777777" w:rsidR="00120774" w:rsidRDefault="00120774" w:rsidP="008E6456">
      <w:pPr>
        <w:spacing w:after="0" w:line="240" w:lineRule="auto"/>
      </w:pPr>
      <w:r>
        <w:separator/>
      </w:r>
    </w:p>
  </w:endnote>
  <w:endnote w:type="continuationSeparator" w:id="0">
    <w:p w14:paraId="2FB36E34" w14:textId="77777777" w:rsidR="00120774" w:rsidRDefault="00120774"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02EF9" w14:textId="77777777" w:rsidR="00120774" w:rsidRDefault="00120774" w:rsidP="008E6456">
      <w:pPr>
        <w:spacing w:after="0" w:line="240" w:lineRule="auto"/>
      </w:pPr>
      <w:r>
        <w:separator/>
      </w:r>
    </w:p>
  </w:footnote>
  <w:footnote w:type="continuationSeparator" w:id="0">
    <w:p w14:paraId="26E86ED5" w14:textId="77777777" w:rsidR="00120774" w:rsidRDefault="00120774"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9741772">
    <w:abstractNumId w:val="2"/>
  </w:num>
  <w:num w:numId="2" w16cid:durableId="1362365305">
    <w:abstractNumId w:val="0"/>
  </w:num>
  <w:num w:numId="3" w16cid:durableId="2051372692">
    <w:abstractNumId w:val="3"/>
  </w:num>
  <w:num w:numId="4" w16cid:durableId="7874367">
    <w:abstractNumId w:val="4"/>
  </w:num>
  <w:num w:numId="5" w16cid:durableId="93948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10D82"/>
    <w:rsid w:val="00021F32"/>
    <w:rsid w:val="0002242E"/>
    <w:rsid w:val="00030EF1"/>
    <w:rsid w:val="000326BB"/>
    <w:rsid w:val="00033F57"/>
    <w:rsid w:val="00057534"/>
    <w:rsid w:val="00063722"/>
    <w:rsid w:val="000711C8"/>
    <w:rsid w:val="00074DB4"/>
    <w:rsid w:val="00086306"/>
    <w:rsid w:val="000907DD"/>
    <w:rsid w:val="00090AA3"/>
    <w:rsid w:val="00093AA8"/>
    <w:rsid w:val="00097FC7"/>
    <w:rsid w:val="000A0D9A"/>
    <w:rsid w:val="000A4222"/>
    <w:rsid w:val="000A64C9"/>
    <w:rsid w:val="000B4A3B"/>
    <w:rsid w:val="000B7890"/>
    <w:rsid w:val="000E46F8"/>
    <w:rsid w:val="000F69AC"/>
    <w:rsid w:val="0011428C"/>
    <w:rsid w:val="00120774"/>
    <w:rsid w:val="00127D71"/>
    <w:rsid w:val="001440BC"/>
    <w:rsid w:val="001552BA"/>
    <w:rsid w:val="00164D05"/>
    <w:rsid w:val="00172498"/>
    <w:rsid w:val="0017326A"/>
    <w:rsid w:val="00185FCA"/>
    <w:rsid w:val="001A10D5"/>
    <w:rsid w:val="001B2D9F"/>
    <w:rsid w:val="001C4D7C"/>
    <w:rsid w:val="001C78D1"/>
    <w:rsid w:val="001D1313"/>
    <w:rsid w:val="001D51CE"/>
    <w:rsid w:val="001D68A6"/>
    <w:rsid w:val="001E50B1"/>
    <w:rsid w:val="001E5D19"/>
    <w:rsid w:val="00205996"/>
    <w:rsid w:val="00221FE1"/>
    <w:rsid w:val="00234093"/>
    <w:rsid w:val="002342A7"/>
    <w:rsid w:val="00241E85"/>
    <w:rsid w:val="0025125D"/>
    <w:rsid w:val="00264809"/>
    <w:rsid w:val="00264FA7"/>
    <w:rsid w:val="002719A6"/>
    <w:rsid w:val="002737FA"/>
    <w:rsid w:val="002767DE"/>
    <w:rsid w:val="00277E88"/>
    <w:rsid w:val="00280FB4"/>
    <w:rsid w:val="00293F67"/>
    <w:rsid w:val="002A1256"/>
    <w:rsid w:val="002A5E76"/>
    <w:rsid w:val="002C37EE"/>
    <w:rsid w:val="002E7D58"/>
    <w:rsid w:val="003071A8"/>
    <w:rsid w:val="00310463"/>
    <w:rsid w:val="00315B18"/>
    <w:rsid w:val="003204A3"/>
    <w:rsid w:val="00332CC0"/>
    <w:rsid w:val="00340DD5"/>
    <w:rsid w:val="00341661"/>
    <w:rsid w:val="003544C7"/>
    <w:rsid w:val="0035521C"/>
    <w:rsid w:val="00356AD1"/>
    <w:rsid w:val="00356C29"/>
    <w:rsid w:val="00366099"/>
    <w:rsid w:val="003946BB"/>
    <w:rsid w:val="003C7A68"/>
    <w:rsid w:val="003C7F52"/>
    <w:rsid w:val="003E35EB"/>
    <w:rsid w:val="003F225E"/>
    <w:rsid w:val="00401C36"/>
    <w:rsid w:val="004112D8"/>
    <w:rsid w:val="004147FC"/>
    <w:rsid w:val="00431541"/>
    <w:rsid w:val="00432927"/>
    <w:rsid w:val="004413C0"/>
    <w:rsid w:val="00460280"/>
    <w:rsid w:val="00463393"/>
    <w:rsid w:val="004B2394"/>
    <w:rsid w:val="004F3D6E"/>
    <w:rsid w:val="00503704"/>
    <w:rsid w:val="00503AB5"/>
    <w:rsid w:val="005054B3"/>
    <w:rsid w:val="0050679B"/>
    <w:rsid w:val="005121CE"/>
    <w:rsid w:val="005221BF"/>
    <w:rsid w:val="00544BC8"/>
    <w:rsid w:val="00546CAC"/>
    <w:rsid w:val="00560BE9"/>
    <w:rsid w:val="005627B8"/>
    <w:rsid w:val="00572F74"/>
    <w:rsid w:val="005847CE"/>
    <w:rsid w:val="005959C5"/>
    <w:rsid w:val="005A19FE"/>
    <w:rsid w:val="005A1F42"/>
    <w:rsid w:val="005D3040"/>
    <w:rsid w:val="005F526A"/>
    <w:rsid w:val="006009DD"/>
    <w:rsid w:val="006047A9"/>
    <w:rsid w:val="00610E52"/>
    <w:rsid w:val="00654EAE"/>
    <w:rsid w:val="0068209D"/>
    <w:rsid w:val="006906CE"/>
    <w:rsid w:val="00694110"/>
    <w:rsid w:val="006A1795"/>
    <w:rsid w:val="006A7FD9"/>
    <w:rsid w:val="006B0E99"/>
    <w:rsid w:val="006B6EC6"/>
    <w:rsid w:val="006F7269"/>
    <w:rsid w:val="006F776B"/>
    <w:rsid w:val="00700BEB"/>
    <w:rsid w:val="007057F1"/>
    <w:rsid w:val="00714233"/>
    <w:rsid w:val="00730A28"/>
    <w:rsid w:val="00733769"/>
    <w:rsid w:val="007617D9"/>
    <w:rsid w:val="0076276F"/>
    <w:rsid w:val="00767A82"/>
    <w:rsid w:val="007741FD"/>
    <w:rsid w:val="007767B3"/>
    <w:rsid w:val="007770E5"/>
    <w:rsid w:val="0077722E"/>
    <w:rsid w:val="00786CA2"/>
    <w:rsid w:val="007C7249"/>
    <w:rsid w:val="007E5CC0"/>
    <w:rsid w:val="007E62B9"/>
    <w:rsid w:val="007F1081"/>
    <w:rsid w:val="007F1A72"/>
    <w:rsid w:val="007F1CA5"/>
    <w:rsid w:val="00802E5F"/>
    <w:rsid w:val="00802F5B"/>
    <w:rsid w:val="0083565E"/>
    <w:rsid w:val="00843EE2"/>
    <w:rsid w:val="0084511A"/>
    <w:rsid w:val="0084702F"/>
    <w:rsid w:val="008504D0"/>
    <w:rsid w:val="0085468A"/>
    <w:rsid w:val="00860582"/>
    <w:rsid w:val="00862842"/>
    <w:rsid w:val="00866D5B"/>
    <w:rsid w:val="008739D7"/>
    <w:rsid w:val="00877E0B"/>
    <w:rsid w:val="00881AAF"/>
    <w:rsid w:val="0088606D"/>
    <w:rsid w:val="008B12A8"/>
    <w:rsid w:val="008B75BF"/>
    <w:rsid w:val="008C2921"/>
    <w:rsid w:val="008D0853"/>
    <w:rsid w:val="008D59C9"/>
    <w:rsid w:val="008D7FDF"/>
    <w:rsid w:val="008E6456"/>
    <w:rsid w:val="008F067E"/>
    <w:rsid w:val="008F08BA"/>
    <w:rsid w:val="008F4580"/>
    <w:rsid w:val="009021B9"/>
    <w:rsid w:val="0092132D"/>
    <w:rsid w:val="00930EDA"/>
    <w:rsid w:val="0094127C"/>
    <w:rsid w:val="00952EA1"/>
    <w:rsid w:val="00953D04"/>
    <w:rsid w:val="00956FF4"/>
    <w:rsid w:val="009608AB"/>
    <w:rsid w:val="0099066D"/>
    <w:rsid w:val="009918D0"/>
    <w:rsid w:val="009E2D13"/>
    <w:rsid w:val="009F2F6D"/>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90CD7"/>
    <w:rsid w:val="00A9487D"/>
    <w:rsid w:val="00AA3D8C"/>
    <w:rsid w:val="00AA5A00"/>
    <w:rsid w:val="00AB4082"/>
    <w:rsid w:val="00AD03BE"/>
    <w:rsid w:val="00AD3228"/>
    <w:rsid w:val="00AD493D"/>
    <w:rsid w:val="00AD6523"/>
    <w:rsid w:val="00AE7152"/>
    <w:rsid w:val="00AE7B73"/>
    <w:rsid w:val="00AE7DDE"/>
    <w:rsid w:val="00AF24DB"/>
    <w:rsid w:val="00AF2744"/>
    <w:rsid w:val="00AF68FC"/>
    <w:rsid w:val="00B019C0"/>
    <w:rsid w:val="00B04823"/>
    <w:rsid w:val="00B27AC0"/>
    <w:rsid w:val="00B304BF"/>
    <w:rsid w:val="00B541D0"/>
    <w:rsid w:val="00B55FD7"/>
    <w:rsid w:val="00B57579"/>
    <w:rsid w:val="00B71A81"/>
    <w:rsid w:val="00B931E8"/>
    <w:rsid w:val="00B94D94"/>
    <w:rsid w:val="00B97AA6"/>
    <w:rsid w:val="00B97B07"/>
    <w:rsid w:val="00BA2A62"/>
    <w:rsid w:val="00BB018E"/>
    <w:rsid w:val="00BB4316"/>
    <w:rsid w:val="00BC18F6"/>
    <w:rsid w:val="00BE27A8"/>
    <w:rsid w:val="00BF3AE2"/>
    <w:rsid w:val="00C01C10"/>
    <w:rsid w:val="00C066F7"/>
    <w:rsid w:val="00C13893"/>
    <w:rsid w:val="00C14EF6"/>
    <w:rsid w:val="00C2572E"/>
    <w:rsid w:val="00C3183B"/>
    <w:rsid w:val="00C50D78"/>
    <w:rsid w:val="00C5502D"/>
    <w:rsid w:val="00C552FE"/>
    <w:rsid w:val="00C733A7"/>
    <w:rsid w:val="00C76044"/>
    <w:rsid w:val="00C90ADF"/>
    <w:rsid w:val="00C92424"/>
    <w:rsid w:val="00CA1C98"/>
    <w:rsid w:val="00CA46FC"/>
    <w:rsid w:val="00CC11EF"/>
    <w:rsid w:val="00CC29B5"/>
    <w:rsid w:val="00CC2EAE"/>
    <w:rsid w:val="00CC32BF"/>
    <w:rsid w:val="00CC48B5"/>
    <w:rsid w:val="00CD319C"/>
    <w:rsid w:val="00D01D7E"/>
    <w:rsid w:val="00D13E6B"/>
    <w:rsid w:val="00D17A8D"/>
    <w:rsid w:val="00D21583"/>
    <w:rsid w:val="00D23F1E"/>
    <w:rsid w:val="00D35396"/>
    <w:rsid w:val="00D41466"/>
    <w:rsid w:val="00D45A7A"/>
    <w:rsid w:val="00D475A5"/>
    <w:rsid w:val="00D4785F"/>
    <w:rsid w:val="00D50D25"/>
    <w:rsid w:val="00D74302"/>
    <w:rsid w:val="00D776F3"/>
    <w:rsid w:val="00D843B6"/>
    <w:rsid w:val="00DA0C29"/>
    <w:rsid w:val="00DA1C22"/>
    <w:rsid w:val="00DC3EB4"/>
    <w:rsid w:val="00DD1464"/>
    <w:rsid w:val="00DE364B"/>
    <w:rsid w:val="00DF0522"/>
    <w:rsid w:val="00DF0DB6"/>
    <w:rsid w:val="00DF7AA8"/>
    <w:rsid w:val="00E11589"/>
    <w:rsid w:val="00E51BAE"/>
    <w:rsid w:val="00E54136"/>
    <w:rsid w:val="00E5549F"/>
    <w:rsid w:val="00E60847"/>
    <w:rsid w:val="00E60D10"/>
    <w:rsid w:val="00EA1C4B"/>
    <w:rsid w:val="00EA42DE"/>
    <w:rsid w:val="00EA7DD2"/>
    <w:rsid w:val="00EB7353"/>
    <w:rsid w:val="00EC33FB"/>
    <w:rsid w:val="00ED3A7E"/>
    <w:rsid w:val="00EE122C"/>
    <w:rsid w:val="00EF5FBC"/>
    <w:rsid w:val="00F00141"/>
    <w:rsid w:val="00F10E1A"/>
    <w:rsid w:val="00F258ED"/>
    <w:rsid w:val="00F307AE"/>
    <w:rsid w:val="00F340AA"/>
    <w:rsid w:val="00F40195"/>
    <w:rsid w:val="00F42FCA"/>
    <w:rsid w:val="00F56543"/>
    <w:rsid w:val="00F57D99"/>
    <w:rsid w:val="00F60831"/>
    <w:rsid w:val="00F7317D"/>
    <w:rsid w:val="00F7698A"/>
    <w:rsid w:val="00F8107B"/>
    <w:rsid w:val="00F83AFE"/>
    <w:rsid w:val="00F91F38"/>
    <w:rsid w:val="00F977DA"/>
    <w:rsid w:val="00FC0A44"/>
    <w:rsid w:val="00FC5A78"/>
    <w:rsid w:val="00FC5FF4"/>
    <w:rsid w:val="00FD0159"/>
    <w:rsid w:val="00FD48F8"/>
    <w:rsid w:val="00FD710B"/>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ex/Documents/Psychologie/Masterarbeit/Masterarbeit/Literatur/Framing/The%20framing%20of%20financial%20windfalls%20and%20implications%20for%20public%20policy.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11633</Words>
  <Characters>66309</Characters>
  <Application>Microsoft Office Word</Application>
  <DocSecurity>0</DocSecurity>
  <Lines>552</Lines>
  <Paragraphs>155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27</cp:revision>
  <dcterms:created xsi:type="dcterms:W3CDTF">2022-07-15T05:59:00Z</dcterms:created>
  <dcterms:modified xsi:type="dcterms:W3CDTF">2022-07-24T14:03:00Z</dcterms:modified>
</cp:coreProperties>
</file>