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bookmarkStart w:id="0" w:name="_Hlk109899513"/>
      <w:bookmarkEnd w:id="0"/>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BF7F2C">
        <w:trPr>
          <w:gridAfter w:val="2"/>
          <w:wAfter w:w="567" w:type="dxa"/>
          <w:trHeight w:val="1232"/>
        </w:trPr>
        <w:tc>
          <w:tcPr>
            <w:tcW w:w="4786" w:type="dxa"/>
          </w:tcPr>
          <w:p w14:paraId="2F1EAE4F" w14:textId="77777777" w:rsidR="00B94D94" w:rsidRPr="0007569C" w:rsidRDefault="00B94D94" w:rsidP="00BF7F2C">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BF7F2C">
            <w:pPr>
              <w:spacing w:before="60" w:after="960"/>
              <w:rPr>
                <w:rFonts w:ascii="Arial" w:hAnsi="Arial" w:cs="Arial"/>
              </w:rPr>
            </w:pPr>
          </w:p>
        </w:tc>
      </w:tr>
      <w:tr w:rsidR="00B94D94" w:rsidRPr="0007569C" w14:paraId="4B2EEE73" w14:textId="77777777" w:rsidTr="00BF7F2C">
        <w:trPr>
          <w:gridAfter w:val="1"/>
          <w:wAfter w:w="415" w:type="dxa"/>
        </w:trPr>
        <w:tc>
          <w:tcPr>
            <w:tcW w:w="4938" w:type="dxa"/>
            <w:gridSpan w:val="2"/>
          </w:tcPr>
          <w:p w14:paraId="4A51383C" w14:textId="77777777" w:rsidR="00B94D94" w:rsidRPr="0007569C" w:rsidRDefault="00B94D94" w:rsidP="00BF7F2C">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BF7F2C">
        <w:trPr>
          <w:gridAfter w:val="2"/>
          <w:wAfter w:w="567" w:type="dxa"/>
        </w:trPr>
        <w:tc>
          <w:tcPr>
            <w:tcW w:w="4786" w:type="dxa"/>
          </w:tcPr>
          <w:p w14:paraId="627EA0E5" w14:textId="77777777" w:rsidR="00B94D94" w:rsidRPr="0007569C" w:rsidRDefault="00B94D94" w:rsidP="00BF7F2C">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BF7F2C">
        <w:trPr>
          <w:trHeight w:val="80"/>
        </w:trPr>
        <w:tc>
          <w:tcPr>
            <w:tcW w:w="4938" w:type="dxa"/>
            <w:gridSpan w:val="2"/>
          </w:tcPr>
          <w:p w14:paraId="439C5F46" w14:textId="77777777" w:rsidR="00B94D94" w:rsidRPr="0007569C" w:rsidRDefault="00B94D94" w:rsidP="00BF7F2C">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BF7F2C">
            <w:pPr>
              <w:spacing w:before="60" w:after="60"/>
              <w:rPr>
                <w:rFonts w:ascii="Arial" w:hAnsi="Arial" w:cs="Arial"/>
              </w:rPr>
            </w:pPr>
          </w:p>
          <w:p w14:paraId="4FE177B5" w14:textId="77777777" w:rsidR="00B94D94" w:rsidRPr="0007569C" w:rsidRDefault="00B94D94" w:rsidP="00BF7F2C">
            <w:pPr>
              <w:spacing w:before="60" w:after="60"/>
              <w:rPr>
                <w:rFonts w:ascii="Arial" w:hAnsi="Arial" w:cs="Arial"/>
              </w:rPr>
            </w:pPr>
          </w:p>
        </w:tc>
        <w:tc>
          <w:tcPr>
            <w:tcW w:w="6379" w:type="dxa"/>
            <w:gridSpan w:val="3"/>
          </w:tcPr>
          <w:p w14:paraId="17BA368B" w14:textId="77777777" w:rsidR="00B94D94" w:rsidRPr="0007569C" w:rsidRDefault="00B94D94" w:rsidP="00BF7F2C">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BF7F2C">
            <w:pPr>
              <w:spacing w:before="60" w:after="60"/>
              <w:rPr>
                <w:rFonts w:ascii="Arial" w:hAnsi="Arial" w:cs="Arial"/>
              </w:rPr>
            </w:pPr>
          </w:p>
          <w:p w14:paraId="5DCB3987" w14:textId="77462BFF" w:rsidR="008E6456" w:rsidRPr="0007569C" w:rsidRDefault="008E6456" w:rsidP="00BF7F2C">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1" w:name="_Toc109221692"/>
      <w:r>
        <w:lastRenderedPageBreak/>
        <w:t>Inhaltsverzeichnis</w:t>
      </w:r>
      <w:bookmarkEnd w:id="1"/>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2" w:name="_Toc109221693"/>
      <w:r>
        <w:lastRenderedPageBreak/>
        <w:t>Einleitung</w:t>
      </w:r>
      <w:bookmarkEnd w:id="2"/>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Dabei hat die Quelle von Geld, dessen Erwartbarkeit und Emotionen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3" w:name="_Toc109221694"/>
      <w:bookmarkStart w:id="4" w:name="_Hlk109299850"/>
      <w:r>
        <w:lastRenderedPageBreak/>
        <w:t>Theoretischer Hintergrund</w:t>
      </w:r>
      <w:bookmarkEnd w:id="3"/>
    </w:p>
    <w:p w14:paraId="79DA2659" w14:textId="62C25F18" w:rsidR="00F56543" w:rsidRPr="00F56543" w:rsidRDefault="00F56543" w:rsidP="00AF24DB">
      <w:pPr>
        <w:pStyle w:val="berschrift2"/>
        <w:spacing w:line="360" w:lineRule="auto"/>
        <w:jc w:val="both"/>
      </w:pPr>
      <w:bookmarkStart w:id="5" w:name="_Toc109221695"/>
      <w:r>
        <w:t>Mental Accounting</w:t>
      </w:r>
      <w:bookmarkEnd w:id="5"/>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6" w:name="_Toc109221696"/>
      <w:r w:rsidRPr="00460280">
        <w:rPr>
          <w:lang w:val="de-DE"/>
        </w:rPr>
        <w:t>Mental Accounting und Kategorisierung</w:t>
      </w:r>
      <w:bookmarkEnd w:id="6"/>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7" w:name="_Toc109221697"/>
      <w:r w:rsidRPr="0083565E">
        <w:rPr>
          <w:lang w:val="de-DE"/>
        </w:rPr>
        <w:t xml:space="preserve">Mental Accounting und </w:t>
      </w:r>
      <w:bookmarkEnd w:id="7"/>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8" w:name="_Toc109221698"/>
      <w:r w:rsidRPr="00A7165B">
        <w:rPr>
          <w:lang w:val="de-DE"/>
        </w:rPr>
        <w:t>Mental Accounting und Fungibilität</w:t>
      </w:r>
      <w:bookmarkEnd w:id="8"/>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9" w:name="_Toc109221699"/>
      <w:r w:rsidRPr="007057F1">
        <w:rPr>
          <w:lang w:val="de-DE"/>
        </w:rPr>
        <w:t>Mental Accounting und Framing</w:t>
      </w:r>
      <w:bookmarkEnd w:id="9"/>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mit der Geld ausgegeben wird, sondern auch wofür es ausgegeben wird, hängt von der Einkommensquelle ab. </w:t>
      </w:r>
    </w:p>
    <w:p w14:paraId="261FF42F" w14:textId="68CA5B1D"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 xml:space="preserve">mit der dieses Geld investiert wird (Trump et al. 2015). Eigenes Geld, oder Geld einer Freundin wird weniger riskant investiert als Geld eines Fremden (Trump et al. 2015). Dieser Effekt konnte jedoch nur für riskante Optionen mit einem hohen Geldwert nachgewiesen werden. </w:t>
      </w:r>
      <w:r w:rsidR="006A47A0">
        <w:rPr>
          <w:rFonts w:ascii="Arial" w:hAnsi="Arial" w:cs="Arial"/>
          <w:sz w:val="24"/>
          <w:szCs w:val="24"/>
        </w:rPr>
        <w:t>D</w:t>
      </w:r>
      <w:r w:rsidR="007057F1">
        <w:rPr>
          <w:rFonts w:ascii="Arial" w:hAnsi="Arial" w:cs="Arial"/>
          <w:sz w:val="24"/>
          <w:szCs w:val="24"/>
        </w:rPr>
        <w:t xml:space="preserve">ie Quelle von Geld </w:t>
      </w:r>
      <w:r w:rsidR="006A47A0">
        <w:rPr>
          <w:rFonts w:ascii="Arial" w:hAnsi="Arial" w:cs="Arial"/>
          <w:sz w:val="24"/>
          <w:szCs w:val="24"/>
        </w:rPr>
        <w:t xml:space="preserve">wird </w:t>
      </w:r>
      <w:r w:rsidR="007057F1">
        <w:rPr>
          <w:rFonts w:ascii="Arial" w:hAnsi="Arial" w:cs="Arial"/>
          <w:sz w:val="24"/>
          <w:szCs w:val="24"/>
        </w:rPr>
        <w:t xml:space="preserve">in Bezug zu sich selbst gesetzt, wenn ein mentaler Account eröffnet wird (Trump et al. 2015). Weiters kann dadurch eine Erklärung für den </w:t>
      </w:r>
      <w:proofErr w:type="spellStart"/>
      <w:r w:rsidR="007057F1" w:rsidRPr="006A47A0">
        <w:rPr>
          <w:rFonts w:ascii="Arial" w:hAnsi="Arial" w:cs="Arial"/>
          <w:i/>
          <w:sz w:val="24"/>
          <w:szCs w:val="24"/>
        </w:rPr>
        <w:t>house</w:t>
      </w:r>
      <w:proofErr w:type="spellEnd"/>
      <w:r w:rsidR="007057F1" w:rsidRPr="006A47A0">
        <w:rPr>
          <w:rFonts w:ascii="Arial" w:hAnsi="Arial" w:cs="Arial"/>
          <w:i/>
          <w:sz w:val="24"/>
          <w:szCs w:val="24"/>
        </w:rPr>
        <w:t xml:space="preserve"> </w:t>
      </w:r>
      <w:proofErr w:type="spellStart"/>
      <w:r w:rsidR="007057F1" w:rsidRPr="006A47A0">
        <w:rPr>
          <w:rFonts w:ascii="Arial" w:hAnsi="Arial" w:cs="Arial"/>
          <w:i/>
          <w:sz w:val="24"/>
          <w:szCs w:val="24"/>
        </w:rPr>
        <w:t>money</w:t>
      </w:r>
      <w:proofErr w:type="spellEnd"/>
      <w:r w:rsidR="007057F1" w:rsidRPr="006A47A0">
        <w:rPr>
          <w:rFonts w:ascii="Arial" w:hAnsi="Arial" w:cs="Arial"/>
          <w:i/>
          <w:sz w:val="24"/>
          <w:szCs w:val="24"/>
        </w:rPr>
        <w:t xml:space="preserve"> </w:t>
      </w:r>
      <w:proofErr w:type="spellStart"/>
      <w:r w:rsidR="007057F1" w:rsidRPr="006A47A0">
        <w:rPr>
          <w:rFonts w:ascii="Arial" w:hAnsi="Arial" w:cs="Arial"/>
          <w:i/>
          <w:sz w:val="24"/>
          <w:szCs w:val="24"/>
        </w:rPr>
        <w:t>effect</w:t>
      </w:r>
      <w:proofErr w:type="spellEnd"/>
      <w:r w:rsidR="007057F1">
        <w:rPr>
          <w:rFonts w:ascii="Arial" w:hAnsi="Arial" w:cs="Arial"/>
          <w:sz w:val="24"/>
          <w:szCs w:val="24"/>
        </w:rPr>
        <w:t xml:space="preserve">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gelten,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Pr="006A47A0" w:rsidRDefault="007F1A72" w:rsidP="00AF24DB">
      <w:pPr>
        <w:pStyle w:val="berschrift3"/>
        <w:spacing w:line="360" w:lineRule="auto"/>
        <w:jc w:val="both"/>
        <w:rPr>
          <w:lang w:val="de-DE"/>
        </w:rPr>
      </w:pPr>
      <w:bookmarkStart w:id="10" w:name="_Toc109221700"/>
      <w:r w:rsidRPr="006A47A0">
        <w:rPr>
          <w:lang w:val="de-DE"/>
        </w:rPr>
        <w:t xml:space="preserve">Mental Accounting und Windfall </w:t>
      </w:r>
      <w:proofErr w:type="spellStart"/>
      <w:r w:rsidRPr="006A47A0">
        <w:rPr>
          <w:lang w:val="de-DE"/>
        </w:rPr>
        <w:t>Gains</w:t>
      </w:r>
      <w:bookmarkEnd w:id="10"/>
      <w:proofErr w:type="spellEnd"/>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6A47A0">
        <w:rPr>
          <w:rFonts w:ascii="Arial" w:hAnsi="Arial" w:cs="Arial"/>
          <w:sz w:val="24"/>
          <w:szCs w:val="24"/>
          <w:lang w:val="de-DE"/>
        </w:rPr>
        <w:t>Arkes</w:t>
      </w:r>
      <w:proofErr w:type="spellEnd"/>
      <w:r w:rsidRPr="006A47A0">
        <w:rPr>
          <w:rFonts w:ascii="Arial" w:hAnsi="Arial" w:cs="Arial"/>
          <w:sz w:val="24"/>
          <w:szCs w:val="24"/>
          <w:lang w:val="de-DE"/>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1" w:name="_Hlk108520528"/>
      <w:r>
        <w:rPr>
          <w:rFonts w:ascii="Arial" w:hAnsi="Arial" w:cs="Arial"/>
          <w:sz w:val="24"/>
          <w:szCs w:val="24"/>
          <w:lang w:val="de-DE"/>
        </w:rPr>
        <w:t>dass eher riskantere Wetten akzeptiert</w:t>
      </w:r>
      <w:bookmarkEnd w:id="11"/>
      <w:r>
        <w:rPr>
          <w:rFonts w:ascii="Arial" w:hAnsi="Arial" w:cs="Arial"/>
          <w:sz w:val="24"/>
          <w:szCs w:val="24"/>
          <w:lang w:val="de-DE"/>
        </w:rPr>
        <w:t xml:space="preserve"> werden, wenn zuvor Geld gewonnen wurde (</w:t>
      </w:r>
      <w:bookmarkStart w:id="12" w:name="_Hlk108520543"/>
      <w:r>
        <w:rPr>
          <w:rFonts w:ascii="Arial" w:hAnsi="Arial" w:cs="Arial"/>
          <w:sz w:val="24"/>
          <w:szCs w:val="24"/>
          <w:lang w:val="de-DE"/>
        </w:rPr>
        <w:t>Thaler &amp; Johnson, 1990</w:t>
      </w:r>
      <w:bookmarkEnd w:id="12"/>
      <w:r>
        <w:rPr>
          <w:rFonts w:ascii="Arial" w:hAnsi="Arial" w:cs="Arial"/>
          <w:sz w:val="24"/>
          <w:szCs w:val="24"/>
          <w:lang w:val="de-DE"/>
        </w:rPr>
        <w:t xml:space="preserve">). Dieser Effekt wurde als </w:t>
      </w:r>
      <w:bookmarkStart w:id="13"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3"/>
      <w:r>
        <w:rPr>
          <w:rFonts w:ascii="Arial" w:hAnsi="Arial" w:cs="Arial"/>
          <w:sz w:val="24"/>
          <w:szCs w:val="24"/>
          <w:lang w:val="de-DE"/>
        </w:rPr>
        <w:t xml:space="preserve"> bekannt. </w:t>
      </w:r>
      <w:bookmarkStart w:id="14"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4"/>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5" w:name="_Toc109221702"/>
      <w:r w:rsidRPr="00EE122C">
        <w:rPr>
          <w:lang w:val="de-DE"/>
        </w:rPr>
        <w:t xml:space="preserve">Mental Accounting und </w:t>
      </w:r>
      <w:proofErr w:type="spellStart"/>
      <w:r w:rsidRPr="00EE122C">
        <w:rPr>
          <w:lang w:val="de-DE"/>
        </w:rPr>
        <w:t>Bracketing</w:t>
      </w:r>
      <w:bookmarkEnd w:id="15"/>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6" w:name="_Hlk108875389"/>
      <w:r>
        <w:rPr>
          <w:rFonts w:ascii="Arial" w:hAnsi="Arial" w:cs="Arial"/>
          <w:sz w:val="24"/>
          <w:szCs w:val="24"/>
        </w:rPr>
        <w:t>Anlagestrategien</w:t>
      </w:r>
      <w:bookmarkEnd w:id="16"/>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7" w:name="_Toc109221704"/>
      <w:r>
        <w:t>Mental Accounting und der Finanzmarkt</w:t>
      </w:r>
      <w:bookmarkEnd w:id="17"/>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8"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9" w:name="_Hlk108520824"/>
      <w:bookmarkEnd w:id="18"/>
      <w:r>
        <w:rPr>
          <w:rFonts w:ascii="Arial" w:hAnsi="Arial" w:cs="Arial"/>
          <w:sz w:val="24"/>
          <w:szCs w:val="24"/>
          <w:lang w:val="de-DE"/>
        </w:rPr>
        <w:t xml:space="preserve">Ein häufiger Fehler der Investoren passiert, </w:t>
      </w:r>
      <w:bookmarkStart w:id="20" w:name="_Hlk108522071"/>
      <w:r>
        <w:rPr>
          <w:rFonts w:ascii="Arial" w:hAnsi="Arial" w:cs="Arial"/>
          <w:sz w:val="24"/>
          <w:szCs w:val="24"/>
          <w:lang w:val="de-DE"/>
        </w:rPr>
        <w:t>ist das Gewinne zu lange gehalten werden, während Verluste zu früh verkauft werden</w:t>
      </w:r>
      <w:bookmarkEnd w:id="20"/>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9"/>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1" w:name="_Hlk108521741"/>
      <w:r>
        <w:rPr>
          <w:rFonts w:ascii="Arial" w:hAnsi="Arial" w:cs="Arial"/>
          <w:sz w:val="24"/>
          <w:szCs w:val="24"/>
          <w:lang w:val="de-DE"/>
        </w:rPr>
        <w:t>die zurzeit im Verlustbereich ist, wird eher nicht verkauft wird, da das Potential besteht, dass diese wieder ertragreich wird</w:t>
      </w:r>
      <w:bookmarkEnd w:id="21"/>
      <w:r>
        <w:rPr>
          <w:rFonts w:ascii="Arial" w:hAnsi="Arial" w:cs="Arial"/>
          <w:sz w:val="24"/>
          <w:szCs w:val="24"/>
          <w:lang w:val="de-DE"/>
        </w:rPr>
        <w:t>, auch wenn damit ein hohes Risiko einhergeht, dass diese Investition noch mehr an Wert verliert</w:t>
      </w:r>
      <w:bookmarkStart w:id="22"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3"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xml:space="preserve">. </w:t>
      </w:r>
      <w:bookmarkEnd w:id="22"/>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4"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4"/>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5" w:name="_Toc109221701"/>
      <w:r w:rsidRPr="00D50D25">
        <w:rPr>
          <w:lang w:val="de-DE"/>
        </w:rPr>
        <w:t>Moral</w:t>
      </w:r>
      <w:r w:rsidR="005F526A" w:rsidRPr="00D50D25">
        <w:rPr>
          <w:lang w:val="de-DE"/>
        </w:rPr>
        <w:t>isches und emotionales</w:t>
      </w:r>
      <w:r w:rsidRPr="00D50D25">
        <w:rPr>
          <w:lang w:val="de-DE"/>
        </w:rPr>
        <w:t xml:space="preserve"> Accounting</w:t>
      </w:r>
      <w:bookmarkEnd w:id="25"/>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4"/>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6"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mit der Geld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mit der Gewinne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A5F6C07"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Das Wort „eher“ wird für die Hypothesen definiert als, über die Hälfte des zur Verfügung stehenden Geldes für diese Alternative.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650B352F"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7" w:name="_Hlk108533088"/>
      <w:bookmarkEnd w:id="26"/>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8" w:name="_Hlk108533465"/>
      <w:bookmarkEnd w:id="27"/>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8"/>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bookmarkStart w:id="29" w:name="_Hlk109827606"/>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bookmarkEnd w:id="29"/>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9172516" w:rsidR="00B27AC0" w:rsidRPr="007617D9" w:rsidRDefault="00B27AC0" w:rsidP="00AF24DB">
      <w:pPr>
        <w:spacing w:line="360" w:lineRule="auto"/>
        <w:jc w:val="both"/>
        <w:rPr>
          <w:rFonts w:ascii="Arial" w:hAnsi="Arial" w:cs="Arial"/>
          <w:i/>
          <w:sz w:val="24"/>
          <w:szCs w:val="24"/>
        </w:rPr>
      </w:pPr>
      <w:bookmarkStart w:id="30" w:name="_Hlk109827610"/>
      <w:r w:rsidRPr="007617D9">
        <w:rPr>
          <w:rFonts w:ascii="Arial" w:hAnsi="Arial" w:cs="Arial"/>
          <w:i/>
          <w:sz w:val="24"/>
          <w:szCs w:val="24"/>
        </w:rPr>
        <w:t xml:space="preserve">Hypothese </w:t>
      </w:r>
      <w:r w:rsidR="00682CB7" w:rsidRPr="00682CB7">
        <w:rPr>
          <w:rFonts w:ascii="Arial" w:hAnsi="Arial" w:cs="Arial"/>
          <w:i/>
          <w:sz w:val="24"/>
          <w:szCs w:val="24"/>
          <w:lang w:val="de-DE"/>
        </w:rPr>
        <w:t>2</w:t>
      </w:r>
      <w:r w:rsidRPr="007617D9">
        <w:rPr>
          <w:rFonts w:ascii="Arial" w:hAnsi="Arial" w:cs="Arial"/>
          <w:i/>
          <w:sz w:val="24"/>
          <w:szCs w:val="24"/>
        </w:rPr>
        <w:t>b: Lotteriegewinn</w:t>
      </w:r>
      <w:r w:rsidR="00577AA2" w:rsidRPr="00577AA2">
        <w:rPr>
          <w:rFonts w:ascii="Arial" w:hAnsi="Arial" w:cs="Arial"/>
          <w:i/>
          <w:sz w:val="24"/>
          <w:szCs w:val="24"/>
          <w:lang w:val="de-DE"/>
        </w:rPr>
        <w:t>e</w:t>
      </w:r>
      <w:r w:rsidRPr="007617D9">
        <w:rPr>
          <w:rFonts w:ascii="Arial" w:hAnsi="Arial" w:cs="Arial"/>
          <w:i/>
          <w:sz w:val="24"/>
          <w:szCs w:val="24"/>
        </w:rPr>
        <w:t xml:space="preserve"> w</w:t>
      </w:r>
      <w:r w:rsidR="00577AA2" w:rsidRPr="00577AA2">
        <w:rPr>
          <w:rFonts w:ascii="Arial" w:hAnsi="Arial" w:cs="Arial"/>
          <w:i/>
          <w:sz w:val="24"/>
          <w:szCs w:val="24"/>
          <w:lang w:val="de-DE"/>
        </w:rPr>
        <w:t>e</w:t>
      </w:r>
      <w:r w:rsidRPr="007617D9">
        <w:rPr>
          <w:rFonts w:ascii="Arial" w:hAnsi="Arial" w:cs="Arial"/>
          <w:i/>
          <w:sz w:val="24"/>
          <w:szCs w:val="24"/>
        </w:rPr>
        <w:t>rd</w:t>
      </w:r>
      <w:r w:rsidR="00577AA2" w:rsidRPr="00577AA2">
        <w:rPr>
          <w:rFonts w:ascii="Arial" w:hAnsi="Arial" w:cs="Arial"/>
          <w:i/>
          <w:sz w:val="24"/>
          <w:szCs w:val="24"/>
          <w:lang w:val="de-DE"/>
        </w:rPr>
        <w:t>en</w:t>
      </w:r>
      <w:r w:rsidRPr="007617D9">
        <w:rPr>
          <w:rFonts w:ascii="Arial" w:hAnsi="Arial" w:cs="Arial"/>
          <w:i/>
          <w:sz w:val="24"/>
          <w:szCs w:val="24"/>
        </w:rPr>
        <w:t xml:space="preserve"> riskanter investiert als Erspartes.</w:t>
      </w:r>
    </w:p>
    <w:bookmarkEnd w:id="30"/>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74E0BFB3" w:rsidR="00F8107B" w:rsidRPr="007617D9" w:rsidRDefault="0099066D" w:rsidP="00AF24DB">
      <w:pPr>
        <w:spacing w:line="360" w:lineRule="auto"/>
        <w:jc w:val="both"/>
        <w:rPr>
          <w:rFonts w:ascii="Arial" w:hAnsi="Arial" w:cs="Arial"/>
          <w:i/>
          <w:iCs/>
          <w:sz w:val="24"/>
          <w:szCs w:val="24"/>
        </w:rPr>
      </w:pPr>
      <w:bookmarkStart w:id="31" w:name="_Hlk109827613"/>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Erbschaft</w:t>
      </w:r>
      <w:r w:rsidR="00577AA2">
        <w:rPr>
          <w:rFonts w:ascii="Arial" w:hAnsi="Arial" w:cs="Arial"/>
          <w:i/>
          <w:iCs/>
          <w:sz w:val="24"/>
          <w:szCs w:val="24"/>
          <w:lang w:val="de-DE"/>
        </w:rPr>
        <w:t>en</w:t>
      </w:r>
      <w:r w:rsidRPr="0099066D">
        <w:rPr>
          <w:rFonts w:ascii="Arial" w:hAnsi="Arial" w:cs="Arial"/>
          <w:i/>
          <w:iCs/>
          <w:sz w:val="24"/>
          <w:szCs w:val="24"/>
          <w:lang w:val="de-DE"/>
        </w:rPr>
        <w:t xml:space="preserve"> w</w:t>
      </w:r>
      <w:r w:rsidR="00577AA2">
        <w:rPr>
          <w:rFonts w:ascii="Arial" w:hAnsi="Arial" w:cs="Arial"/>
          <w:i/>
          <w:iCs/>
          <w:sz w:val="24"/>
          <w:szCs w:val="24"/>
          <w:lang w:val="de-DE"/>
        </w:rPr>
        <w:t>e</w:t>
      </w:r>
      <w:r w:rsidRPr="0099066D">
        <w:rPr>
          <w:rFonts w:ascii="Arial" w:hAnsi="Arial" w:cs="Arial"/>
          <w:i/>
          <w:iCs/>
          <w:sz w:val="24"/>
          <w:szCs w:val="24"/>
          <w:lang w:val="de-DE"/>
        </w:rPr>
        <w:t>rd</w:t>
      </w:r>
      <w:r w:rsidR="00577AA2">
        <w:rPr>
          <w:rFonts w:ascii="Arial" w:hAnsi="Arial" w:cs="Arial"/>
          <w:i/>
          <w:iCs/>
          <w:sz w:val="24"/>
          <w:szCs w:val="24"/>
          <w:lang w:val="de-DE"/>
        </w:rPr>
        <w:t>en</w:t>
      </w:r>
      <w:r w:rsidRPr="0099066D">
        <w:rPr>
          <w:rFonts w:ascii="Arial" w:hAnsi="Arial" w:cs="Arial"/>
          <w:i/>
          <w:iCs/>
          <w:sz w:val="24"/>
          <w:szCs w:val="24"/>
          <w:lang w:val="de-DE"/>
        </w:rPr>
        <w:t xml:space="preserve"> genauso riskant investiert wie Erspartes.</w:t>
      </w:r>
    </w:p>
    <w:bookmarkEnd w:id="31"/>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t>
      </w:r>
      <w:r w:rsidR="0035521C">
        <w:rPr>
          <w:rFonts w:ascii="Arial" w:hAnsi="Arial" w:cs="Arial"/>
          <w:sz w:val="24"/>
          <w:szCs w:val="24"/>
        </w:rPr>
        <w:lastRenderedPageBreak/>
        <w:t xml:space="preserve">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32"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lastRenderedPageBreak/>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609ECE63"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 xml:space="preserve">a: </w:t>
      </w:r>
      <w:r w:rsidR="002D5E40" w:rsidRPr="00BB3597">
        <w:rPr>
          <w:rFonts w:ascii="Arial" w:hAnsi="Arial" w:cs="Arial"/>
          <w:i/>
          <w:iCs/>
          <w:sz w:val="24"/>
          <w:szCs w:val="24"/>
          <w:lang w:val="de-DE"/>
        </w:rPr>
        <w:t xml:space="preserve">Die Investition in die riskante Alternative in Gruppe A unterscheidet sich signifikant von der Investition in die riskante Alternative in </w:t>
      </w:r>
      <w:r w:rsidR="002D5E40">
        <w:rPr>
          <w:rFonts w:ascii="Arial" w:hAnsi="Arial" w:cs="Arial"/>
          <w:i/>
          <w:iCs/>
          <w:sz w:val="24"/>
          <w:szCs w:val="24"/>
          <w:lang w:val="de-DE"/>
        </w:rPr>
        <w:t>Gruppe B</w:t>
      </w:r>
      <w:r w:rsidR="002D5E40" w:rsidRPr="00BB3597">
        <w:rPr>
          <w:rFonts w:ascii="Arial" w:hAnsi="Arial" w:cs="Arial"/>
          <w:i/>
          <w:iCs/>
          <w:sz w:val="24"/>
          <w:szCs w:val="24"/>
          <w:lang w:val="de-DE"/>
        </w:rPr>
        <w:t>.</w:t>
      </w:r>
    </w:p>
    <w:p w14:paraId="5ED76733" w14:textId="6963451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auszugehen ist,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32"/>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lastRenderedPageBreak/>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(Faul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w:t>
      </w:r>
      <w:r>
        <w:rPr>
          <w:rFonts w:ascii="Arial" w:hAnsi="Arial" w:cs="Arial"/>
          <w:sz w:val="24"/>
          <w:szCs w:val="24"/>
          <w:lang w:val="de-DE"/>
        </w:rPr>
        <w:lastRenderedPageBreak/>
        <w:t xml:space="preserve">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r>
        <w:t>Vorgehen</w:t>
      </w:r>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w:t>
      </w:r>
      <w:r w:rsidR="00333F06" w:rsidRPr="00333F06">
        <w:rPr>
          <w:rFonts w:ascii="Arial" w:hAnsi="Arial" w:cs="Arial"/>
          <w:sz w:val="24"/>
          <w:szCs w:val="24"/>
        </w:rPr>
        <w:lastRenderedPageBreak/>
        <w:t xml:space="preserve">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r>
        <w:t>Stichprobenbeschreibung</w:t>
      </w:r>
    </w:p>
    <w:p w14:paraId="5935FBBF" w14:textId="2A1CBB42"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Studienteilnehmer*innen.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w:t>
      </w:r>
      <w:r w:rsidR="003E35EB">
        <w:rPr>
          <w:rFonts w:ascii="Arial" w:hAnsi="Arial" w:cs="Arial"/>
          <w:sz w:val="24"/>
          <w:szCs w:val="24"/>
        </w:rPr>
        <w:lastRenderedPageBreak/>
        <w:t xml:space="preserve">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rekrutierten Studienteilnehmer*innen selbst eine Studie für ein geisteswissenschaftliches Studium durchführen. Geisteswissenschaftliche Studien weißen in etwa die Geschlechterverteilung auf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20 – 29 Jahre ist ein typisches Alter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lastRenderedPageBreak/>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r>
        <w:lastRenderedPageBreak/>
        <w:t>Umgang mit fehlenden Daten</w:t>
      </w:r>
      <w:r w:rsidR="00956FF4">
        <w:t xml:space="preserve"> und Qualitätssicherung</w:t>
      </w:r>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wurde,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r>
        <w:t>Operationalisierung der Variablen und Messinstrumente</w:t>
      </w:r>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r>
        <w:rPr>
          <w:lang w:val="de-DE"/>
        </w:rPr>
        <w:t>Ergebnisse</w:t>
      </w:r>
    </w:p>
    <w:p w14:paraId="25B04DA3" w14:textId="0690A9EB"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 xml:space="preserve">Um einen Überblick 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r>
        <w:rPr>
          <w:lang w:val="de-DE"/>
        </w:rPr>
        <w:t>Darstellung der erhobenen Daten</w:t>
      </w:r>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w:t>
      </w:r>
      <w:r w:rsidR="00F514DD">
        <w:rPr>
          <w:rFonts w:ascii="Arial" w:hAnsi="Arial" w:cs="Arial"/>
          <w:sz w:val="24"/>
          <w:szCs w:val="24"/>
          <w:lang w:val="de-DE"/>
        </w:rPr>
        <w:lastRenderedPageBreak/>
        <w:t xml:space="preserve">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lastRenderedPageBreak/>
        <w:t xml:space="preserve">Die Ergebnisse der Auswertung der Risikoskala wird 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bookmarkStart w:id="33" w:name="_Hlk109895858"/>
      <w:r w:rsidRPr="00B96172">
        <w:rPr>
          <w:rStyle w:val="berschrift2Zchn"/>
        </w:rPr>
        <w:lastRenderedPageBreak/>
        <w:t xml:space="preserve">Auswertung </w:t>
      </w:r>
      <w:r>
        <w:rPr>
          <w:lang w:val="de-DE"/>
        </w:rPr>
        <w:t>von Hypothese 1</w:t>
      </w:r>
    </w:p>
    <w:p w14:paraId="6BA587E9" w14:textId="7A2EF6CD"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Einstichproben t-Test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r>
        <w:rPr>
          <w:lang w:val="de-DE"/>
        </w:rPr>
        <w:t>Hypothese 1a</w:t>
      </w:r>
    </w:p>
    <w:p w14:paraId="6BCD552D" w14:textId="2A8DCB41" w:rsidR="00667A1F" w:rsidRPr="0027713C" w:rsidRDefault="00C3523C" w:rsidP="00AF24DB">
      <w:pPr>
        <w:spacing w:line="360" w:lineRule="auto"/>
        <w:jc w:val="both"/>
        <w:rPr>
          <w:rFonts w:ascii="Arial" w:hAnsi="Arial" w:cs="Arial"/>
          <w:sz w:val="24"/>
          <w:szCs w:val="24"/>
        </w:rPr>
      </w:pPr>
      <w:r>
        <w:rPr>
          <w:rFonts w:ascii="Arial" w:hAnsi="Arial" w:cs="Arial"/>
          <w:sz w:val="24"/>
          <w:szCs w:val="24"/>
          <w:lang w:val="de-DE"/>
        </w:rPr>
        <w:t xml:space="preserve">Für Hypothese 1a kann die </w:t>
      </w:r>
      <w:r w:rsidR="00E026D9">
        <w:rPr>
          <w:rFonts w:ascii="Arial" w:hAnsi="Arial" w:cs="Arial"/>
          <w:sz w:val="24"/>
          <w:szCs w:val="24"/>
          <w:lang w:val="de-DE"/>
        </w:rPr>
        <w:t>Nullhypothese (es gibt eine Normalverteilung) nicht verworfen werden</w:t>
      </w:r>
      <w:r>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Jedoch ist ein Einstichproben t-Test relativ robust auch für nicht-normalverteilte Daten (</w:t>
      </w:r>
      <w:r w:rsidR="00014860">
        <w:rPr>
          <w:rFonts w:ascii="Arial" w:hAnsi="Arial" w:cs="Arial"/>
          <w:sz w:val="24"/>
          <w:szCs w:val="24"/>
          <w:lang w:val="de-DE"/>
        </w:rPr>
        <w:t>Bortz &amp; Schuster, 2010</w:t>
      </w:r>
      <w:r w:rsidR="00AB2DC8">
        <w:rPr>
          <w:rFonts w:ascii="Arial" w:hAnsi="Arial" w:cs="Arial"/>
          <w:sz w:val="24"/>
          <w:szCs w:val="24"/>
          <w:lang w:val="de-DE"/>
        </w:rPr>
        <w:t>), wenn die Stichprobengröße 30 Personen übersteigt. Da dies hier der Fall ist, wird zunächst ein Einstichproben t-Test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noProof/>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noProof/>
          <w:sz w:val="24"/>
          <w:szCs w:val="24"/>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w:t>
      </w:r>
      <w:r w:rsidR="00C86B34">
        <w:rPr>
          <w:rFonts w:ascii="Arial" w:hAnsi="Arial" w:cs="Arial"/>
          <w:sz w:val="24"/>
          <w:szCs w:val="24"/>
          <w:lang w:val="de-DE"/>
        </w:rPr>
        <w:lastRenderedPageBreak/>
        <w:t xml:space="preserve">abweicht. Abbildung X und Y zeigen die Ergebnisse des Einstichproben t-Tests für 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w:t>
      </w:r>
      <w:r w:rsidR="006D1F63">
        <w:rPr>
          <w:rFonts w:ascii="Arial" w:hAnsi="Arial" w:cs="Arial"/>
          <w:sz w:val="24"/>
          <w:szCs w:val="24"/>
          <w:lang w:val="de-DE"/>
        </w:rPr>
        <w:t xml:space="preserve">vergleicht die Abweichung von einem angenommenen Median (5000€ für Gruppe A, 15000€ für Gruppe B) (siehe Abbildung 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lastRenderedPageBreak/>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rPr>
      </w:pPr>
      <w:r w:rsidRPr="004D03FF">
        <w:rPr>
          <w:rFonts w:ascii="Times New Roman" w:hAnsi="Times New Roman" w:cs="Times New Roman"/>
          <w:noProof/>
          <w:sz w:val="24"/>
          <w:szCs w:val="24"/>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rPr>
      </w:pPr>
      <w:r w:rsidRPr="00014860">
        <w:rPr>
          <w:rFonts w:ascii="Times New Roman" w:hAnsi="Times New Roman" w:cs="Times New Roman"/>
          <w:sz w:val="24"/>
          <w:szCs w:val="24"/>
          <w:lang w:val="de-DE"/>
        </w:rPr>
        <w:t xml:space="preserve">Gruppe </w:t>
      </w:r>
      <w:r w:rsidR="00F75A43" w:rsidRPr="00014860">
        <w:rPr>
          <w:rFonts w:ascii="Times New Roman" w:hAnsi="Times New Roman" w:cs="Times New Roman"/>
          <w:sz w:val="24"/>
          <w:szCs w:val="24"/>
          <w:lang w:val="de-DE"/>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rPr>
      </w:pPr>
    </w:p>
    <w:p w14:paraId="0C6703C2" w14:textId="3D1442E2"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Gelds aus dieser Quelle.</w:t>
      </w:r>
      <w:r w:rsidR="00F75A43">
        <w:rPr>
          <w:rFonts w:ascii="Arial" w:hAnsi="Arial" w:cs="Arial"/>
          <w:sz w:val="24"/>
          <w:szCs w:val="24"/>
          <w:lang w:val="de-DE"/>
        </w:rPr>
        <w:t xml:space="preserve"> Dies gilt für beide Experimentalgruppen.</w:t>
      </w:r>
      <w:r w:rsidRPr="006D1F63">
        <w:rPr>
          <w:rFonts w:ascii="Arial" w:hAnsi="Arial" w:cs="Arial"/>
          <w:sz w:val="24"/>
          <w:szCs w:val="24"/>
          <w:lang w:val="de-DE"/>
        </w:rPr>
        <w:t xml:space="preserve"> Hypothese 1a kann somit nicht bestätigt werden. Ein </w:t>
      </w:r>
      <w:r w:rsidRPr="006D1F63">
        <w:rPr>
          <w:rFonts w:ascii="Arial" w:hAnsi="Arial" w:cs="Arial"/>
          <w:sz w:val="24"/>
          <w:szCs w:val="24"/>
          <w:lang w:val="de-DE"/>
        </w:rPr>
        <w:lastRenderedPageBreak/>
        <w:t>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6F7C5F">
      <w:pPr>
        <w:pStyle w:val="berschrift3"/>
        <w:rPr>
          <w:lang w:val="de-DE"/>
        </w:rPr>
      </w:pPr>
      <w:r>
        <w:rPr>
          <w:lang w:val="de-DE"/>
        </w:rPr>
        <w:t>Hypothese 1b</w:t>
      </w:r>
    </w:p>
    <w:p w14:paraId="4AD1EFF2" w14:textId="7DA63EB9" w:rsidR="00667A1F" w:rsidRDefault="00C3523C" w:rsidP="00AF24DB">
      <w:pPr>
        <w:spacing w:line="360" w:lineRule="auto"/>
        <w:jc w:val="both"/>
        <w:rPr>
          <w:rFonts w:ascii="Arial" w:hAnsi="Arial" w:cs="Arial"/>
          <w:sz w:val="24"/>
          <w:szCs w:val="24"/>
          <w:lang w:val="de-DE"/>
        </w:rPr>
      </w:pPr>
      <w:r>
        <w:rPr>
          <w:rFonts w:ascii="Arial" w:hAnsi="Arial" w:cs="Arial"/>
          <w:sz w:val="24"/>
          <w:szCs w:val="24"/>
          <w:lang w:val="de-DE"/>
        </w:rPr>
        <w:t>Hypothese 1b wird mithilfe der gleichen Vorgehensweise beantwortet wie Hypothese 1a. Konkret wird getestet, ob die Investition von der Hälfte des zur Verfügung stehenden Kapitals (</w:t>
      </w:r>
      <w:r w:rsidR="00D30576">
        <w:rPr>
          <w:rFonts w:ascii="Arial" w:hAnsi="Arial" w:cs="Arial"/>
          <w:sz w:val="24"/>
          <w:szCs w:val="24"/>
          <w:lang w:val="de-DE"/>
        </w:rPr>
        <w:t>70.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D30576">
        <w:rPr>
          <w:rFonts w:ascii="Arial" w:hAnsi="Arial" w:cs="Arial"/>
          <w:sz w:val="24"/>
          <w:szCs w:val="24"/>
          <w:lang w:val="de-DE"/>
        </w:rPr>
        <w:t>50.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noProof/>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noProof/>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35E2C20C"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In Gruppe A (B) ergab sich ein Mittelwert von 51654,17€ (</w:t>
      </w:r>
      <w:r w:rsidR="003B38A2">
        <w:rPr>
          <w:rFonts w:ascii="Arial" w:hAnsi="Arial" w:cs="Arial"/>
          <w:sz w:val="24"/>
          <w:szCs w:val="24"/>
          <w:lang w:val="de-DE"/>
        </w:rPr>
        <w:t>19547,25€</w:t>
      </w:r>
      <w:r w:rsidR="006F7C5F">
        <w:rPr>
          <w:rFonts w:ascii="Arial" w:hAnsi="Arial" w:cs="Arial"/>
          <w:sz w:val="24"/>
          <w:szCs w:val="24"/>
          <w:lang w:val="de-DE"/>
        </w:rPr>
        <w:t>) und eine Standardabweichung von 19547,25€</w:t>
      </w:r>
      <w:r w:rsidR="003B38A2">
        <w:rPr>
          <w:rFonts w:ascii="Arial" w:hAnsi="Arial" w:cs="Arial"/>
          <w:sz w:val="24"/>
          <w:szCs w:val="24"/>
          <w:lang w:val="de-DE"/>
        </w:rPr>
        <w:t xml:space="preserve"> (12478,89€)</w:t>
      </w:r>
      <w:r w:rsidR="006F7C5F">
        <w:rPr>
          <w:rFonts w:ascii="Arial" w:hAnsi="Arial" w:cs="Arial"/>
          <w:sz w:val="24"/>
          <w:szCs w:val="24"/>
          <w:lang w:val="de-DE"/>
        </w:rPr>
        <w:t xml:space="preserve"> der Erbschaft, die in die sichere Alternative investiert wurde. </w:t>
      </w:r>
      <w:r w:rsidR="009B2CEB">
        <w:rPr>
          <w:rFonts w:ascii="Arial" w:hAnsi="Arial" w:cs="Arial"/>
          <w:sz w:val="24"/>
          <w:szCs w:val="24"/>
          <w:lang w:val="de-DE"/>
        </w:rPr>
        <w:t xml:space="preserve">Beide Tests fallen für beide Versuchsgruppen signifikant aus (p&lt;0,001) (siehe Abbildungen X,Y,Z).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lastRenderedPageBreak/>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noProof/>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rPr>
      </w:pPr>
      <w:r w:rsidRPr="00C85AB6">
        <w:rPr>
          <w:rFonts w:ascii="Times New Roman" w:hAnsi="Times New Roman" w:cs="Times New Roman"/>
          <w:noProof/>
          <w:sz w:val="24"/>
          <w:szCs w:val="24"/>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Pr="003B38A2" w:rsidRDefault="00C85AB6" w:rsidP="00C85AB6">
      <w:pPr>
        <w:autoSpaceDE w:val="0"/>
        <w:autoSpaceDN w:val="0"/>
        <w:adjustRightInd w:val="0"/>
        <w:spacing w:after="0" w:line="400" w:lineRule="atLeast"/>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151D29BC" w14:textId="77777777" w:rsidR="003B38A2" w:rsidRPr="003B38A2" w:rsidRDefault="003B38A2" w:rsidP="00C85AB6">
      <w:pPr>
        <w:autoSpaceDE w:val="0"/>
        <w:autoSpaceDN w:val="0"/>
        <w:adjustRightInd w:val="0"/>
        <w:spacing w:after="0" w:line="240" w:lineRule="auto"/>
        <w:rPr>
          <w:rFonts w:ascii="Times New Roman" w:hAnsi="Times New Roman" w:cs="Times New Roman"/>
          <w:sz w:val="24"/>
          <w:szCs w:val="24"/>
          <w:lang w:val="de-DE"/>
        </w:rPr>
      </w:pPr>
    </w:p>
    <w:p w14:paraId="3B19DF2E"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42FEDE2D" w14:textId="77777777" w:rsidR="003B38A2" w:rsidRDefault="003B38A2" w:rsidP="00C85AB6">
      <w:pPr>
        <w:autoSpaceDE w:val="0"/>
        <w:autoSpaceDN w:val="0"/>
        <w:adjustRightInd w:val="0"/>
        <w:spacing w:after="0" w:line="240" w:lineRule="auto"/>
        <w:rPr>
          <w:rFonts w:ascii="Times New Roman" w:hAnsi="Times New Roman" w:cs="Times New Roman"/>
          <w:sz w:val="24"/>
          <w:szCs w:val="24"/>
        </w:rPr>
      </w:pPr>
    </w:p>
    <w:p w14:paraId="54898982" w14:textId="6A93CBD0" w:rsidR="00C85AB6" w:rsidRDefault="00C85AB6" w:rsidP="00C85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1032AE84"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w:t>
      </w:r>
      <w:r w:rsidR="003B38A2">
        <w:rPr>
          <w:rFonts w:ascii="Arial" w:hAnsi="Arial" w:cs="Arial"/>
          <w:sz w:val="24"/>
          <w:szCs w:val="24"/>
          <w:lang w:val="de-DE"/>
        </w:rPr>
        <w:t>€</w:t>
      </w:r>
      <w:r>
        <w:rPr>
          <w:rFonts w:ascii="Arial" w:hAnsi="Arial" w:cs="Arial"/>
          <w:sz w:val="24"/>
          <w:szCs w:val="24"/>
          <w:lang w:val="de-DE"/>
        </w:rPr>
        <w:t xml:space="preserve"> (</w:t>
      </w:r>
      <w:r w:rsidR="006F7C5F">
        <w:rPr>
          <w:rFonts w:ascii="Arial" w:hAnsi="Arial" w:cs="Arial"/>
          <w:sz w:val="24"/>
          <w:szCs w:val="24"/>
          <w:lang w:val="de-DE"/>
        </w:rPr>
        <w:t>14336,21</w:t>
      </w:r>
      <w:r w:rsidR="003B38A2">
        <w:rPr>
          <w:rFonts w:ascii="Arial" w:hAnsi="Arial" w:cs="Arial"/>
          <w:sz w:val="24"/>
          <w:szCs w:val="24"/>
          <w:lang w:val="de-DE"/>
        </w:rPr>
        <w:t>€</w:t>
      </w:r>
      <w:r w:rsidR="006F7C5F">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6F7C5F">
      <w:pPr>
        <w:pStyle w:val="berschrift3"/>
        <w:rPr>
          <w:lang w:val="de-DE"/>
        </w:rPr>
      </w:pPr>
      <w:r>
        <w:rPr>
          <w:lang w:val="de-DE"/>
        </w:rPr>
        <w:t>Hypothese 1c</w:t>
      </w:r>
    </w:p>
    <w:p w14:paraId="0A71249C" w14:textId="52AF5459" w:rsidR="00C3523C" w:rsidRDefault="00EF15C1" w:rsidP="00AF24DB">
      <w:pPr>
        <w:spacing w:line="360" w:lineRule="auto"/>
        <w:jc w:val="both"/>
        <w:rPr>
          <w:rFonts w:ascii="Arial" w:hAnsi="Arial" w:cs="Arial"/>
          <w:sz w:val="24"/>
          <w:szCs w:val="24"/>
          <w:lang w:val="de-DE"/>
        </w:rPr>
      </w:pPr>
      <w:r>
        <w:rPr>
          <w:rFonts w:ascii="Arial" w:hAnsi="Arial" w:cs="Arial"/>
          <w:sz w:val="24"/>
          <w:szCs w:val="24"/>
          <w:lang w:val="de-DE"/>
        </w:rPr>
        <w:t>Hypothese 1c wird mithilfe der gleichen Vorgehensweise beantwortet wie Hypothese 1a und 1b. Konkret wird getestet, ob die Investition von der Hälfte des zur Verfügung stehenden Kapitals (20.000€ Erspartes für Gruppe A, 20.000€ Erspartes für Gruppe B) abweicht.</w:t>
      </w:r>
      <w:r w:rsidRPr="00EF15C1">
        <w:rPr>
          <w:rFonts w:ascii="Arial" w:hAnsi="Arial" w:cs="Arial"/>
          <w:sz w:val="24"/>
          <w:szCs w:val="24"/>
          <w:lang w:val="de-DE"/>
        </w:rPr>
        <w:t xml:space="preserve"> </w:t>
      </w:r>
      <w:r>
        <w:rPr>
          <w:rFonts w:ascii="Arial" w:hAnsi="Arial" w:cs="Arial"/>
          <w:sz w:val="24"/>
          <w:szCs w:val="24"/>
          <w:lang w:val="de-DE"/>
        </w:rPr>
        <w:t>Der Kolmogorov-Smirnov Test und der Shapiro-Wilk Test auf Normalverteilung der Daten fallen für beide Experimentalgruppen statistisch signifikant (p&lt;0,001) aus, was bedeutet, dass die Daten nicht normalverteilt sind.</w:t>
      </w:r>
    </w:p>
    <w:p w14:paraId="2B43BCCA" w14:textId="1D1CF6B3"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2CAB6ED9" wp14:editId="35AF31F9">
            <wp:extent cx="3253839" cy="734200"/>
            <wp:effectExtent l="0" t="0" r="3810" b="889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46"/>
                    <a:stretch>
                      <a:fillRect/>
                    </a:stretch>
                  </pic:blipFill>
                  <pic:spPr>
                    <a:xfrm>
                      <a:off x="0" y="0"/>
                      <a:ext cx="3269358" cy="737702"/>
                    </a:xfrm>
                    <a:prstGeom prst="rect">
                      <a:avLst/>
                    </a:prstGeom>
                  </pic:spPr>
                </pic:pic>
              </a:graphicData>
            </a:graphic>
          </wp:inline>
        </w:drawing>
      </w:r>
    </w:p>
    <w:p w14:paraId="7B30F150" w14:textId="06D6C1E3"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77D8D0BE" w14:textId="7F41963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445F8B63" wp14:editId="562F2089">
            <wp:extent cx="3283527" cy="740898"/>
            <wp:effectExtent l="0" t="0" r="0" b="2540"/>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47"/>
                    <a:stretch>
                      <a:fillRect/>
                    </a:stretch>
                  </pic:blipFill>
                  <pic:spPr>
                    <a:xfrm>
                      <a:off x="0" y="0"/>
                      <a:ext cx="3299581" cy="744520"/>
                    </a:xfrm>
                    <a:prstGeom prst="rect">
                      <a:avLst/>
                    </a:prstGeom>
                  </pic:spPr>
                </pic:pic>
              </a:graphicData>
            </a:graphic>
          </wp:inline>
        </w:drawing>
      </w:r>
    </w:p>
    <w:p w14:paraId="122C80D8" w14:textId="68FFF937"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5292684" w14:textId="565D7A3D" w:rsidR="003B38A2" w:rsidRDefault="003B38A2" w:rsidP="003B38A2">
      <w:pPr>
        <w:spacing w:line="360" w:lineRule="auto"/>
        <w:jc w:val="both"/>
        <w:rPr>
          <w:rFonts w:ascii="Arial" w:hAnsi="Arial" w:cs="Arial"/>
          <w:sz w:val="24"/>
          <w:szCs w:val="24"/>
          <w:lang w:val="de-DE"/>
        </w:rPr>
      </w:pPr>
      <w:r>
        <w:rPr>
          <w:rFonts w:ascii="Arial" w:hAnsi="Arial" w:cs="Arial"/>
          <w:sz w:val="24"/>
          <w:szCs w:val="24"/>
          <w:lang w:val="de-DE"/>
        </w:rPr>
        <w:t xml:space="preserve">Aufgrund der Robustheit der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durchgeführt, </w:t>
      </w:r>
      <w:r>
        <w:rPr>
          <w:rFonts w:ascii="Arial" w:hAnsi="Arial" w:cs="Arial"/>
          <w:sz w:val="24"/>
          <w:szCs w:val="24"/>
          <w:lang w:val="de-DE"/>
        </w:rPr>
        <w:lastRenderedPageBreak/>
        <w:t xml:space="preserve">um das Ergebnis zu überprüfen. In Gruppe A (B) ergab sich ein Mittelwert von 15316,67€ (15596,55€) und eine Standardabweichung von 5854,67€ (4821,66€) der Erbschaft, die in die sichere Alternative investiert wurde. Beide Tests fallen für beide Versuchsgruppen signifikant aus (p&lt;0,001) (siehe Abbildungen X,Y,Z). </w:t>
      </w:r>
    </w:p>
    <w:p w14:paraId="3F089DD4" w14:textId="77777777" w:rsidR="003B38A2" w:rsidRDefault="003B38A2" w:rsidP="00AF24DB">
      <w:pPr>
        <w:spacing w:line="360" w:lineRule="auto"/>
        <w:jc w:val="both"/>
        <w:rPr>
          <w:rFonts w:ascii="Arial" w:hAnsi="Arial" w:cs="Arial"/>
          <w:sz w:val="24"/>
          <w:szCs w:val="24"/>
          <w:lang w:val="de-DE"/>
        </w:rPr>
      </w:pPr>
    </w:p>
    <w:p w14:paraId="0372AE4D" w14:textId="0B937515"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05AD930" wp14:editId="184AE081">
            <wp:extent cx="4762500" cy="876300"/>
            <wp:effectExtent l="0" t="0" r="0" b="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48"/>
                    <a:stretch>
                      <a:fillRect/>
                    </a:stretch>
                  </pic:blipFill>
                  <pic:spPr>
                    <a:xfrm>
                      <a:off x="0" y="0"/>
                      <a:ext cx="4762500" cy="876300"/>
                    </a:xfrm>
                    <a:prstGeom prst="rect">
                      <a:avLst/>
                    </a:prstGeom>
                  </pic:spPr>
                </pic:pic>
              </a:graphicData>
            </a:graphic>
          </wp:inline>
        </w:drawing>
      </w:r>
    </w:p>
    <w:p w14:paraId="32FF4D4B" w14:textId="7D4B0978"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2B72D04" w14:textId="6EDAC104"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7B882092" wp14:editId="5CE240BF">
            <wp:extent cx="5760720" cy="1073150"/>
            <wp:effectExtent l="0" t="0" r="0" b="0"/>
            <wp:docPr id="42" name="Grafik 4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isch enthält.&#10;&#10;Automatisch generierte Beschreibung"/>
                    <pic:cNvPicPr/>
                  </pic:nvPicPr>
                  <pic:blipFill>
                    <a:blip r:embed="rId49"/>
                    <a:stretch>
                      <a:fillRect/>
                    </a:stretch>
                  </pic:blipFill>
                  <pic:spPr>
                    <a:xfrm>
                      <a:off x="0" y="0"/>
                      <a:ext cx="5760720" cy="1073150"/>
                    </a:xfrm>
                    <a:prstGeom prst="rect">
                      <a:avLst/>
                    </a:prstGeom>
                  </pic:spPr>
                </pic:pic>
              </a:graphicData>
            </a:graphic>
          </wp:inline>
        </w:drawing>
      </w:r>
    </w:p>
    <w:p w14:paraId="592BAA4B" w14:textId="765DA60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1B7AC6C" w14:textId="50020B8D"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05F59A5D" wp14:editId="3A2F9F60">
            <wp:extent cx="4762500" cy="876300"/>
            <wp:effectExtent l="0" t="0" r="0" b="0"/>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50"/>
                    <a:stretch>
                      <a:fillRect/>
                    </a:stretch>
                  </pic:blipFill>
                  <pic:spPr>
                    <a:xfrm>
                      <a:off x="0" y="0"/>
                      <a:ext cx="4762500" cy="876300"/>
                    </a:xfrm>
                    <a:prstGeom prst="rect">
                      <a:avLst/>
                    </a:prstGeom>
                  </pic:spPr>
                </pic:pic>
              </a:graphicData>
            </a:graphic>
          </wp:inline>
        </w:drawing>
      </w:r>
    </w:p>
    <w:p w14:paraId="79820CB7" w14:textId="35987DCA"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361E83BA" w14:textId="60C6C017"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DC56F22" wp14:editId="6DB20069">
            <wp:extent cx="5760720" cy="1073150"/>
            <wp:effectExtent l="0" t="0" r="0" b="0"/>
            <wp:docPr id="44" name="Grafik 4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isch enthält.&#10;&#10;Automatisch generierte Beschreibung"/>
                    <pic:cNvPicPr/>
                  </pic:nvPicPr>
                  <pic:blipFill>
                    <a:blip r:embed="rId51"/>
                    <a:stretch>
                      <a:fillRect/>
                    </a:stretch>
                  </pic:blipFill>
                  <pic:spPr>
                    <a:xfrm>
                      <a:off x="0" y="0"/>
                      <a:ext cx="5760720" cy="1073150"/>
                    </a:xfrm>
                    <a:prstGeom prst="rect">
                      <a:avLst/>
                    </a:prstGeom>
                  </pic:spPr>
                </pic:pic>
              </a:graphicData>
            </a:graphic>
          </wp:inline>
        </w:drawing>
      </w:r>
    </w:p>
    <w:p w14:paraId="43C42D9D" w14:textId="120A13D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27A82D2C" w14:textId="79D9B371" w:rsidR="00401936" w:rsidRDefault="00401936" w:rsidP="00AF24DB">
      <w:pPr>
        <w:spacing w:line="360" w:lineRule="auto"/>
        <w:jc w:val="both"/>
        <w:rPr>
          <w:rFonts w:ascii="Arial" w:hAnsi="Arial" w:cs="Arial"/>
          <w:sz w:val="24"/>
          <w:szCs w:val="24"/>
          <w:lang w:val="de-DE"/>
        </w:rPr>
      </w:pPr>
    </w:p>
    <w:p w14:paraId="2FC5FAAD" w14:textId="77777777" w:rsidR="00401936" w:rsidRDefault="00401936" w:rsidP="00AF24DB">
      <w:pPr>
        <w:spacing w:line="360" w:lineRule="auto"/>
        <w:jc w:val="both"/>
        <w:rPr>
          <w:rFonts w:ascii="Arial" w:hAnsi="Arial" w:cs="Arial"/>
          <w:sz w:val="24"/>
          <w:szCs w:val="24"/>
          <w:lang w:val="de-DE"/>
        </w:rPr>
      </w:pPr>
    </w:p>
    <w:p w14:paraId="4554954D" w14:textId="379ECD9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lastRenderedPageBreak/>
        <w:drawing>
          <wp:inline distT="0" distB="0" distL="0" distR="0" wp14:anchorId="6241B1FB" wp14:editId="2B771269">
            <wp:extent cx="5760720" cy="11842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184275"/>
                    </a:xfrm>
                    <a:prstGeom prst="rect">
                      <a:avLst/>
                    </a:prstGeom>
                  </pic:spPr>
                </pic:pic>
              </a:graphicData>
            </a:graphic>
          </wp:inline>
        </w:drawing>
      </w:r>
    </w:p>
    <w:p w14:paraId="55E43346" w14:textId="3072CB39" w:rsidR="00667A1F"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029DD8E" w14:textId="31254F27" w:rsidR="00EF15C1" w:rsidRDefault="00EF15C1" w:rsidP="00AF24DB">
      <w:pPr>
        <w:spacing w:line="360" w:lineRule="auto"/>
        <w:jc w:val="both"/>
        <w:rPr>
          <w:rFonts w:ascii="Arial" w:hAnsi="Arial" w:cs="Arial"/>
          <w:sz w:val="24"/>
          <w:szCs w:val="24"/>
          <w:lang w:val="de-DE"/>
        </w:rPr>
      </w:pPr>
    </w:p>
    <w:p w14:paraId="5AD0251D" w14:textId="0C31FB0C"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7A275" wp14:editId="26F47B7C">
            <wp:extent cx="2220685" cy="2220685"/>
            <wp:effectExtent l="0" t="0" r="8255" b="825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3905" cy="2223905"/>
                    </a:xfrm>
                    <a:prstGeom prst="rect">
                      <a:avLst/>
                    </a:prstGeom>
                    <a:noFill/>
                    <a:ln>
                      <a:noFill/>
                    </a:ln>
                  </pic:spPr>
                </pic:pic>
              </a:graphicData>
            </a:graphic>
          </wp:inline>
        </w:drawing>
      </w:r>
    </w:p>
    <w:p w14:paraId="7478BB45" w14:textId="0E827427"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3DAEB663" w14:textId="7297D2F9"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45858096" w14:textId="43744318"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sidRPr="00401936">
        <w:rPr>
          <w:rFonts w:ascii="Times New Roman" w:hAnsi="Times New Roman" w:cs="Times New Roman"/>
          <w:noProof/>
          <w:sz w:val="24"/>
          <w:szCs w:val="24"/>
          <w:lang w:val="en-US"/>
        </w:rPr>
        <w:drawing>
          <wp:inline distT="0" distB="0" distL="0" distR="0" wp14:anchorId="4A1DABBB" wp14:editId="28D9B7FE">
            <wp:extent cx="5760720" cy="118427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184275"/>
                    </a:xfrm>
                    <a:prstGeom prst="rect">
                      <a:avLst/>
                    </a:prstGeom>
                  </pic:spPr>
                </pic:pic>
              </a:graphicData>
            </a:graphic>
          </wp:inline>
        </w:drawing>
      </w:r>
    </w:p>
    <w:p w14:paraId="5E3ED5EB" w14:textId="0AE9B4DA"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42CBD1A8" w14:textId="2036F84B"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7BEF191C" w14:textId="4174EA6B" w:rsidR="00401936" w:rsidRDefault="00401936" w:rsidP="004019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D2A5D" wp14:editId="55420427">
            <wp:extent cx="2119745" cy="211974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1710" cy="2121710"/>
                    </a:xfrm>
                    <a:prstGeom prst="rect">
                      <a:avLst/>
                    </a:prstGeom>
                    <a:noFill/>
                    <a:ln>
                      <a:noFill/>
                    </a:ln>
                  </pic:spPr>
                </pic:pic>
              </a:graphicData>
            </a:graphic>
          </wp:inline>
        </w:drawing>
      </w:r>
    </w:p>
    <w:p w14:paraId="1EA33385" w14:textId="089518F5" w:rsidR="00401936" w:rsidRPr="003B38A2" w:rsidRDefault="00401936" w:rsidP="00401936">
      <w:pPr>
        <w:autoSpaceDE w:val="0"/>
        <w:autoSpaceDN w:val="0"/>
        <w:adjustRightInd w:val="0"/>
        <w:spacing w:after="0" w:line="240" w:lineRule="auto"/>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75FC41F7" w14:textId="77777777" w:rsidR="00401936" w:rsidRDefault="00401936" w:rsidP="00401936">
      <w:pPr>
        <w:autoSpaceDE w:val="0"/>
        <w:autoSpaceDN w:val="0"/>
        <w:adjustRightInd w:val="0"/>
        <w:spacing w:after="0" w:line="400" w:lineRule="atLeast"/>
        <w:rPr>
          <w:rFonts w:ascii="Times New Roman" w:hAnsi="Times New Roman" w:cs="Times New Roman"/>
          <w:sz w:val="24"/>
          <w:szCs w:val="24"/>
        </w:rPr>
      </w:pPr>
    </w:p>
    <w:p w14:paraId="4EC3FFC1" w14:textId="1992FBC4" w:rsidR="003B38A2" w:rsidRDefault="003B38A2" w:rsidP="003B38A2">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lastRenderedPageBreak/>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 xml:space="preserve">ittelwerte sich von der Hälfte des zur Verfügung stehenden Geldes statistisch signifikant unterscheiden. Zusätzlich bedeutet eine positive mittlere Differenz von </w:t>
      </w:r>
      <w:r w:rsidR="005F3BB6">
        <w:rPr>
          <w:rFonts w:ascii="Arial" w:hAnsi="Arial" w:cs="Arial"/>
          <w:sz w:val="24"/>
          <w:szCs w:val="24"/>
          <w:lang w:val="de-DE"/>
        </w:rPr>
        <w:t>5316</w:t>
      </w:r>
      <w:r>
        <w:rPr>
          <w:rFonts w:ascii="Arial" w:hAnsi="Arial" w:cs="Arial"/>
          <w:sz w:val="24"/>
          <w:szCs w:val="24"/>
          <w:lang w:val="de-DE"/>
        </w:rPr>
        <w:t>,</w:t>
      </w:r>
      <w:r w:rsidR="005F3BB6">
        <w:rPr>
          <w:rFonts w:ascii="Arial" w:hAnsi="Arial" w:cs="Arial"/>
          <w:sz w:val="24"/>
          <w:szCs w:val="24"/>
          <w:lang w:val="de-DE"/>
        </w:rPr>
        <w:t>6</w:t>
      </w:r>
      <w:r>
        <w:rPr>
          <w:rFonts w:ascii="Arial" w:hAnsi="Arial" w:cs="Arial"/>
          <w:sz w:val="24"/>
          <w:szCs w:val="24"/>
          <w:lang w:val="de-DE"/>
        </w:rPr>
        <w:t>7€ (</w:t>
      </w:r>
      <w:r w:rsidR="005F3BB6">
        <w:rPr>
          <w:rFonts w:ascii="Arial" w:hAnsi="Arial" w:cs="Arial"/>
          <w:sz w:val="24"/>
          <w:szCs w:val="24"/>
          <w:lang w:val="de-DE"/>
        </w:rPr>
        <w:t>5596</w:t>
      </w:r>
      <w:r>
        <w:rPr>
          <w:rFonts w:ascii="Arial" w:hAnsi="Arial" w:cs="Arial"/>
          <w:sz w:val="24"/>
          <w:szCs w:val="24"/>
          <w:lang w:val="de-DE"/>
        </w:rPr>
        <w:t>,</w:t>
      </w:r>
      <w:r w:rsidR="005F3BB6">
        <w:rPr>
          <w:rFonts w:ascii="Arial" w:hAnsi="Arial" w:cs="Arial"/>
          <w:sz w:val="24"/>
          <w:szCs w:val="24"/>
          <w:lang w:val="de-DE"/>
        </w:rPr>
        <w:t>55</w:t>
      </w:r>
      <w:r>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503763EE" w14:textId="17E2BB55" w:rsidR="003B38A2" w:rsidRDefault="003B38A2"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Hypothese 1</w:t>
      </w:r>
      <w:r w:rsidR="005F3BB6">
        <w:rPr>
          <w:rFonts w:ascii="Arial" w:hAnsi="Arial" w:cs="Arial"/>
          <w:sz w:val="24"/>
          <w:szCs w:val="24"/>
          <w:lang w:val="de-DE"/>
        </w:rPr>
        <w:t>c</w:t>
      </w:r>
      <w:r>
        <w:rPr>
          <w:rFonts w:ascii="Arial" w:hAnsi="Arial" w:cs="Arial"/>
          <w:sz w:val="24"/>
          <w:szCs w:val="24"/>
          <w:lang w:val="de-DE"/>
        </w:rPr>
        <w:t xml:space="preserve"> kann somit erfolgreich belegt werden. </w:t>
      </w:r>
      <w:r w:rsidR="005F3BB6">
        <w:rPr>
          <w:rFonts w:ascii="Arial" w:hAnsi="Arial" w:cs="Arial"/>
          <w:sz w:val="24"/>
          <w:szCs w:val="24"/>
          <w:lang w:val="de-DE"/>
        </w:rPr>
        <w:t xml:space="preserve">Ersparnisse aus erarbeitetem Geld werden </w:t>
      </w:r>
      <w:r>
        <w:rPr>
          <w:rFonts w:ascii="Arial" w:hAnsi="Arial" w:cs="Arial"/>
          <w:sz w:val="24"/>
          <w:szCs w:val="24"/>
          <w:lang w:val="de-DE"/>
        </w:rPr>
        <w:t xml:space="preserve">eher (über 50% des zur Verfügung stehenden Kapitals) in eine sichere Alternative als in eine riskante Alternative investiert. </w:t>
      </w:r>
    </w:p>
    <w:bookmarkEnd w:id="33"/>
    <w:p w14:paraId="70395F80" w14:textId="34E89BE4" w:rsidR="00005E76" w:rsidRDefault="00005E76" w:rsidP="00BF7F2C">
      <w:pPr>
        <w:pStyle w:val="berschrift2"/>
        <w:spacing w:line="360" w:lineRule="auto"/>
        <w:rPr>
          <w:lang w:val="de-DE"/>
        </w:rPr>
      </w:pPr>
      <w:r>
        <w:rPr>
          <w:lang w:val="de-DE"/>
        </w:rPr>
        <w:t>Auswertung von Hypothese 2</w:t>
      </w:r>
    </w:p>
    <w:p w14:paraId="21E52E0C" w14:textId="3AE0F210" w:rsidR="00E304D8" w:rsidRDefault="006167C5" w:rsidP="00BF7F2C">
      <w:pPr>
        <w:autoSpaceDE w:val="0"/>
        <w:autoSpaceDN w:val="0"/>
        <w:adjustRightInd w:val="0"/>
        <w:spacing w:after="0" w:line="360" w:lineRule="auto"/>
        <w:jc w:val="both"/>
        <w:rPr>
          <w:rFonts w:ascii="Arial" w:hAnsi="Arial" w:cs="Arial"/>
          <w:sz w:val="24"/>
          <w:szCs w:val="24"/>
          <w:lang w:val="de-DE"/>
        </w:rPr>
      </w:pPr>
      <w:r w:rsidRPr="00BF7F2C">
        <w:rPr>
          <w:rFonts w:ascii="Arial" w:hAnsi="Arial" w:cs="Arial"/>
          <w:sz w:val="24"/>
          <w:szCs w:val="24"/>
          <w:lang w:val="de-DE"/>
        </w:rPr>
        <w:t>Um Hypothese 2 beantworten zu können, wurde für beide Experimentalgruppen, der normierte Anteil der Investitionen pro Geldquelle miteinander verglichen. In anderen Worten, wurde verglichen ob sich das riskant/sicher investierte Geld einer Geldquelle von dem riskant/sicher investierten Geld einer anderen Geldquelle unterscheidet.</w:t>
      </w:r>
      <w:r w:rsidR="00BF7F2C">
        <w:rPr>
          <w:rFonts w:ascii="Arial" w:hAnsi="Arial" w:cs="Arial"/>
          <w:sz w:val="24"/>
          <w:szCs w:val="24"/>
          <w:lang w:val="de-DE"/>
        </w:rPr>
        <w:t xml:space="preserve"> Ein Effekt ist zu finden, wenn die Mittelwerte der Geldquellen, je nach Hypothese, voneinander unterscheiden (Hypothese 2a und 2b) beziehungsweise nicht unterscheiden (Hypothese 2c). Da die Daten </w:t>
      </w:r>
      <w:r w:rsidR="00786F9A">
        <w:rPr>
          <w:rFonts w:ascii="Arial" w:hAnsi="Arial" w:cs="Arial"/>
          <w:sz w:val="24"/>
          <w:szCs w:val="24"/>
          <w:lang w:val="de-DE"/>
        </w:rPr>
        <w:t xml:space="preserve">der gleichen Stichprobe miteinander verglichen wird handelt es sich um eine abhängige Stichprobe. Somit kommt bei Normalverteilung der Daten ein gepaarter T-Test in Frage, und bei keiner Normalverteilung der Daten ein </w:t>
      </w:r>
      <w:proofErr w:type="spellStart"/>
      <w:r w:rsidR="00786F9A">
        <w:rPr>
          <w:rFonts w:ascii="Arial" w:hAnsi="Arial" w:cs="Arial"/>
          <w:sz w:val="24"/>
          <w:szCs w:val="24"/>
          <w:lang w:val="de-DE"/>
        </w:rPr>
        <w:t>Wilcoxon</w:t>
      </w:r>
      <w:proofErr w:type="spellEnd"/>
      <w:r w:rsidR="00786F9A">
        <w:rPr>
          <w:rFonts w:ascii="Arial" w:hAnsi="Arial" w:cs="Arial"/>
          <w:sz w:val="24"/>
          <w:szCs w:val="24"/>
          <w:lang w:val="de-DE"/>
        </w:rPr>
        <w:t xml:space="preserve">-Test in Frage. </w:t>
      </w:r>
    </w:p>
    <w:p w14:paraId="74F0F1F7" w14:textId="73B04B28" w:rsidR="00BF5CB4" w:rsidRDefault="00786F9A"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Die Normalverteilung der Daten wurde bereits für Hypothese 1 getestet. Mithilfe des Kolmogorov-Smirnov Tests und des Shapiro-Wilk Tests kann gesagt werden, dass die Daten nicht normalverteilt sind (p&lt;</w:t>
      </w:r>
      <w:r w:rsidR="00BF5CB4">
        <w:rPr>
          <w:rFonts w:ascii="Arial" w:hAnsi="Arial" w:cs="Arial"/>
          <w:sz w:val="24"/>
          <w:szCs w:val="24"/>
          <w:lang w:val="de-DE"/>
        </w:rPr>
        <w:t>0</w:t>
      </w:r>
      <w:r>
        <w:rPr>
          <w:rFonts w:ascii="Arial" w:hAnsi="Arial" w:cs="Arial"/>
          <w:sz w:val="24"/>
          <w:szCs w:val="24"/>
          <w:lang w:val="de-DE"/>
        </w:rPr>
        <w:t xml:space="preserve">,001) (siehe Abbildungen X,Y,Z). Somit wird der </w:t>
      </w:r>
      <w:proofErr w:type="spellStart"/>
      <w:r>
        <w:rPr>
          <w:rFonts w:ascii="Arial" w:hAnsi="Arial" w:cs="Arial"/>
          <w:sz w:val="24"/>
          <w:szCs w:val="24"/>
          <w:lang w:val="de-DE"/>
        </w:rPr>
        <w:t>Wilcoxon</w:t>
      </w:r>
      <w:proofErr w:type="spellEnd"/>
      <w:r>
        <w:rPr>
          <w:rFonts w:ascii="Arial" w:hAnsi="Arial" w:cs="Arial"/>
          <w:sz w:val="24"/>
          <w:szCs w:val="24"/>
          <w:lang w:val="de-DE"/>
        </w:rPr>
        <w:t>-Test angewendet, um Hypothese 2 zu beantworten. Um Hypothese 2a zu beantworten wird der Anteil des Lottogewinns in der riskanten Alternative, mit dem Anteil der Erbschaft in der riskanten Alternative verglichen.</w:t>
      </w:r>
      <w:r w:rsidR="00BF5CB4">
        <w:rPr>
          <w:rFonts w:ascii="Arial" w:hAnsi="Arial" w:cs="Arial"/>
          <w:sz w:val="24"/>
          <w:szCs w:val="24"/>
          <w:lang w:val="de-DE"/>
        </w:rPr>
        <w:t xml:space="preserve"> Da die Hypothese gerichtet ist, muss der p-Wert halbiert werden. Somit muss der errechnete p-Wert kleiner 0,025 sein, statt den standardmäßigen Wert von 0,05 für ungerichtete Hypothesen.</w:t>
      </w:r>
      <w:r>
        <w:rPr>
          <w:rFonts w:ascii="Arial" w:hAnsi="Arial" w:cs="Arial"/>
          <w:sz w:val="24"/>
          <w:szCs w:val="24"/>
          <w:lang w:val="de-DE"/>
        </w:rPr>
        <w:t xml:space="preserve"> Der Test fällt sowohl für Gruppe </w:t>
      </w:r>
      <w:r w:rsidR="00BF5CB4">
        <w:rPr>
          <w:rFonts w:ascii="Arial" w:hAnsi="Arial" w:cs="Arial"/>
          <w:sz w:val="24"/>
          <w:szCs w:val="24"/>
          <w:lang w:val="de-DE"/>
        </w:rPr>
        <w:t>A</w:t>
      </w:r>
      <w:r>
        <w:rPr>
          <w:rFonts w:ascii="Arial" w:hAnsi="Arial" w:cs="Arial"/>
          <w:sz w:val="24"/>
          <w:szCs w:val="24"/>
          <w:lang w:val="de-DE"/>
        </w:rPr>
        <w:t xml:space="preserve"> als auch </w:t>
      </w:r>
      <w:r w:rsidR="00BF5CB4">
        <w:rPr>
          <w:rFonts w:ascii="Arial" w:hAnsi="Arial" w:cs="Arial"/>
          <w:sz w:val="24"/>
          <w:szCs w:val="24"/>
          <w:lang w:val="de-DE"/>
        </w:rPr>
        <w:t>für Gruppe B signifikant aus (p&lt;0,001) (siehe Abbildung X). Somit kann die Nullhypothese (es gibt keinen Unterschied) zugunsten der Hypothese 2a (es gibt einen Unterschied) verworfen werden.</w:t>
      </w:r>
      <w:r w:rsidR="00DB0E6D">
        <w:rPr>
          <w:rFonts w:ascii="Arial" w:hAnsi="Arial" w:cs="Arial"/>
          <w:sz w:val="24"/>
          <w:szCs w:val="24"/>
          <w:lang w:val="de-DE"/>
        </w:rPr>
        <w:t xml:space="preserve"> </w:t>
      </w:r>
      <w:r w:rsidR="00BF5CB4">
        <w:rPr>
          <w:rFonts w:ascii="Arial" w:hAnsi="Arial" w:cs="Arial"/>
          <w:sz w:val="24"/>
          <w:szCs w:val="24"/>
          <w:lang w:val="de-DE"/>
        </w:rPr>
        <w:t xml:space="preserve">Hypothese 2a kann belegt werden. Es kann gesagt werden, dass Erbschaften weniger riskant investiert werden als Lotteriegewinne. </w:t>
      </w:r>
    </w:p>
    <w:p w14:paraId="3FD44DE1" w14:textId="2662DA88" w:rsidR="00DB0E6D" w:rsidRDefault="00BF5CB4" w:rsidP="00DB0E6D">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Um Hypothese 2</w:t>
      </w:r>
      <w:r w:rsidR="00DB0E6D">
        <w:rPr>
          <w:rFonts w:ascii="Arial" w:hAnsi="Arial" w:cs="Arial"/>
          <w:sz w:val="24"/>
          <w:szCs w:val="24"/>
          <w:lang w:val="de-DE"/>
        </w:rPr>
        <w:t>b</w:t>
      </w:r>
      <w:r>
        <w:rPr>
          <w:rFonts w:ascii="Arial" w:hAnsi="Arial" w:cs="Arial"/>
          <w:sz w:val="24"/>
          <w:szCs w:val="24"/>
          <w:lang w:val="de-DE"/>
        </w:rPr>
        <w:t xml:space="preserve"> zu beantworten wird der Anteil des Lottogewinns in der riskanten Alternative, mit dem Anteil der Ersparnisse in der riskanten Alternative verglichen. Wie </w:t>
      </w:r>
      <w:r>
        <w:rPr>
          <w:rFonts w:ascii="Arial" w:hAnsi="Arial" w:cs="Arial"/>
          <w:sz w:val="24"/>
          <w:szCs w:val="24"/>
          <w:lang w:val="de-DE"/>
        </w:rPr>
        <w:lastRenderedPageBreak/>
        <w:t>zuvor wird eine gerichtete Hypothese getestet (p&lt;0,025). Der Test fällt sowohl für Gruppe A als auch für Gruppe B signifikant aus (p&lt;0,001) (siehe Abbildung X). Somit kann die Nullhypothese (es gibt keinen Unterschied) zugunsten der Hypothese 2</w:t>
      </w:r>
      <w:r w:rsidR="00DB0E6D">
        <w:rPr>
          <w:rFonts w:ascii="Arial" w:hAnsi="Arial" w:cs="Arial"/>
          <w:sz w:val="24"/>
          <w:szCs w:val="24"/>
          <w:lang w:val="de-DE"/>
        </w:rPr>
        <w:t>b</w:t>
      </w:r>
      <w:r>
        <w:rPr>
          <w:rFonts w:ascii="Arial" w:hAnsi="Arial" w:cs="Arial"/>
          <w:sz w:val="24"/>
          <w:szCs w:val="24"/>
          <w:lang w:val="de-DE"/>
        </w:rPr>
        <w:t xml:space="preserve"> (es gibt einen Unterschied) verworfen werden.</w:t>
      </w:r>
      <w:r w:rsidR="00DB0E6D">
        <w:rPr>
          <w:rFonts w:ascii="Arial" w:hAnsi="Arial" w:cs="Arial"/>
          <w:sz w:val="24"/>
          <w:szCs w:val="24"/>
          <w:lang w:val="de-DE"/>
        </w:rPr>
        <w:t xml:space="preserve"> Hypothese 2b kann belegt werden. Es kann gesagt werden, dass Lotteriegewinne riskanter investiert werden als Ersparnisse. </w:t>
      </w:r>
    </w:p>
    <w:p w14:paraId="5D0C9827" w14:textId="11EBF9EC" w:rsidR="00786F9A" w:rsidRPr="00BF7F2C" w:rsidRDefault="00DB0E6D"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Um Hypothese 2c zu beantworten wird der Anteil des Ersparten in der riskanten Alternative, mit dem Anteil der Erbschaften in der riskanten Alternative verglichen. Da die Hypothese davon ausgeht, dass kein Unterschied besteht, wird ungerichtet getestet (p&lt;0,05). Ist der Test </w:t>
      </w:r>
      <w:r w:rsidRPr="00DB0E6D">
        <w:rPr>
          <w:rFonts w:ascii="Arial" w:hAnsi="Arial" w:cs="Arial"/>
          <w:i/>
          <w:sz w:val="24"/>
          <w:szCs w:val="24"/>
          <w:lang w:val="de-DE"/>
        </w:rPr>
        <w:t>nicht</w:t>
      </w:r>
      <w:r>
        <w:rPr>
          <w:rFonts w:ascii="Arial" w:hAnsi="Arial" w:cs="Arial"/>
          <w:sz w:val="24"/>
          <w:szCs w:val="24"/>
          <w:lang w:val="de-DE"/>
        </w:rPr>
        <w:t xml:space="preserve"> signifikant, wird die Nullhypothese (es gibt keinen Unterschied) beibehalten, und Hypothese 2c ist belegt. Sowohl für Gruppe A als auch für Gruppe B konnte die Nullhypothese nicht verworfen werden (p&gt;0,05) (siehe Abbildung X). Somit kann Hypothese 2c belegt werden. Es kann gesagt werden, dass Erbschaften und Erspartes gleich riskant investiert wird.</w:t>
      </w:r>
    </w:p>
    <w:p w14:paraId="26B81ECA" w14:textId="7DC07701" w:rsidR="00E304D8" w:rsidRDefault="004103FB" w:rsidP="00401936">
      <w:pPr>
        <w:autoSpaceDE w:val="0"/>
        <w:autoSpaceDN w:val="0"/>
        <w:adjustRightInd w:val="0"/>
        <w:spacing w:after="0" w:line="240" w:lineRule="auto"/>
        <w:rPr>
          <w:rFonts w:ascii="Times New Roman" w:hAnsi="Times New Roman" w:cs="Times New Roman"/>
          <w:sz w:val="24"/>
          <w:szCs w:val="24"/>
          <w:lang w:val="de-DE"/>
        </w:rPr>
      </w:pPr>
      <w:r w:rsidRPr="004103FB">
        <w:rPr>
          <w:rFonts w:ascii="Times New Roman" w:hAnsi="Times New Roman" w:cs="Times New Roman"/>
          <w:noProof/>
          <w:sz w:val="24"/>
          <w:szCs w:val="24"/>
          <w:lang w:val="de-DE"/>
        </w:rPr>
        <w:drawing>
          <wp:inline distT="0" distB="0" distL="0" distR="0" wp14:anchorId="5BA27006" wp14:editId="0874A931">
            <wp:extent cx="4082475" cy="1312224"/>
            <wp:effectExtent l="0" t="0" r="0" b="2540"/>
            <wp:docPr id="52" name="Grafik 52"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Quittung enthält.&#10;&#10;Automatisch generierte Beschreibung"/>
                    <pic:cNvPicPr/>
                  </pic:nvPicPr>
                  <pic:blipFill>
                    <a:blip r:embed="rId56"/>
                    <a:stretch>
                      <a:fillRect/>
                    </a:stretch>
                  </pic:blipFill>
                  <pic:spPr>
                    <a:xfrm>
                      <a:off x="0" y="0"/>
                      <a:ext cx="4098457" cy="1317361"/>
                    </a:xfrm>
                    <a:prstGeom prst="rect">
                      <a:avLst/>
                    </a:prstGeom>
                  </pic:spPr>
                </pic:pic>
              </a:graphicData>
            </a:graphic>
          </wp:inline>
        </w:drawing>
      </w:r>
    </w:p>
    <w:p w14:paraId="124992BB" w14:textId="77777777" w:rsidR="00E304D8" w:rsidRPr="003B38A2" w:rsidRDefault="00E304D8" w:rsidP="00401936">
      <w:pPr>
        <w:autoSpaceDE w:val="0"/>
        <w:autoSpaceDN w:val="0"/>
        <w:adjustRightInd w:val="0"/>
        <w:spacing w:after="0" w:line="240" w:lineRule="auto"/>
        <w:rPr>
          <w:rFonts w:ascii="Times New Roman" w:hAnsi="Times New Roman" w:cs="Times New Roman"/>
          <w:sz w:val="24"/>
          <w:szCs w:val="24"/>
          <w:lang w:val="de-DE"/>
        </w:rPr>
      </w:pPr>
    </w:p>
    <w:p w14:paraId="7E2CB5BA" w14:textId="0C5D3E5C" w:rsidR="00401936" w:rsidRPr="00C85B1A" w:rsidRDefault="00C85B1A" w:rsidP="00C85B1A">
      <w:pPr>
        <w:pStyle w:val="berschrift2"/>
        <w:rPr>
          <w:lang w:val="de-DE"/>
        </w:rPr>
      </w:pPr>
      <w:r w:rsidRPr="00C85B1A">
        <w:rPr>
          <w:lang w:val="de-DE"/>
        </w:rPr>
        <w:t>A</w:t>
      </w:r>
      <w:r>
        <w:rPr>
          <w:lang w:val="de-DE"/>
        </w:rPr>
        <w:t>uswertung von Hypothese 3</w:t>
      </w:r>
    </w:p>
    <w:p w14:paraId="53BE28C1" w14:textId="77777777" w:rsidR="002D5E40" w:rsidRDefault="003B1E5C" w:rsidP="00AF24DB">
      <w:pPr>
        <w:spacing w:line="360" w:lineRule="auto"/>
        <w:jc w:val="both"/>
        <w:rPr>
          <w:rFonts w:ascii="Arial" w:hAnsi="Arial" w:cs="Arial"/>
          <w:sz w:val="24"/>
          <w:szCs w:val="24"/>
          <w:lang w:val="de-DE"/>
        </w:rPr>
      </w:pPr>
      <w:r w:rsidRPr="003B1E5C">
        <w:rPr>
          <w:rFonts w:ascii="Arial" w:hAnsi="Arial" w:cs="Arial"/>
          <w:sz w:val="24"/>
          <w:szCs w:val="24"/>
          <w:lang w:val="de-DE"/>
        </w:rPr>
        <w:t xml:space="preserve">Aufgrund der verschiedenen Geldmengen pro  Geldquelle, die den Versuchsteilnehmer*innen in den verschiedenen Gruppen zur Verfügung stehen, wird in Hypothese 3 darauf getestet, ob es einen Unterschied zwischen den Gruppen in Bezug auf das Investitionsverhalten gibt. </w:t>
      </w:r>
      <w:r>
        <w:rPr>
          <w:rFonts w:ascii="Arial" w:hAnsi="Arial" w:cs="Arial"/>
          <w:sz w:val="24"/>
          <w:szCs w:val="24"/>
          <w:lang w:val="de-DE"/>
        </w:rPr>
        <w:t>Dazu wird das gesamte riskant investierte Geld, unabhängig von der Geldquelle, untersucht. Da es sich um unabhängige Stichproben handelt (drei unabhängige Gruppen, Teilnehmer*innen randomisiert zugeordnet) kann bei Normalverteilung der Residuen eine ANOVA, ansonsten ein Kruskal-Wallis</w:t>
      </w:r>
      <w:r w:rsidR="002D5E40">
        <w:rPr>
          <w:rFonts w:ascii="Arial" w:hAnsi="Arial" w:cs="Arial"/>
          <w:sz w:val="24"/>
          <w:szCs w:val="24"/>
          <w:lang w:val="de-DE"/>
        </w:rPr>
        <w:t xml:space="preserve"> </w:t>
      </w:r>
      <w:r>
        <w:rPr>
          <w:rFonts w:ascii="Arial" w:hAnsi="Arial" w:cs="Arial"/>
          <w:sz w:val="24"/>
          <w:szCs w:val="24"/>
          <w:lang w:val="de-DE"/>
        </w:rPr>
        <w:t xml:space="preserve">Test durchgeführt werden. </w:t>
      </w:r>
      <w:r w:rsidR="002D5E40">
        <w:rPr>
          <w:rFonts w:ascii="Arial" w:hAnsi="Arial" w:cs="Arial"/>
          <w:sz w:val="24"/>
          <w:szCs w:val="24"/>
          <w:lang w:val="de-DE"/>
        </w:rPr>
        <w:t xml:space="preserve">Um auf Normalverteilung der Residuen zu Testen wird der Kolmogorov-Smirnov Test und der Shapiro-Wilk Test durchgeführt. Beide Tests fallen signifikant aus (p&lt;0,001) (siehe Abbildung X), was bedeutet, dass keine Normalverteilung der Residuen gegeben ist. </w:t>
      </w:r>
    </w:p>
    <w:p w14:paraId="4C65350F" w14:textId="77777777" w:rsidR="002D5E40" w:rsidRDefault="002D5E40" w:rsidP="002D5E40">
      <w:pPr>
        <w:spacing w:line="360" w:lineRule="auto"/>
        <w:jc w:val="both"/>
        <w:rPr>
          <w:rFonts w:ascii="Arial" w:hAnsi="Arial" w:cs="Arial"/>
          <w:sz w:val="24"/>
          <w:szCs w:val="24"/>
          <w:lang w:val="de-DE"/>
        </w:rPr>
      </w:pPr>
      <w:r>
        <w:rPr>
          <w:rFonts w:ascii="Arial" w:hAnsi="Arial" w:cs="Arial"/>
          <w:sz w:val="24"/>
          <w:szCs w:val="24"/>
          <w:lang w:val="de-DE"/>
        </w:rPr>
        <w:t>Test auf Normalverteilung</w:t>
      </w:r>
    </w:p>
    <w:p w14:paraId="282F3E4A" w14:textId="523C284D" w:rsidR="002D5E40" w:rsidRDefault="002D5E40" w:rsidP="00AF24DB">
      <w:pPr>
        <w:spacing w:line="360" w:lineRule="auto"/>
        <w:jc w:val="both"/>
        <w:rPr>
          <w:rFonts w:ascii="Arial" w:hAnsi="Arial" w:cs="Arial"/>
          <w:sz w:val="24"/>
          <w:szCs w:val="24"/>
          <w:lang w:val="de-DE"/>
        </w:rPr>
      </w:pPr>
      <w:r w:rsidRPr="00165FA2">
        <w:rPr>
          <w:rFonts w:ascii="Arial" w:hAnsi="Arial" w:cs="Arial"/>
          <w:noProof/>
          <w:sz w:val="24"/>
          <w:szCs w:val="24"/>
          <w:lang w:val="de-DE"/>
        </w:rPr>
        <w:lastRenderedPageBreak/>
        <w:drawing>
          <wp:inline distT="0" distB="0" distL="0" distR="0" wp14:anchorId="6F0C3615" wp14:editId="4283B824">
            <wp:extent cx="3509158" cy="791810"/>
            <wp:effectExtent l="0" t="0" r="0" b="889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57"/>
                    <a:stretch>
                      <a:fillRect/>
                    </a:stretch>
                  </pic:blipFill>
                  <pic:spPr>
                    <a:xfrm>
                      <a:off x="0" y="0"/>
                      <a:ext cx="3517926" cy="793788"/>
                    </a:xfrm>
                    <a:prstGeom prst="rect">
                      <a:avLst/>
                    </a:prstGeom>
                  </pic:spPr>
                </pic:pic>
              </a:graphicData>
            </a:graphic>
          </wp:inline>
        </w:drawing>
      </w:r>
    </w:p>
    <w:p w14:paraId="7F5A5857" w14:textId="23C95F0D" w:rsidR="00EF15C1" w:rsidRPr="003B1E5C" w:rsidRDefault="002D5E40" w:rsidP="00AF24DB">
      <w:pPr>
        <w:spacing w:line="360" w:lineRule="auto"/>
        <w:jc w:val="both"/>
        <w:rPr>
          <w:rFonts w:ascii="Arial" w:hAnsi="Arial" w:cs="Arial"/>
          <w:sz w:val="24"/>
          <w:szCs w:val="24"/>
          <w:lang w:val="de-DE"/>
        </w:rPr>
      </w:pPr>
      <w:r>
        <w:rPr>
          <w:rFonts w:ascii="Arial" w:hAnsi="Arial" w:cs="Arial"/>
          <w:sz w:val="24"/>
          <w:szCs w:val="24"/>
          <w:lang w:val="de-DE"/>
        </w:rPr>
        <w:t xml:space="preserve">Aus diesem Grund wird der Kruskal-Wallis Test durchgeführt. Ist dieser signifikant (p&lt;0,05) so kann die Nullhypothese (es gibt keinen Unterschied zwischen den Gruppen) zugunsten der Alternativhypothese (es gibt einen Unterschied zwischen den Gruppen) verworfen werden. Wird die Alternativhypothese angenommen, so muss anschließend getestet werden, zwischen welchen Gruppen es Unterschiede gibt. Der Kruskal-Wallis Test fällt nicht signifikant aus (p&gt;0,05) (siehe Abbildung X) und somit kann kein Unterschied zwischen den Gruppen festgestellt werden. Für Hypothese 3 bedeutet das, dass diese nicht bestätigt werden konnte. Es besteht kein Unterschied zwischen den Gruppen </w:t>
      </w:r>
      <w:r w:rsidRPr="002D5E40">
        <w:rPr>
          <w:rFonts w:ascii="Arial" w:hAnsi="Arial" w:cs="Arial"/>
          <w:iCs/>
          <w:sz w:val="24"/>
          <w:szCs w:val="24"/>
        </w:rPr>
        <w:t>in Hinsicht auf die Investition in die riskante Alternative.</w:t>
      </w:r>
      <w:r>
        <w:rPr>
          <w:rFonts w:ascii="Arial" w:hAnsi="Arial" w:cs="Arial"/>
          <w:iCs/>
          <w:sz w:val="24"/>
          <w:szCs w:val="24"/>
        </w:rPr>
        <w:t xml:space="preserve"> </w:t>
      </w:r>
      <w:r w:rsidR="00E908B4">
        <w:rPr>
          <w:rFonts w:ascii="Arial" w:hAnsi="Arial" w:cs="Arial"/>
          <w:iCs/>
          <w:sz w:val="24"/>
          <w:szCs w:val="24"/>
        </w:rPr>
        <w:t xml:space="preserve">Somit kann auch Hypothese 3a, 3b und 3c nicht belegt werden, da sich die Gruppen nicht unterscheiden. </w:t>
      </w:r>
    </w:p>
    <w:p w14:paraId="093B3B9B" w14:textId="32A63280" w:rsidR="00B447BA" w:rsidRDefault="00B447BA" w:rsidP="00AF24DB">
      <w:pPr>
        <w:spacing w:line="360" w:lineRule="auto"/>
        <w:jc w:val="both"/>
        <w:rPr>
          <w:rFonts w:ascii="Arial" w:hAnsi="Arial" w:cs="Arial"/>
          <w:sz w:val="24"/>
          <w:szCs w:val="24"/>
          <w:lang w:val="de-DE"/>
        </w:rPr>
      </w:pPr>
      <w:r w:rsidRPr="00B447BA">
        <w:rPr>
          <w:rFonts w:ascii="Arial" w:hAnsi="Arial" w:cs="Arial"/>
          <w:noProof/>
          <w:sz w:val="24"/>
          <w:szCs w:val="24"/>
          <w:lang w:val="de-DE"/>
        </w:rPr>
        <w:drawing>
          <wp:inline distT="0" distB="0" distL="0" distR="0" wp14:anchorId="3ED68936" wp14:editId="1D4E9C13">
            <wp:extent cx="2764972" cy="1246056"/>
            <wp:effectExtent l="0" t="0" r="0" b="0"/>
            <wp:docPr id="50" name="Grafik 5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isch enthält.&#10;&#10;Automatisch generierte Beschreibung"/>
                    <pic:cNvPicPr/>
                  </pic:nvPicPr>
                  <pic:blipFill>
                    <a:blip r:embed="rId58"/>
                    <a:stretch>
                      <a:fillRect/>
                    </a:stretch>
                  </pic:blipFill>
                  <pic:spPr>
                    <a:xfrm>
                      <a:off x="0" y="0"/>
                      <a:ext cx="2778386" cy="1252101"/>
                    </a:xfrm>
                    <a:prstGeom prst="rect">
                      <a:avLst/>
                    </a:prstGeom>
                  </pic:spPr>
                </pic:pic>
              </a:graphicData>
            </a:graphic>
          </wp:inline>
        </w:drawing>
      </w:r>
      <w:r w:rsidR="00E908B4" w:rsidRPr="00B447BA">
        <w:rPr>
          <w:rFonts w:ascii="Arial" w:hAnsi="Arial" w:cs="Arial"/>
          <w:noProof/>
          <w:sz w:val="24"/>
          <w:szCs w:val="24"/>
          <w:lang w:val="de-DE"/>
        </w:rPr>
        <w:drawing>
          <wp:inline distT="0" distB="0" distL="0" distR="0" wp14:anchorId="2CEC39FC" wp14:editId="06501E49">
            <wp:extent cx="1877786" cy="1938360"/>
            <wp:effectExtent l="0" t="0" r="8255" b="5080"/>
            <wp:docPr id="51" name="Grafik 5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isch enthält.&#10;&#10;Automatisch generierte Beschreibung"/>
                    <pic:cNvPicPr/>
                  </pic:nvPicPr>
                  <pic:blipFill>
                    <a:blip r:embed="rId59"/>
                    <a:stretch>
                      <a:fillRect/>
                    </a:stretch>
                  </pic:blipFill>
                  <pic:spPr>
                    <a:xfrm>
                      <a:off x="0" y="0"/>
                      <a:ext cx="1887674" cy="1948567"/>
                    </a:xfrm>
                    <a:prstGeom prst="rect">
                      <a:avLst/>
                    </a:prstGeom>
                  </pic:spPr>
                </pic:pic>
              </a:graphicData>
            </a:graphic>
          </wp:inline>
        </w:drawing>
      </w:r>
    </w:p>
    <w:p w14:paraId="6AB77DBE" w14:textId="0738D341" w:rsidR="00B447BA" w:rsidRDefault="00B447BA" w:rsidP="00AF24DB">
      <w:pPr>
        <w:spacing w:line="360" w:lineRule="auto"/>
        <w:jc w:val="both"/>
        <w:rPr>
          <w:rFonts w:ascii="Arial" w:hAnsi="Arial" w:cs="Arial"/>
          <w:sz w:val="24"/>
          <w:szCs w:val="24"/>
          <w:lang w:val="de-DE"/>
        </w:rPr>
      </w:pPr>
    </w:p>
    <w:p w14:paraId="65B082B4" w14:textId="522EBF19" w:rsidR="00EF15C1" w:rsidRDefault="006167C5" w:rsidP="006167C5">
      <w:pPr>
        <w:pStyle w:val="berschrift2"/>
        <w:rPr>
          <w:lang w:val="de-DE"/>
        </w:rPr>
      </w:pPr>
      <w:r>
        <w:rPr>
          <w:lang w:val="de-DE"/>
        </w:rPr>
        <w:t>Explorative Auswertung</w:t>
      </w:r>
    </w:p>
    <w:p w14:paraId="6020D0CE" w14:textId="1ADE7853" w:rsidR="00667A1F" w:rsidRDefault="006167C5" w:rsidP="00AF24DB">
      <w:pPr>
        <w:spacing w:line="360" w:lineRule="auto"/>
        <w:jc w:val="both"/>
        <w:rPr>
          <w:rFonts w:ascii="Arial" w:hAnsi="Arial" w:cs="Arial"/>
          <w:sz w:val="24"/>
          <w:szCs w:val="24"/>
          <w:lang w:val="de-DE"/>
        </w:rPr>
      </w:pPr>
      <w:r>
        <w:rPr>
          <w:rFonts w:ascii="Arial" w:hAnsi="Arial" w:cs="Arial"/>
          <w:sz w:val="24"/>
          <w:szCs w:val="24"/>
          <w:lang w:val="de-DE"/>
        </w:rPr>
        <w:t xml:space="preserve">Kontrollvariable Beziehung zu Eltern nicht brauchbar, da 90% in sehr gut oder gut angegeben haben. </w:t>
      </w:r>
      <w:r w:rsidR="00594C22">
        <w:rPr>
          <w:rFonts w:ascii="Arial" w:hAnsi="Arial" w:cs="Arial"/>
          <w:sz w:val="24"/>
          <w:szCs w:val="24"/>
          <w:lang w:val="de-DE"/>
        </w:rPr>
        <w:t>Somit nicht aussagekräftig.</w:t>
      </w:r>
    </w:p>
    <w:p w14:paraId="63BAD687" w14:textId="7448B035" w:rsidR="00594C22" w:rsidRDefault="00594C22" w:rsidP="00AF24DB">
      <w:pPr>
        <w:spacing w:line="360" w:lineRule="auto"/>
        <w:jc w:val="both"/>
        <w:rPr>
          <w:rFonts w:ascii="Arial" w:hAnsi="Arial" w:cs="Arial"/>
          <w:sz w:val="24"/>
          <w:szCs w:val="24"/>
          <w:lang w:val="de-DE"/>
        </w:rPr>
      </w:pPr>
      <w:r>
        <w:rPr>
          <w:rFonts w:ascii="Arial" w:hAnsi="Arial" w:cs="Arial"/>
          <w:sz w:val="24"/>
          <w:szCs w:val="24"/>
          <w:lang w:val="de-DE"/>
        </w:rPr>
        <w:t xml:space="preserve">Schwacher Korrelationskoeffizient zwischen Risikobereitschaft und Investition in Kontrollgruppe. </w:t>
      </w:r>
    </w:p>
    <w:p w14:paraId="7F28C8C0" w14:textId="77777777" w:rsidR="00594C22" w:rsidRDefault="00594C22" w:rsidP="00AF24DB">
      <w:pPr>
        <w:spacing w:line="360" w:lineRule="auto"/>
        <w:jc w:val="both"/>
        <w:rPr>
          <w:rFonts w:ascii="Arial" w:hAnsi="Arial" w:cs="Arial"/>
          <w:sz w:val="24"/>
          <w:szCs w:val="24"/>
          <w:lang w:val="de-DE"/>
        </w:rPr>
      </w:pPr>
    </w:p>
    <w:p w14:paraId="0FEEBE5F" w14:textId="77777777" w:rsidR="00594C22" w:rsidRDefault="00594C22"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Er 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4C5334DD"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w:t>
      </w:r>
      <w:r w:rsidR="00EF15C1">
        <w:rPr>
          <w:rFonts w:ascii="Arial" w:hAnsi="Arial" w:cs="Arial"/>
          <w:sz w:val="24"/>
          <w:szCs w:val="24"/>
          <w:shd w:val="clear" w:color="auto" w:fill="FFFFFF"/>
        </w:rPr>
        <w:t>Zweistichproben</w:t>
      </w:r>
      <w:r>
        <w:rPr>
          <w:rFonts w:ascii="Arial" w:hAnsi="Arial" w:cs="Arial"/>
          <w:sz w:val="24"/>
          <w:szCs w:val="24"/>
          <w:shd w:val="clear" w:color="auto" w:fill="FFFFFF"/>
        </w:rPr>
        <w:t xml:space="preserve"> t-Test</w:t>
      </w:r>
      <w:r w:rsidR="00EF15C1">
        <w:rPr>
          <w:rFonts w:ascii="Arial" w:hAnsi="Arial" w:cs="Arial"/>
          <w:sz w:val="24"/>
          <w:szCs w:val="24"/>
          <w:shd w:val="clear" w:color="auto" w:fill="FFFFFF"/>
        </w:rPr>
        <w:t>?</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0A25CB">
      <w:pPr>
        <w:pStyle w:val="berschrift1"/>
        <w:spacing w:line="360" w:lineRule="auto"/>
        <w:jc w:val="both"/>
        <w:rPr>
          <w:lang w:val="de-DE"/>
        </w:rPr>
      </w:pPr>
      <w:r>
        <w:rPr>
          <w:lang w:val="de-DE"/>
        </w:rPr>
        <w:lastRenderedPageBreak/>
        <w:t>Diskussion</w:t>
      </w:r>
    </w:p>
    <w:p w14:paraId="621C74B1" w14:textId="5A28CCC6"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In diesem Kapitel werden zunächst die wichtigsten Ergebnisse der Studie zusammengefasst. Anschließend werden die Ergebnisse zu der vorhandenen Literatur in Bezug gesetzt. Zuletzt werden die Limitationen dieser Arbeit aufgezeigt und ein Ausblick auf zukünftige Forschungsmöglichkeiten gegeben.</w:t>
      </w:r>
    </w:p>
    <w:p w14:paraId="25400ED2" w14:textId="4208AE88" w:rsidR="004F3D6E" w:rsidRDefault="000A25CB" w:rsidP="000A25CB">
      <w:pPr>
        <w:pStyle w:val="berschrift2"/>
        <w:spacing w:line="360" w:lineRule="auto"/>
        <w:rPr>
          <w:lang w:val="de-DE"/>
        </w:rPr>
      </w:pPr>
      <w:r>
        <w:rPr>
          <w:lang w:val="de-DE"/>
        </w:rPr>
        <w:t>Zusammenfassung der Ergebnisse</w:t>
      </w:r>
    </w:p>
    <w:p w14:paraId="6B163D1C" w14:textId="1BE3B765"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 xml:space="preserve">In dieser Arbeit wird der Einfluss von verschiedenen Geldquellen auf das Investitionsverhalten untersucht. </w:t>
      </w:r>
      <w:r w:rsidR="009B7F2C">
        <w:rPr>
          <w:rFonts w:ascii="Arial" w:hAnsi="Arial" w:cs="Arial"/>
          <w:sz w:val="24"/>
          <w:szCs w:val="24"/>
          <w:lang w:val="de-DE"/>
        </w:rPr>
        <w:t xml:space="preserve">Dazu sollten zwei Gruppen (Experimentalgruppen) sich vorstellen jeweils einen gewissen Betrag Geld aus einer Erbschaft, einem Lotteriegewinn und Ersparten in eine riskante oder eine sichere Alternative zu investieren. Eine dritte Gruppe sollte ebenfalls Geld in eine riskante oder eine sichere Alternative investieren, jedoch ohne eine Angabe zu der Quelle des Gelds. </w:t>
      </w:r>
    </w:p>
    <w:p w14:paraId="09FF548B" w14:textId="39BE91CC" w:rsidR="009B7F2C" w:rsidRPr="009B7F2C" w:rsidRDefault="009B7F2C" w:rsidP="000A25CB">
      <w:pPr>
        <w:spacing w:line="360" w:lineRule="auto"/>
        <w:jc w:val="both"/>
        <w:rPr>
          <w:rFonts w:ascii="Arial" w:hAnsi="Arial" w:cs="Arial"/>
          <w:sz w:val="24"/>
          <w:szCs w:val="24"/>
        </w:rPr>
      </w:pPr>
      <w:r w:rsidRPr="009B7F2C">
        <w:rPr>
          <w:rFonts w:ascii="Arial" w:hAnsi="Arial" w:cs="Arial"/>
          <w:sz w:val="24"/>
          <w:szCs w:val="24"/>
        </w:rPr>
        <w:t xml:space="preserve">Relevante Literatur legt nahe, dass </w:t>
      </w:r>
      <w:r w:rsidRPr="00B12048">
        <w:rPr>
          <w:rFonts w:ascii="Arial" w:hAnsi="Arial" w:cs="Arial"/>
          <w:i/>
          <w:sz w:val="24"/>
          <w:szCs w:val="24"/>
        </w:rPr>
        <w:t xml:space="preserve">Windfall </w:t>
      </w:r>
      <w:proofErr w:type="spellStart"/>
      <w:r w:rsidRPr="00B12048">
        <w:rPr>
          <w:rFonts w:ascii="Arial" w:hAnsi="Arial" w:cs="Arial"/>
          <w:i/>
          <w:sz w:val="24"/>
          <w:szCs w:val="24"/>
        </w:rPr>
        <w:t>Gains</w:t>
      </w:r>
      <w:proofErr w:type="spellEnd"/>
      <w:r w:rsidRPr="009B7F2C">
        <w:rPr>
          <w:rFonts w:ascii="Arial" w:hAnsi="Arial" w:cs="Arial"/>
          <w:sz w:val="24"/>
          <w:szCs w:val="24"/>
        </w:rPr>
        <w:t xml:space="preserve"> (z.B. Lottogewinne) eher</w:t>
      </w:r>
      <w:r>
        <w:rPr>
          <w:rFonts w:ascii="Arial" w:hAnsi="Arial" w:cs="Arial"/>
          <w:sz w:val="24"/>
          <w:szCs w:val="24"/>
        </w:rPr>
        <w:t xml:space="preserve"> riskant verwendet werden, solange keine negativen Emotionen mit der Geldquelle (z.B. Erbschaft) verbunden werden</w:t>
      </w:r>
      <w:r w:rsidR="00B12048">
        <w:rPr>
          <w:rFonts w:ascii="Arial" w:hAnsi="Arial" w:cs="Arial"/>
          <w:sz w:val="24"/>
          <w:szCs w:val="24"/>
        </w:rPr>
        <w:t xml:space="preserve"> (QUELLEN)</w:t>
      </w:r>
      <w:r>
        <w:rPr>
          <w:rFonts w:ascii="Arial" w:hAnsi="Arial" w:cs="Arial"/>
          <w:sz w:val="24"/>
          <w:szCs w:val="24"/>
        </w:rPr>
        <w:t>.</w:t>
      </w:r>
      <w:r w:rsidR="00B12048">
        <w:rPr>
          <w:rFonts w:ascii="Arial" w:hAnsi="Arial" w:cs="Arial"/>
          <w:sz w:val="24"/>
          <w:szCs w:val="24"/>
        </w:rPr>
        <w:t xml:space="preserve"> </w:t>
      </w:r>
    </w:p>
    <w:p w14:paraId="61A0FCEA" w14:textId="78137BA4" w:rsidR="000A25CB" w:rsidRPr="009B7F2C" w:rsidRDefault="000A25CB" w:rsidP="000A25CB">
      <w:pPr>
        <w:spacing w:line="360" w:lineRule="auto"/>
        <w:jc w:val="both"/>
        <w:rPr>
          <w:rFonts w:ascii="Arial" w:hAnsi="Arial" w:cs="Arial"/>
          <w:sz w:val="24"/>
          <w:szCs w:val="24"/>
        </w:rPr>
      </w:pPr>
    </w:p>
    <w:p w14:paraId="1E7B2C3B" w14:textId="765C8B67" w:rsidR="000A25CB" w:rsidRPr="009B7F2C" w:rsidRDefault="000A25CB" w:rsidP="000A25CB">
      <w:pPr>
        <w:spacing w:line="360" w:lineRule="auto"/>
        <w:jc w:val="both"/>
        <w:rPr>
          <w:rFonts w:ascii="Arial" w:hAnsi="Arial" w:cs="Arial"/>
          <w:sz w:val="24"/>
          <w:szCs w:val="24"/>
        </w:rPr>
      </w:pPr>
    </w:p>
    <w:p w14:paraId="575CE28E" w14:textId="216C5068" w:rsidR="000A25CB" w:rsidRPr="009B7F2C" w:rsidRDefault="000A25CB" w:rsidP="000A25CB">
      <w:pPr>
        <w:spacing w:line="360" w:lineRule="auto"/>
        <w:jc w:val="both"/>
        <w:rPr>
          <w:rFonts w:ascii="Arial" w:hAnsi="Arial" w:cs="Arial"/>
          <w:sz w:val="24"/>
          <w:szCs w:val="24"/>
        </w:rPr>
      </w:pPr>
    </w:p>
    <w:p w14:paraId="5355720F" w14:textId="10057FD8" w:rsidR="000A25CB" w:rsidRDefault="000A25CB" w:rsidP="000A25CB">
      <w:pPr>
        <w:spacing w:line="360" w:lineRule="auto"/>
        <w:jc w:val="both"/>
        <w:rPr>
          <w:rFonts w:ascii="Arial" w:hAnsi="Arial" w:cs="Arial"/>
          <w:sz w:val="24"/>
          <w:szCs w:val="24"/>
          <w:lang w:val="de-DE"/>
        </w:rPr>
      </w:pPr>
      <w:r>
        <w:t>Die Diskussion beginnt üblicherweise mit einer kurzen Zusammenfassung der Untersuchungsziele und der Ergebnisse (in Bezug auf die Ziele und die entsprechenden Hypothesen).</w:t>
      </w:r>
    </w:p>
    <w:p w14:paraId="5E3525DF" w14:textId="4F33506F" w:rsidR="000A25CB" w:rsidRDefault="000A25CB" w:rsidP="000A25CB">
      <w:pPr>
        <w:pStyle w:val="berschrift2"/>
        <w:spacing w:line="360" w:lineRule="auto"/>
        <w:rPr>
          <w:lang w:val="de-DE"/>
        </w:rPr>
      </w:pPr>
      <w:r>
        <w:rPr>
          <w:lang w:val="de-DE"/>
        </w:rPr>
        <w:t>Interpretation der Ergebnisse in Bezug auf die Literatur</w:t>
      </w:r>
    </w:p>
    <w:p w14:paraId="76748E86" w14:textId="77777777" w:rsidR="000A25CB" w:rsidRDefault="000A25CB" w:rsidP="000A25CB">
      <w:pPr>
        <w:spacing w:line="360" w:lineRule="auto"/>
        <w:jc w:val="both"/>
      </w:pPr>
    </w:p>
    <w:p w14:paraId="5E64FEC8" w14:textId="77777777" w:rsidR="000A25CB" w:rsidRDefault="000A25CB" w:rsidP="000A25CB">
      <w:pPr>
        <w:spacing w:line="360" w:lineRule="auto"/>
        <w:jc w:val="both"/>
      </w:pPr>
    </w:p>
    <w:p w14:paraId="7EA19680" w14:textId="708CA363" w:rsidR="000A25CB" w:rsidRDefault="000A25CB" w:rsidP="000A25CB">
      <w:pPr>
        <w:spacing w:line="360" w:lineRule="auto"/>
        <w:jc w:val="both"/>
        <w:rPr>
          <w:rFonts w:ascii="Arial" w:hAnsi="Arial" w:cs="Arial"/>
          <w:sz w:val="24"/>
          <w:szCs w:val="24"/>
          <w:lang w:val="de-DE"/>
        </w:rPr>
      </w:pPr>
      <w:r>
        <w:t>Die Ergebnisse werden dann zur Literatur in Bezug gesetzt und in den bisherigen Wissensstand eingeordnet. Hier wird also der Kreis zum theoretischen Teil der Arbeit geschlossen. Für unerwartete (nicht hypothesenkonforme) Ergebnisse sollten plausible Erklärungen diskutiert und potentielle Einschränkungen der Studie (z.B. Repräsentativität) erörtert werden. Die Ergebnisse sollten (nach Relevanz, Validität usw.) gewichtet und der wesentliche Erkenntnisgewinn durch die Studie explizit hervorgehoben werden.</w:t>
      </w:r>
    </w:p>
    <w:p w14:paraId="0B31F37A" w14:textId="1817A716" w:rsidR="000A25CB" w:rsidRDefault="000A25CB" w:rsidP="000A25CB">
      <w:pPr>
        <w:pStyle w:val="berschrift2"/>
        <w:spacing w:line="360" w:lineRule="auto"/>
        <w:rPr>
          <w:lang w:val="de-DE"/>
        </w:rPr>
      </w:pPr>
      <w:r>
        <w:rPr>
          <w:lang w:val="de-DE"/>
        </w:rPr>
        <w:lastRenderedPageBreak/>
        <w:t>Limitationen</w:t>
      </w:r>
    </w:p>
    <w:p w14:paraId="032D1781" w14:textId="77777777" w:rsidR="000A25CB" w:rsidRDefault="000A25CB" w:rsidP="000A25CB">
      <w:pPr>
        <w:spacing w:line="360" w:lineRule="auto"/>
        <w:jc w:val="both"/>
      </w:pPr>
    </w:p>
    <w:p w14:paraId="26AB252A" w14:textId="77777777" w:rsidR="000A25CB" w:rsidRDefault="000A25CB" w:rsidP="000A25CB">
      <w:pPr>
        <w:spacing w:line="360" w:lineRule="auto"/>
        <w:jc w:val="both"/>
      </w:pPr>
    </w:p>
    <w:p w14:paraId="5E71B0C3" w14:textId="73EB5866" w:rsidR="000A25CB" w:rsidRDefault="000A25CB" w:rsidP="000A25CB">
      <w:pPr>
        <w:spacing w:line="360" w:lineRule="auto"/>
        <w:jc w:val="both"/>
        <w:rPr>
          <w:rFonts w:ascii="Arial" w:hAnsi="Arial" w:cs="Arial"/>
          <w:sz w:val="24"/>
          <w:szCs w:val="24"/>
          <w:lang w:val="de-DE"/>
        </w:rPr>
      </w:pPr>
      <w:r>
        <w:t>Wenn notwendig, werden auch Grenzen der eigenen Studie genannt; wenn möglich, Implikationen für das Anwendungsfeld/die Praxis abgeleitet.</w:t>
      </w:r>
    </w:p>
    <w:p w14:paraId="31D42E6E" w14:textId="4A970467" w:rsidR="000A25CB" w:rsidRDefault="000A25CB" w:rsidP="000A25CB">
      <w:pPr>
        <w:pStyle w:val="berschrift2"/>
        <w:spacing w:line="360" w:lineRule="auto"/>
        <w:rPr>
          <w:lang w:val="de-DE"/>
        </w:rPr>
      </w:pPr>
      <w:r>
        <w:rPr>
          <w:lang w:val="de-DE"/>
        </w:rPr>
        <w:t>Zukünftige Forschung</w:t>
      </w:r>
    </w:p>
    <w:p w14:paraId="1E90BBE9" w14:textId="77777777" w:rsidR="000A25CB" w:rsidRDefault="000A25CB" w:rsidP="00AF24DB">
      <w:pPr>
        <w:spacing w:line="360" w:lineRule="auto"/>
        <w:jc w:val="both"/>
        <w:rPr>
          <w:rFonts w:ascii="Arial" w:hAnsi="Arial" w:cs="Arial"/>
          <w:sz w:val="24"/>
          <w:szCs w:val="24"/>
          <w:lang w:val="de-DE"/>
        </w:rPr>
      </w:pPr>
    </w:p>
    <w:p w14:paraId="04E5461F" w14:textId="6016B603" w:rsidR="004F3D6E" w:rsidRDefault="00E908B4" w:rsidP="005F526A">
      <w:pPr>
        <w:spacing w:line="360" w:lineRule="auto"/>
        <w:jc w:val="both"/>
        <w:rPr>
          <w:rFonts w:ascii="Arial" w:hAnsi="Arial" w:cs="Arial"/>
          <w:sz w:val="24"/>
          <w:szCs w:val="24"/>
          <w:lang w:val="de-DE"/>
        </w:rPr>
      </w:pPr>
      <w:r>
        <w:t xml:space="preserve">Auf Basis der Ergebnisse der eigenen Studie wird ein Ausblick auf zukünftige Forschungsmöglichkeiten gegeben. </w:t>
      </w:r>
    </w:p>
    <w:p w14:paraId="3B187950" w14:textId="34F2C024" w:rsidR="00D23F1E" w:rsidRDefault="00D23F1E" w:rsidP="005F526A">
      <w:pPr>
        <w:spacing w:line="360" w:lineRule="auto"/>
        <w:jc w:val="both"/>
        <w:rPr>
          <w:rFonts w:ascii="Arial" w:hAnsi="Arial" w:cs="Arial"/>
          <w:sz w:val="24"/>
          <w:szCs w:val="24"/>
          <w:lang w:val="de-DE"/>
        </w:rPr>
      </w:pP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EF15C1" w:rsidRDefault="001D68A6" w:rsidP="000A64C9">
      <w:pPr>
        <w:pStyle w:val="berschrift1"/>
        <w:rPr>
          <w:color w:val="FF0000"/>
          <w:lang w:val="en-US"/>
        </w:rPr>
      </w:pPr>
      <w:r w:rsidRPr="00EF15C1">
        <w:rPr>
          <w:color w:val="FF0000"/>
          <w:lang w:val="en-US"/>
        </w:rPr>
        <w:lastRenderedPageBreak/>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34" w:name="_Toc109221705"/>
      <w:r w:rsidRPr="000A64C9">
        <w:rPr>
          <w:lang w:val="en-US"/>
        </w:rPr>
        <w:t>Prospect theory,</w:t>
      </w:r>
      <w:r>
        <w:rPr>
          <w:lang w:val="en-US"/>
        </w:rPr>
        <w:t xml:space="preserve"> </w:t>
      </w:r>
      <w:r w:rsidRPr="000A64C9">
        <w:rPr>
          <w:lang w:val="en-US"/>
        </w:rPr>
        <w:t>mental accounting, and momentum</w:t>
      </w:r>
      <w:bookmarkEnd w:id="34"/>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35" w:name="_Toc109221706"/>
      <w:r w:rsidRPr="00A71B0C">
        <w:rPr>
          <w:lang w:val="en-US"/>
        </w:rPr>
        <w:t>Money Doesn’t Stink. Or Does It? The Effect of Immorally Acquiring Money on Its Spending</w:t>
      </w:r>
      <w:bookmarkEnd w:id="35"/>
    </w:p>
    <w:p w14:paraId="419D0316" w14:textId="0016F227" w:rsidR="002342A7" w:rsidRDefault="006F776B" w:rsidP="006F776B">
      <w:pPr>
        <w:pStyle w:val="berschrift1"/>
        <w:rPr>
          <w:lang w:val="en-US"/>
        </w:rPr>
      </w:pPr>
      <w:bookmarkStart w:id="36" w:name="_Toc109221707"/>
      <w:r w:rsidRPr="006F776B">
        <w:rPr>
          <w:lang w:val="en-US"/>
        </w:rPr>
        <w:t>The framing of financial windfalls and implications for public policy</w:t>
      </w:r>
      <w:bookmarkEnd w:id="36"/>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60"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The Journal of Socio-Economics</w:t>
      </w:r>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7" w:name="_Toc109221708"/>
      <w:r w:rsidRPr="00AF68FC">
        <w:rPr>
          <w:lang w:val="en-US"/>
        </w:rPr>
        <w:t>The Role of Mental Accounting in Household Spending and Investing Decisions</w:t>
      </w:r>
      <w:bookmarkEnd w:id="37"/>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8" w:name="_Toc109221709"/>
      <w:r>
        <w:rPr>
          <w:lang w:val="en-US"/>
        </w:rPr>
        <w:t>Mental Accounting</w:t>
      </w:r>
      <w:bookmarkEnd w:id="38"/>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9" w:name="_Toc109221710"/>
      <w:r>
        <w:rPr>
          <w:lang w:val="en-US"/>
        </w:rPr>
        <w:t xml:space="preserve">Windfall </w:t>
      </w:r>
      <w:proofErr w:type="spellStart"/>
      <w:r>
        <w:rPr>
          <w:lang w:val="en-US"/>
        </w:rPr>
        <w:t>Quellen</w:t>
      </w:r>
      <w:bookmarkEnd w:id="39"/>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40" w:name="_Toc109221711"/>
      <w:r w:rsidRPr="00B541D0">
        <w:t>Warum</w:t>
      </w:r>
      <w:r>
        <w:t>/Für wen</w:t>
      </w:r>
      <w:r w:rsidRPr="00B541D0">
        <w:t xml:space="preserve"> ist mein S</w:t>
      </w:r>
      <w:r>
        <w:t>cheiß wichtig</w:t>
      </w:r>
      <w:bookmarkEnd w:id="40"/>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41" w:name="_Toc109221712"/>
      <w:proofErr w:type="spellStart"/>
      <w:r>
        <w:rPr>
          <w:lang w:val="en-US"/>
        </w:rPr>
        <w:t>Gute</w:t>
      </w:r>
      <w:proofErr w:type="spellEnd"/>
      <w:r>
        <w:rPr>
          <w:lang w:val="en-US"/>
        </w:rPr>
        <w:t xml:space="preserve"> </w:t>
      </w:r>
      <w:proofErr w:type="spellStart"/>
      <w:r>
        <w:rPr>
          <w:lang w:val="en-US"/>
        </w:rPr>
        <w:t>Struktur</w:t>
      </w:r>
      <w:bookmarkEnd w:id="41"/>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42" w:name="_Toc109221713"/>
      <w:r w:rsidRPr="00B541D0">
        <w:t>Literaturverzeichnis</w:t>
      </w:r>
      <w:bookmarkEnd w:id="42"/>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FA25863" w:rsidR="00172498" w:rsidRPr="00C85B1A" w:rsidRDefault="00172498" w:rsidP="00654EAE">
      <w:pPr>
        <w:spacing w:line="360" w:lineRule="auto"/>
        <w:jc w:val="both"/>
        <w:rPr>
          <w:rFonts w:ascii="Arial" w:hAnsi="Arial" w:cs="Arial"/>
          <w:sz w:val="24"/>
          <w:szCs w:val="24"/>
          <w:lang w:val="de-DE"/>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C85B1A">
        <w:rPr>
          <w:rFonts w:ascii="Arial" w:hAnsi="Arial" w:cs="Arial"/>
          <w:i/>
          <w:sz w:val="24"/>
          <w:szCs w:val="24"/>
          <w:lang w:val="de-DE"/>
        </w:rPr>
        <w:t xml:space="preserve">American </w:t>
      </w:r>
      <w:proofErr w:type="spellStart"/>
      <w:r w:rsidRPr="00C85B1A">
        <w:rPr>
          <w:rFonts w:ascii="Arial" w:hAnsi="Arial" w:cs="Arial"/>
          <w:i/>
          <w:sz w:val="24"/>
          <w:szCs w:val="24"/>
          <w:lang w:val="de-DE"/>
        </w:rPr>
        <w:t>economic</w:t>
      </w:r>
      <w:proofErr w:type="spellEnd"/>
      <w:r w:rsidRPr="00C85B1A">
        <w:rPr>
          <w:rFonts w:ascii="Arial" w:hAnsi="Arial" w:cs="Arial"/>
          <w:i/>
          <w:sz w:val="24"/>
          <w:szCs w:val="24"/>
          <w:lang w:val="de-DE"/>
        </w:rPr>
        <w:t xml:space="preserve"> review</w:t>
      </w:r>
      <w:r w:rsidRPr="00C85B1A">
        <w:rPr>
          <w:rFonts w:ascii="Arial" w:hAnsi="Arial" w:cs="Arial"/>
          <w:sz w:val="24"/>
          <w:szCs w:val="24"/>
          <w:lang w:val="de-DE"/>
        </w:rPr>
        <w:t>, 96(4), 1069-1090.</w:t>
      </w:r>
    </w:p>
    <w:p w14:paraId="32258FAE" w14:textId="5DB1CFE7" w:rsidR="00014860" w:rsidRPr="00014860" w:rsidRDefault="00014860" w:rsidP="00654EAE">
      <w:pPr>
        <w:spacing w:line="360" w:lineRule="auto"/>
        <w:jc w:val="both"/>
        <w:rPr>
          <w:rFonts w:ascii="Arial" w:hAnsi="Arial" w:cs="Arial"/>
          <w:sz w:val="24"/>
          <w:szCs w:val="24"/>
          <w:lang w:val="de-DE"/>
        </w:rPr>
      </w:pPr>
      <w:r w:rsidRPr="00014860">
        <w:rPr>
          <w:rFonts w:ascii="Arial" w:hAnsi="Arial" w:cs="Arial"/>
          <w:sz w:val="24"/>
          <w:szCs w:val="24"/>
          <w:lang w:val="de-DE"/>
        </w:rPr>
        <w:t xml:space="preserve">Bortz, J., &amp; Schuster, C. (2010). Tests zur Überprüfung von Unterschiedshypothesen. In </w:t>
      </w:r>
      <w:r w:rsidRPr="00014860">
        <w:rPr>
          <w:rFonts w:ascii="Arial" w:hAnsi="Arial" w:cs="Arial"/>
          <w:i/>
          <w:sz w:val="24"/>
          <w:szCs w:val="24"/>
          <w:lang w:val="de-DE"/>
        </w:rPr>
        <w:t xml:space="preserve">Statistik für </w:t>
      </w:r>
      <w:proofErr w:type="spellStart"/>
      <w:r w:rsidRPr="00014860">
        <w:rPr>
          <w:rFonts w:ascii="Arial" w:hAnsi="Arial" w:cs="Arial"/>
          <w:i/>
          <w:sz w:val="24"/>
          <w:szCs w:val="24"/>
          <w:lang w:val="de-DE"/>
        </w:rPr>
        <w:t>Human-und</w:t>
      </w:r>
      <w:proofErr w:type="spellEnd"/>
      <w:r w:rsidRPr="00014860">
        <w:rPr>
          <w:rFonts w:ascii="Arial" w:hAnsi="Arial" w:cs="Arial"/>
          <w:i/>
          <w:sz w:val="24"/>
          <w:szCs w:val="24"/>
          <w:lang w:val="de-DE"/>
        </w:rPr>
        <w:t xml:space="preserve"> Sozialwissenschaftler</w:t>
      </w:r>
      <w:r w:rsidRPr="00014860">
        <w:rPr>
          <w:rFonts w:ascii="Arial" w:hAnsi="Arial" w:cs="Arial"/>
          <w:sz w:val="24"/>
          <w:szCs w:val="24"/>
          <w:lang w:val="de-DE"/>
        </w:rPr>
        <w:t xml:space="preserve"> (pp. 117-136). Springer, Berlin, Heidelberg.</w:t>
      </w:r>
    </w:p>
    <w:p w14:paraId="0D469135" w14:textId="77777777" w:rsidR="0002242E" w:rsidRPr="00063722" w:rsidRDefault="0002242E" w:rsidP="008504D0">
      <w:pPr>
        <w:spacing w:line="360" w:lineRule="auto"/>
        <w:rPr>
          <w:rFonts w:ascii="Arial" w:hAnsi="Arial" w:cs="Arial"/>
          <w:sz w:val="24"/>
          <w:szCs w:val="24"/>
          <w:lang w:val="en-US"/>
        </w:rPr>
      </w:pPr>
      <w:r w:rsidRPr="00C85B1A">
        <w:rPr>
          <w:rFonts w:ascii="Arial" w:hAnsi="Arial" w:cs="Arial"/>
          <w:sz w:val="24"/>
          <w:szCs w:val="24"/>
          <w:lang w:val="de-DE"/>
        </w:rPr>
        <w:t xml:space="preserve">Briggs, J. S., </w:t>
      </w:r>
      <w:proofErr w:type="spellStart"/>
      <w:r w:rsidRPr="00C85B1A">
        <w:rPr>
          <w:rFonts w:ascii="Arial" w:hAnsi="Arial" w:cs="Arial"/>
          <w:sz w:val="24"/>
          <w:szCs w:val="24"/>
          <w:lang w:val="de-DE"/>
        </w:rPr>
        <w:t>Cesarini</w:t>
      </w:r>
      <w:proofErr w:type="spellEnd"/>
      <w:r w:rsidRPr="00C85B1A">
        <w:rPr>
          <w:rFonts w:ascii="Arial" w:hAnsi="Arial" w:cs="Arial"/>
          <w:sz w:val="24"/>
          <w:szCs w:val="24"/>
          <w:lang w:val="de-DE"/>
        </w:rPr>
        <w:t xml:space="preserve">, D., Lindqvist, E., &amp; Östling, R. (2015). </w:t>
      </w:r>
      <w:r w:rsidRPr="00063722">
        <w:rPr>
          <w:rFonts w:ascii="Arial" w:hAnsi="Arial" w:cs="Arial"/>
          <w:sz w:val="24"/>
          <w:szCs w:val="24"/>
          <w:lang w:val="en-US"/>
        </w:rPr>
        <w:t xml:space="preserve">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lastRenderedPageBreak/>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rebate?: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lastRenderedPageBreak/>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lastRenderedPageBreak/>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lastRenderedPageBreak/>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8FC2" w14:textId="77777777" w:rsidR="0031614F" w:rsidRDefault="0031614F" w:rsidP="008E6456">
      <w:pPr>
        <w:spacing w:after="0" w:line="240" w:lineRule="auto"/>
      </w:pPr>
      <w:r>
        <w:separator/>
      </w:r>
    </w:p>
  </w:endnote>
  <w:endnote w:type="continuationSeparator" w:id="0">
    <w:p w14:paraId="127B6C3B" w14:textId="77777777" w:rsidR="0031614F" w:rsidRDefault="0031614F"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BF7F2C" w:rsidRDefault="00BF7F2C">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BF7F2C" w:rsidRDefault="00BF7F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14B7" w14:textId="77777777" w:rsidR="0031614F" w:rsidRDefault="0031614F" w:rsidP="008E6456">
      <w:pPr>
        <w:spacing w:after="0" w:line="240" w:lineRule="auto"/>
      </w:pPr>
      <w:r>
        <w:separator/>
      </w:r>
    </w:p>
  </w:footnote>
  <w:footnote w:type="continuationSeparator" w:id="0">
    <w:p w14:paraId="28EF5577" w14:textId="77777777" w:rsidR="0031614F" w:rsidRDefault="0031614F"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9902699">
    <w:abstractNumId w:val="2"/>
  </w:num>
  <w:num w:numId="2" w16cid:durableId="953442502">
    <w:abstractNumId w:val="0"/>
  </w:num>
  <w:num w:numId="3" w16cid:durableId="1283657650">
    <w:abstractNumId w:val="3"/>
  </w:num>
  <w:num w:numId="4" w16cid:durableId="2012104966">
    <w:abstractNumId w:val="4"/>
  </w:num>
  <w:num w:numId="5" w16cid:durableId="167827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05E76"/>
    <w:rsid w:val="00010D82"/>
    <w:rsid w:val="000139B1"/>
    <w:rsid w:val="0001473A"/>
    <w:rsid w:val="00014860"/>
    <w:rsid w:val="00021F32"/>
    <w:rsid w:val="0002242E"/>
    <w:rsid w:val="00030EF1"/>
    <w:rsid w:val="000326BB"/>
    <w:rsid w:val="00033F57"/>
    <w:rsid w:val="00053B05"/>
    <w:rsid w:val="00057534"/>
    <w:rsid w:val="00063722"/>
    <w:rsid w:val="000711C8"/>
    <w:rsid w:val="00074DB4"/>
    <w:rsid w:val="00086306"/>
    <w:rsid w:val="000907DD"/>
    <w:rsid w:val="00090AA3"/>
    <w:rsid w:val="00093AA8"/>
    <w:rsid w:val="00097FC7"/>
    <w:rsid w:val="000A0D9A"/>
    <w:rsid w:val="000A25CB"/>
    <w:rsid w:val="000A4222"/>
    <w:rsid w:val="000A64C9"/>
    <w:rsid w:val="000B4A3B"/>
    <w:rsid w:val="000B7890"/>
    <w:rsid w:val="000E46F8"/>
    <w:rsid w:val="000F69AC"/>
    <w:rsid w:val="00101841"/>
    <w:rsid w:val="00110A96"/>
    <w:rsid w:val="0011428C"/>
    <w:rsid w:val="00120774"/>
    <w:rsid w:val="00127D71"/>
    <w:rsid w:val="001323DC"/>
    <w:rsid w:val="001360DD"/>
    <w:rsid w:val="00136A84"/>
    <w:rsid w:val="001440BC"/>
    <w:rsid w:val="001552BA"/>
    <w:rsid w:val="00164D05"/>
    <w:rsid w:val="00165FA2"/>
    <w:rsid w:val="00172498"/>
    <w:rsid w:val="0017326A"/>
    <w:rsid w:val="00176D26"/>
    <w:rsid w:val="00185FCA"/>
    <w:rsid w:val="001863F7"/>
    <w:rsid w:val="00192FED"/>
    <w:rsid w:val="00197F2F"/>
    <w:rsid w:val="001A10D5"/>
    <w:rsid w:val="001A54FD"/>
    <w:rsid w:val="001B2D9F"/>
    <w:rsid w:val="001C4D7C"/>
    <w:rsid w:val="001C78D1"/>
    <w:rsid w:val="001D1313"/>
    <w:rsid w:val="001D51CE"/>
    <w:rsid w:val="001D68A6"/>
    <w:rsid w:val="001E50B1"/>
    <w:rsid w:val="001E5D19"/>
    <w:rsid w:val="00200443"/>
    <w:rsid w:val="00205996"/>
    <w:rsid w:val="00221FE1"/>
    <w:rsid w:val="002240BB"/>
    <w:rsid w:val="00234093"/>
    <w:rsid w:val="002342A7"/>
    <w:rsid w:val="00241E85"/>
    <w:rsid w:val="0025125D"/>
    <w:rsid w:val="002607E9"/>
    <w:rsid w:val="00264809"/>
    <w:rsid w:val="00264FA7"/>
    <w:rsid w:val="00266D68"/>
    <w:rsid w:val="002719A6"/>
    <w:rsid w:val="0027232E"/>
    <w:rsid w:val="002737FA"/>
    <w:rsid w:val="002767DE"/>
    <w:rsid w:val="0027713C"/>
    <w:rsid w:val="00277E88"/>
    <w:rsid w:val="00280FB4"/>
    <w:rsid w:val="00284466"/>
    <w:rsid w:val="00293F67"/>
    <w:rsid w:val="002A1256"/>
    <w:rsid w:val="002A5E76"/>
    <w:rsid w:val="002B5514"/>
    <w:rsid w:val="002C37EE"/>
    <w:rsid w:val="002D5E40"/>
    <w:rsid w:val="002E502A"/>
    <w:rsid w:val="002E7D58"/>
    <w:rsid w:val="002F46D4"/>
    <w:rsid w:val="003071A8"/>
    <w:rsid w:val="00310463"/>
    <w:rsid w:val="00315B18"/>
    <w:rsid w:val="0031614F"/>
    <w:rsid w:val="003204A3"/>
    <w:rsid w:val="00325783"/>
    <w:rsid w:val="00332CC0"/>
    <w:rsid w:val="00333F06"/>
    <w:rsid w:val="003354F9"/>
    <w:rsid w:val="00340DD5"/>
    <w:rsid w:val="00341661"/>
    <w:rsid w:val="003544C7"/>
    <w:rsid w:val="0035521C"/>
    <w:rsid w:val="00356AD1"/>
    <w:rsid w:val="00356C29"/>
    <w:rsid w:val="00366099"/>
    <w:rsid w:val="003946BB"/>
    <w:rsid w:val="0039734D"/>
    <w:rsid w:val="003B1E5C"/>
    <w:rsid w:val="003B38A2"/>
    <w:rsid w:val="003C7A68"/>
    <w:rsid w:val="003C7F52"/>
    <w:rsid w:val="003E35EB"/>
    <w:rsid w:val="003F225E"/>
    <w:rsid w:val="00401936"/>
    <w:rsid w:val="00401C36"/>
    <w:rsid w:val="004103FB"/>
    <w:rsid w:val="004112D8"/>
    <w:rsid w:val="004147FC"/>
    <w:rsid w:val="00431541"/>
    <w:rsid w:val="00432927"/>
    <w:rsid w:val="004413C0"/>
    <w:rsid w:val="00457201"/>
    <w:rsid w:val="00460280"/>
    <w:rsid w:val="00463393"/>
    <w:rsid w:val="00464FD5"/>
    <w:rsid w:val="00494A8F"/>
    <w:rsid w:val="004B2394"/>
    <w:rsid w:val="004D03FF"/>
    <w:rsid w:val="004F3D6E"/>
    <w:rsid w:val="004F7554"/>
    <w:rsid w:val="00503704"/>
    <w:rsid w:val="00503AB5"/>
    <w:rsid w:val="005054B3"/>
    <w:rsid w:val="0050679B"/>
    <w:rsid w:val="00507755"/>
    <w:rsid w:val="005121CE"/>
    <w:rsid w:val="005221BF"/>
    <w:rsid w:val="00544BC8"/>
    <w:rsid w:val="005455FE"/>
    <w:rsid w:val="00546CAC"/>
    <w:rsid w:val="00560BE9"/>
    <w:rsid w:val="005627B8"/>
    <w:rsid w:val="00572F74"/>
    <w:rsid w:val="00577AA2"/>
    <w:rsid w:val="005847CE"/>
    <w:rsid w:val="00594C22"/>
    <w:rsid w:val="005959C5"/>
    <w:rsid w:val="005A0EBF"/>
    <w:rsid w:val="005A19FE"/>
    <w:rsid w:val="005A1F42"/>
    <w:rsid w:val="005D3040"/>
    <w:rsid w:val="005D4E4D"/>
    <w:rsid w:val="005D71BC"/>
    <w:rsid w:val="005E1081"/>
    <w:rsid w:val="005E59A3"/>
    <w:rsid w:val="005F33FD"/>
    <w:rsid w:val="005F3BB6"/>
    <w:rsid w:val="005F526A"/>
    <w:rsid w:val="005F6921"/>
    <w:rsid w:val="006009DD"/>
    <w:rsid w:val="006047A9"/>
    <w:rsid w:val="00610E52"/>
    <w:rsid w:val="006167C5"/>
    <w:rsid w:val="006259EF"/>
    <w:rsid w:val="00646D01"/>
    <w:rsid w:val="00654EAE"/>
    <w:rsid w:val="00660E8E"/>
    <w:rsid w:val="006667BE"/>
    <w:rsid w:val="00667A1F"/>
    <w:rsid w:val="00673B9F"/>
    <w:rsid w:val="00673FB2"/>
    <w:rsid w:val="0068209D"/>
    <w:rsid w:val="00682CB7"/>
    <w:rsid w:val="006906CE"/>
    <w:rsid w:val="00694110"/>
    <w:rsid w:val="006A1795"/>
    <w:rsid w:val="006A47A0"/>
    <w:rsid w:val="006A7FD9"/>
    <w:rsid w:val="006B0E99"/>
    <w:rsid w:val="006B6154"/>
    <w:rsid w:val="006B6EC6"/>
    <w:rsid w:val="006C3C39"/>
    <w:rsid w:val="006D1F63"/>
    <w:rsid w:val="006F7269"/>
    <w:rsid w:val="006F776B"/>
    <w:rsid w:val="006F7C5F"/>
    <w:rsid w:val="00700BEB"/>
    <w:rsid w:val="007057F1"/>
    <w:rsid w:val="00714233"/>
    <w:rsid w:val="00730A28"/>
    <w:rsid w:val="00733769"/>
    <w:rsid w:val="007617D9"/>
    <w:rsid w:val="0076276F"/>
    <w:rsid w:val="00767A82"/>
    <w:rsid w:val="007741FD"/>
    <w:rsid w:val="007767B3"/>
    <w:rsid w:val="007770E5"/>
    <w:rsid w:val="0077722E"/>
    <w:rsid w:val="00786CA2"/>
    <w:rsid w:val="00786F9A"/>
    <w:rsid w:val="00794053"/>
    <w:rsid w:val="007A3A58"/>
    <w:rsid w:val="007A7279"/>
    <w:rsid w:val="007C7249"/>
    <w:rsid w:val="007E5CC0"/>
    <w:rsid w:val="007E62B9"/>
    <w:rsid w:val="007F1081"/>
    <w:rsid w:val="007F1A72"/>
    <w:rsid w:val="007F1CA5"/>
    <w:rsid w:val="007F4A64"/>
    <w:rsid w:val="00802E5F"/>
    <w:rsid w:val="00802F5B"/>
    <w:rsid w:val="0083565E"/>
    <w:rsid w:val="00843EE2"/>
    <w:rsid w:val="0084511A"/>
    <w:rsid w:val="0084702F"/>
    <w:rsid w:val="008504D0"/>
    <w:rsid w:val="00853211"/>
    <w:rsid w:val="0085468A"/>
    <w:rsid w:val="00860582"/>
    <w:rsid w:val="00862842"/>
    <w:rsid w:val="00866D5B"/>
    <w:rsid w:val="008739D7"/>
    <w:rsid w:val="00877E0B"/>
    <w:rsid w:val="00881AAF"/>
    <w:rsid w:val="00885D00"/>
    <w:rsid w:val="0088606D"/>
    <w:rsid w:val="008A1938"/>
    <w:rsid w:val="008B0C9E"/>
    <w:rsid w:val="008B12A8"/>
    <w:rsid w:val="008B75BF"/>
    <w:rsid w:val="008C1BDF"/>
    <w:rsid w:val="008C2921"/>
    <w:rsid w:val="008D0853"/>
    <w:rsid w:val="008D59C9"/>
    <w:rsid w:val="008D7FDF"/>
    <w:rsid w:val="008E6456"/>
    <w:rsid w:val="008F067E"/>
    <w:rsid w:val="008F08BA"/>
    <w:rsid w:val="008F4580"/>
    <w:rsid w:val="009021B9"/>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B7F2C"/>
    <w:rsid w:val="009D58BE"/>
    <w:rsid w:val="009E0731"/>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2C99"/>
    <w:rsid w:val="00A9487D"/>
    <w:rsid w:val="00AA259D"/>
    <w:rsid w:val="00AA3D8C"/>
    <w:rsid w:val="00AA5A00"/>
    <w:rsid w:val="00AB2DC8"/>
    <w:rsid w:val="00AB4082"/>
    <w:rsid w:val="00AC0A99"/>
    <w:rsid w:val="00AD03BE"/>
    <w:rsid w:val="00AD3228"/>
    <w:rsid w:val="00AD493D"/>
    <w:rsid w:val="00AD6523"/>
    <w:rsid w:val="00AE7152"/>
    <w:rsid w:val="00AE7B73"/>
    <w:rsid w:val="00AE7DDE"/>
    <w:rsid w:val="00AF24DB"/>
    <w:rsid w:val="00AF2744"/>
    <w:rsid w:val="00AF68FC"/>
    <w:rsid w:val="00B019C0"/>
    <w:rsid w:val="00B04823"/>
    <w:rsid w:val="00B12048"/>
    <w:rsid w:val="00B27AC0"/>
    <w:rsid w:val="00B304BF"/>
    <w:rsid w:val="00B37CEB"/>
    <w:rsid w:val="00B447BA"/>
    <w:rsid w:val="00B541D0"/>
    <w:rsid w:val="00B55FD7"/>
    <w:rsid w:val="00B57579"/>
    <w:rsid w:val="00B70FC7"/>
    <w:rsid w:val="00B71A81"/>
    <w:rsid w:val="00B83276"/>
    <w:rsid w:val="00B931E8"/>
    <w:rsid w:val="00B94D94"/>
    <w:rsid w:val="00B96172"/>
    <w:rsid w:val="00B97AA6"/>
    <w:rsid w:val="00B97B07"/>
    <w:rsid w:val="00BA2A62"/>
    <w:rsid w:val="00BB018E"/>
    <w:rsid w:val="00BB4316"/>
    <w:rsid w:val="00BC18F6"/>
    <w:rsid w:val="00BE27A8"/>
    <w:rsid w:val="00BF3AE2"/>
    <w:rsid w:val="00BF5CB4"/>
    <w:rsid w:val="00BF7F2C"/>
    <w:rsid w:val="00C01C10"/>
    <w:rsid w:val="00C066F7"/>
    <w:rsid w:val="00C13893"/>
    <w:rsid w:val="00C14EF6"/>
    <w:rsid w:val="00C2572E"/>
    <w:rsid w:val="00C3183B"/>
    <w:rsid w:val="00C3523C"/>
    <w:rsid w:val="00C375BB"/>
    <w:rsid w:val="00C45FC0"/>
    <w:rsid w:val="00C50D78"/>
    <w:rsid w:val="00C5502D"/>
    <w:rsid w:val="00C552FE"/>
    <w:rsid w:val="00C733A7"/>
    <w:rsid w:val="00C76044"/>
    <w:rsid w:val="00C80047"/>
    <w:rsid w:val="00C85AB6"/>
    <w:rsid w:val="00C85B1A"/>
    <w:rsid w:val="00C86B34"/>
    <w:rsid w:val="00C90ADF"/>
    <w:rsid w:val="00C92424"/>
    <w:rsid w:val="00CA1C98"/>
    <w:rsid w:val="00CA46FC"/>
    <w:rsid w:val="00CC11EF"/>
    <w:rsid w:val="00CC29B5"/>
    <w:rsid w:val="00CC2EAE"/>
    <w:rsid w:val="00CC32BF"/>
    <w:rsid w:val="00CC48B5"/>
    <w:rsid w:val="00CC592E"/>
    <w:rsid w:val="00CD319C"/>
    <w:rsid w:val="00CE5F6D"/>
    <w:rsid w:val="00D01D7E"/>
    <w:rsid w:val="00D0428D"/>
    <w:rsid w:val="00D13E6B"/>
    <w:rsid w:val="00D17A8D"/>
    <w:rsid w:val="00D21583"/>
    <w:rsid w:val="00D23F1E"/>
    <w:rsid w:val="00D30576"/>
    <w:rsid w:val="00D35396"/>
    <w:rsid w:val="00D41466"/>
    <w:rsid w:val="00D45A7A"/>
    <w:rsid w:val="00D475A5"/>
    <w:rsid w:val="00D4785F"/>
    <w:rsid w:val="00D50D25"/>
    <w:rsid w:val="00D557C8"/>
    <w:rsid w:val="00D74302"/>
    <w:rsid w:val="00D776F3"/>
    <w:rsid w:val="00D843B6"/>
    <w:rsid w:val="00DA0C29"/>
    <w:rsid w:val="00DA1C22"/>
    <w:rsid w:val="00DA49D7"/>
    <w:rsid w:val="00DB0E6D"/>
    <w:rsid w:val="00DC3EB4"/>
    <w:rsid w:val="00DD1464"/>
    <w:rsid w:val="00DE364B"/>
    <w:rsid w:val="00DF0522"/>
    <w:rsid w:val="00DF0DB6"/>
    <w:rsid w:val="00DF35B4"/>
    <w:rsid w:val="00DF7AA8"/>
    <w:rsid w:val="00E026D9"/>
    <w:rsid w:val="00E11589"/>
    <w:rsid w:val="00E304D8"/>
    <w:rsid w:val="00E51BAE"/>
    <w:rsid w:val="00E54136"/>
    <w:rsid w:val="00E5549F"/>
    <w:rsid w:val="00E60847"/>
    <w:rsid w:val="00E60D10"/>
    <w:rsid w:val="00E908B4"/>
    <w:rsid w:val="00E90909"/>
    <w:rsid w:val="00EA1C4B"/>
    <w:rsid w:val="00EA42DE"/>
    <w:rsid w:val="00EA7DD2"/>
    <w:rsid w:val="00EB7353"/>
    <w:rsid w:val="00EC33FB"/>
    <w:rsid w:val="00ED3A7E"/>
    <w:rsid w:val="00EE122C"/>
    <w:rsid w:val="00EE5B23"/>
    <w:rsid w:val="00EF15C1"/>
    <w:rsid w:val="00EF5FBC"/>
    <w:rsid w:val="00F00141"/>
    <w:rsid w:val="00F10E1A"/>
    <w:rsid w:val="00F151CD"/>
    <w:rsid w:val="00F17025"/>
    <w:rsid w:val="00F258ED"/>
    <w:rsid w:val="00F307AE"/>
    <w:rsid w:val="00F31D19"/>
    <w:rsid w:val="00F340AA"/>
    <w:rsid w:val="00F40195"/>
    <w:rsid w:val="00F42FCA"/>
    <w:rsid w:val="00F514DD"/>
    <w:rsid w:val="00F56543"/>
    <w:rsid w:val="00F57D99"/>
    <w:rsid w:val="00F60831"/>
    <w:rsid w:val="00F7317D"/>
    <w:rsid w:val="00F75A43"/>
    <w:rsid w:val="00F7698A"/>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file:///C:/Users/Alex/Documents/Psychologie/Masterarbeit/Masterarbeit/Literatur/Framing/The%20framing%20of%20financial%20windfalls%20and%20implications%20for%20public%20policy.pdf"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T"/>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A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T"/>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15797</Words>
  <Characters>90044</Characters>
  <Application>Microsoft Office Word</Application>
  <DocSecurity>0</DocSecurity>
  <Lines>750</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41</cp:revision>
  <dcterms:created xsi:type="dcterms:W3CDTF">2022-07-15T05:59:00Z</dcterms:created>
  <dcterms:modified xsi:type="dcterms:W3CDTF">2022-08-02T06:47:00Z</dcterms:modified>
</cp:coreProperties>
</file>