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111111"/>
          <w:sz w:val="72"/>
          <w:szCs w:val="72"/>
        </w:rPr>
        <w:t xml:space="preserve">NRV</w:t>
      </w:r>
    </w:p>
    <w:p>
      <w:pPr>
        <w:spacing w:after="80" w:before="0"/>
      </w:pPr>
      <w:r>
        <w:rPr>
          <w:rFonts w:ascii="Arial" w:cs="Arial" w:eastAsia="Arial" w:hAnsi="Arial"/>
          <w:color w:val="666666"/>
          <w:sz w:val="36"/>
          <w:szCs w:val="36"/>
        </w:rPr>
        <w:t xml:space="preserve">Net Realization Value</w:t>
      </w:r>
    </w:p>
    <w:p>
      <w:pPr>
        <w:spacing w:after="320" w:before="0"/>
      </w:pPr>
      <w:r>
        <w:rPr>
          <w:rFonts w:ascii="Arial" w:cs="Arial" w:eastAsia="Arial" w:hAnsi="Arial"/>
          <w:i/>
          <w:iCs/>
          <w:color w:val="666666"/>
          <w:sz w:val="24"/>
          <w:szCs w:val="24"/>
        </w:rPr>
        <w:t xml:space="preserve">Standard Operating Procedure — Value Engineering</w:t>
      </w:r>
    </w:p>
    <w:p>
      <w:pPr>
        <w:pBdr>
          <w:bottom w:val="single" w:color="CCCCCC" w:sz="4" w:space="1"/>
        </w:pBdr>
        <w:spacing w:after="120" w:before="120"/>
      </w:pPr>
      <w:r>
        <w:t xml:space="preserve"/>
      </w:r>
    </w:p>
    <w:p>
      <w:pPr>
        <w:spacing w:after="0" w:before="80"/>
      </w:pPr>
      <w:r>
        <w:t xml:space="preserve"/>
      </w:r>
    </w:p>
    <w:p>
      <w:pPr>
        <w:spacing w:after="60" w:before="60"/>
      </w:pPr>
      <w:r>
        <w:rPr>
          <w:rFonts w:ascii="Arial" w:cs="Arial" w:eastAsia="Arial" w:hAnsi="Arial"/>
          <w:color w:val="444444"/>
          <w:sz w:val="22"/>
          <w:szCs w:val="22"/>
        </w:rPr>
        <w:t xml:space="preserve">This document defines the step-by-step methodology for computing a defensible Net Realization Value. Every coefficient is tied to a published academic or industry study. Every assumption is visible. Every overlap is audited. The output is not a guarantee — it is the most honest forward estimate that available evidence supports.</w:t>
      </w:r>
    </w:p>
    <w:p>
      <w:pPr>
        <w:spacing w:after="0" w:before="100"/>
      </w:pPr>
      <w:r>
        <w:t xml:space="preserve"/>
      </w:r>
    </w:p>
    <w:p>
      <w:pPr>
        <w:pStyle w:val="Heading2"/>
        <w:spacing w:after="100" w:before="280"/>
      </w:pPr>
      <w:r>
        <w:rPr>
          <w:rFonts w:ascii="Arial" w:cs="Arial" w:eastAsia="Arial" w:hAnsi="Arial"/>
          <w:b/>
          <w:bCs/>
          <w:color w:val="222222"/>
          <w:sz w:val="26"/>
          <w:szCs w:val="26"/>
        </w:rPr>
        <w:t xml:space="preserve">The First Principle: All Technology Value Decays</w:t>
      </w:r>
    </w:p>
    <w:p>
      <w:pPr>
        <w:spacing w:after="60" w:before="60"/>
      </w:pPr>
      <w:r>
        <w:rPr>
          <w:rFonts w:ascii="Arial" w:cs="Arial" w:eastAsia="Arial" w:hAnsi="Arial"/>
          <w:color w:val="444444"/>
          <w:sz w:val="22"/>
          <w:szCs w:val="22"/>
        </w:rPr>
        <w:t xml:space="preserve">This is not a conditional statement. It is not a penalty applied to bad implementations or overlapping claims. It is the default physical and economic reality of every technology investment, without exception.</w:t>
      </w:r>
    </w:p>
    <w:p>
      <w:pPr>
        <w:spacing w:after="0" w:before="80"/>
      </w:pPr>
      <w:r>
        <w:t xml:space="preserve"/>
      </w:r>
    </w:p>
    <w:p>
      <w:pPr>
        <w:spacing w:after="60" w:before="60"/>
      </w:pPr>
      <w:r>
        <w:rPr>
          <w:rFonts w:ascii="Arial" w:cs="Arial" w:eastAsia="Arial" w:hAnsi="Arial"/>
          <w:color w:val="444444"/>
          <w:sz w:val="22"/>
          <w:szCs w:val="22"/>
        </w:rPr>
        <w:t xml:space="preserve">Three forces act on every dollar of projected value simultaneously, from the moment the contract is signed:</w:t>
      </w:r>
    </w:p>
    <w:p>
      <w:pPr>
        <w:spacing w:after="0" w:before="60"/>
      </w:pPr>
      <w:r>
        <w:t xml:space="preserve"/>
      </w:r>
    </w:p>
    <w:p>
      <w:pPr>
        <w:pStyle w:val="ListParagraph"/>
        <w:numPr>
          <w:ilvl w:val="0"/>
          <w:numId w:val="2"/>
        </w:numPr>
        <w:spacing w:after="40" w:before="40"/>
      </w:pPr>
      <w:r>
        <w:rPr>
          <w:rFonts w:ascii="Arial" w:cs="Arial" w:eastAsia="Arial" w:hAnsi="Arial"/>
          <w:b/>
          <w:bCs/>
          <w:color w:val="222222"/>
          <w:sz w:val="22"/>
          <w:szCs w:val="22"/>
        </w:rPr>
        <w:t xml:space="preserve">Adoption friction slows realization on the way in. </w:t>
      </w:r>
      <w:r>
        <w:rPr>
          <w:rFonts w:ascii="Arial" w:cs="Arial" w:eastAsia="Arial" w:hAnsi="Arial"/>
          <w:color w:val="444444"/>
          <w:sz w:val="22"/>
          <w:szCs w:val="22"/>
        </w:rPr>
        <w:t xml:space="preserve">No solution delivers 100% of its modeled value in Year 1. Behavior change takes time. Integration quality builds. Staff learn. The ramp-up is real and must be modeled, not assumed away.</w:t>
      </w:r>
    </w:p>
    <w:p>
      <w:pPr>
        <w:pStyle w:val="ListParagraph"/>
        <w:numPr>
          <w:ilvl w:val="0"/>
          <w:numId w:val="2"/>
        </w:numPr>
        <w:spacing w:after="40" w:before="40"/>
      </w:pPr>
      <w:r>
        <w:rPr>
          <w:rFonts w:ascii="Arial" w:cs="Arial" w:eastAsia="Arial" w:hAnsi="Arial"/>
          <w:b/>
          <w:bCs/>
          <w:color w:val="222222"/>
          <w:sz w:val="22"/>
          <w:szCs w:val="22"/>
        </w:rPr>
        <w:t xml:space="preserve">Entropy erodes realization at the peak. </w:t>
      </w:r>
      <w:r>
        <w:rPr>
          <w:rFonts w:ascii="Arial" w:cs="Arial" w:eastAsia="Arial" w:hAnsi="Arial"/>
          <w:color w:val="444444"/>
          <w:sz w:val="22"/>
          <w:szCs w:val="22"/>
        </w:rPr>
        <w:t xml:space="preserve">Staff turn over and take institutional knowledge with them. Processes drift as adjacent workflows change. Data quality degrades without active governance. These are not edge cases — they are operating constants in every distribution environment.</w:t>
      </w:r>
    </w:p>
    <w:p>
      <w:pPr>
        <w:pStyle w:val="ListParagraph"/>
        <w:numPr>
          <w:ilvl w:val="0"/>
          <w:numId w:val="2"/>
        </w:numPr>
        <w:spacing w:after="40" w:before="40"/>
      </w:pPr>
      <w:r>
        <w:rPr>
          <w:rFonts w:ascii="Arial" w:cs="Arial" w:eastAsia="Arial" w:hAnsi="Arial"/>
          <w:b/>
          <w:bCs/>
          <w:color w:val="222222"/>
          <w:sz w:val="22"/>
          <w:szCs w:val="22"/>
        </w:rPr>
        <w:t xml:space="preserve">Market commoditization compresses the competitive premium. </w:t>
      </w:r>
      <w:r>
        <w:rPr>
          <w:rFonts w:ascii="Arial" w:cs="Arial" w:eastAsia="Arial" w:hAnsi="Arial"/>
          <w:color w:val="444444"/>
          <w:sz w:val="22"/>
          <w:szCs w:val="22"/>
        </w:rPr>
        <w:t xml:space="preserve">As a technology becomes more accessible, the advantage of deploying it narrows. A handheld RFID reader available for under $500 delivers a shorter alpha window than a fixed overhead network requiring months of capital installation. The market frontier advances regardless of what any individual firm does.</w:t>
      </w:r>
    </w:p>
    <w:p>
      <w:pPr>
        <w:spacing w:after="0" w:before="80"/>
      </w:pPr>
      <w:r>
        <w:t xml:space="preserve"/>
      </w:r>
    </w:p>
    <w:p>
      <w:pPr>
        <w:spacing w:after="60" w:before="60"/>
      </w:pPr>
      <w:r>
        <w:rPr>
          <w:rFonts w:ascii="Arial" w:cs="Arial" w:eastAsia="Arial" w:hAnsi="Arial"/>
          <w:i/>
          <w:iCs/>
          <w:color w:val="444444"/>
          <w:sz w:val="22"/>
          <w:szCs w:val="22"/>
        </w:rPr>
        <w:t xml:space="preserve">A model that does not account for all three forces is not conservative — it is wrong. The adjustments in this SOP are not optional modifiers for problem cases. They apply to every driver in every engagement.</w:t>
      </w:r>
    </w:p>
    <w:p>
      <w:pPr>
        <w:spacing w:after="0" w:before="100"/>
      </w:pPr>
      <w:r>
        <w:t xml:space="preserve"/>
      </w:r>
    </w:p>
    <w:p>
      <w:pPr>
        <w:spacing w:after="60" w:before="60"/>
      </w:pPr>
      <w:r>
        <w:rPr>
          <w:rFonts w:ascii="Arial" w:cs="Arial" w:eastAsia="Arial" w:hAnsi="Arial"/>
          <w:b/>
          <w:bCs/>
          <w:color w:val="444444"/>
          <w:sz w:val="22"/>
          <w:szCs w:val="22"/>
        </w:rPr>
        <w:t xml:space="preserve">Model period: 5 years. Three-year models hide the decay entirely — by design.</w:t>
      </w:r>
    </w:p>
    <w:p>
      <w:pPr>
        <w:spacing w:after="60" w:before="60"/>
      </w:pPr>
      <w:r>
        <w:rPr>
          <w:rFonts w:ascii="Arial" w:cs="Arial" w:eastAsia="Arial" w:hAnsi="Arial"/>
          <w:b/>
          <w:bCs/>
          <w:color w:val="444444"/>
          <w:sz w:val="22"/>
          <w:szCs w:val="22"/>
        </w:rPr>
        <w:t xml:space="preserve">Standard discount rate: WACC = 10% (sensitivity at 8%, 10%, 12%).</w:t>
      </w:r>
    </w:p>
    <w:p>
      <w:pPr>
        <w:spacing w:after="60" w:before="60"/>
      </w:pPr>
      <w:r>
        <w:rPr>
          <w:rFonts w:ascii="Arial" w:cs="Arial" w:eastAsia="Arial" w:hAnsi="Arial"/>
          <w:b/>
          <w:bCs/>
          <w:color w:val="444444"/>
          <w:sz w:val="22"/>
          <w:szCs w:val="22"/>
        </w:rPr>
        <w:t xml:space="preserve">Return metric: MIRR, not IRR (see Step 8).</w:t>
      </w:r>
    </w:p>
    <w:p>
      <w:pPr>
        <w:spacing w:after="0" w:before="200"/>
      </w:pPr>
      <w:r>
        <w:t xml:space="preserve"/>
      </w:r>
    </w:p>
    <w:p>
      <w:pPr>
        <w:pStyle w:val="Heading1"/>
        <w:pBdr>
          <w:bottom w:val="single" w:color="CCCCCC" w:sz="6" w:space="6"/>
        </w:pBdr>
        <w:spacing w:after="160" w:before="360"/>
      </w:pPr>
      <w:r>
        <w:rPr>
          <w:rFonts w:ascii="Arial" w:cs="Arial" w:eastAsia="Arial" w:hAnsi="Arial"/>
          <w:b/>
          <w:bCs/>
          <w:color w:val="111111"/>
          <w:sz w:val="32"/>
          <w:szCs w:val="32"/>
        </w:rPr>
        <w:t xml:space="preserve">The Master Formula</w:t>
      </w:r>
    </w:p>
    <w:p>
      <w:pPr>
        <w:spacing w:after="0" w:before="60"/>
      </w:pPr>
      <w:r>
        <w:t xml:space="preserve"/>
      </w:r>
    </w:p>
    <w:p>
      <w:pPr>
        <w:spacing w:after="60" w:before="60"/>
      </w:pPr>
      <w:r>
        <w:rPr>
          <w:rFonts w:ascii="Arial" w:cs="Arial" w:eastAsia="Arial" w:hAnsi="Arial"/>
          <w:color w:val="444444"/>
          <w:sz w:val="22"/>
          <w:szCs w:val="22"/>
        </w:rPr>
        <w:t xml:space="preserve">NRV integrates seven distinct adjustments to a raw benefit estimate. Each adjustment makes the number more conservative and more defensible. None are optional.</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40"/>
              <w:bottom w:type="dxa" w:w="120"/>
              <w:right w:type="dxa" w:w="240"/>
            </w:tcMar>
          </w:tcPr>
          <w:p>
            <w:pPr>
              <w:spacing w:after="0" w:before="0"/>
              <w:jc w:val="center"/>
            </w:pPr>
            <w:r>
              <w:rPr>
                <w:rFonts w:ascii="Courier New" w:cs="Courier New" w:eastAsia="Courier New" w:hAnsi="Courier New"/>
                <w:b/>
                <w:bCs/>
                <w:color w:val="111111"/>
                <w:sz w:val="21"/>
                <w:szCs w:val="21"/>
              </w:rPr>
              <w:t xml:space="preserve">NRV = NPV of { [Gross Benefit(t) x r(t) x (1-h) x A(t)] + Decay_Avoided(t) } - TCO(t)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5760"/>
      </w:tblGrid>
      <w:tr>
        <w:trPr>
          <w:tblHeader/>
        </w:trPr>
        <w:tc>
          <w:tcPr>
            <w:tcW w:type="dxa" w:w="144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spacing w:after="0" w:before="0"/>
            </w:pPr>
            <w:r>
              <w:rPr>
                <w:rFonts w:ascii="Arial" w:cs="Arial" w:eastAsia="Arial" w:hAnsi="Arial"/>
                <w:b/>
                <w:bCs/>
                <w:color w:val="111111"/>
                <w:sz w:val="18"/>
                <w:szCs w:val="18"/>
              </w:rPr>
              <w:t xml:space="preserve">Variable</w:t>
            </w:r>
          </w:p>
        </w:tc>
        <w:tc>
          <w:tcPr>
            <w:tcW w:type="dxa" w:w="21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spacing w:after="0" w:before="0"/>
            </w:pPr>
            <w:r>
              <w:rPr>
                <w:rFonts w:ascii="Arial" w:cs="Arial" w:eastAsia="Arial" w:hAnsi="Arial"/>
                <w:b/>
                <w:bCs/>
                <w:color w:val="111111"/>
                <w:sz w:val="18"/>
                <w:szCs w:val="18"/>
              </w:rPr>
              <w:t xml:space="preserve">Name</w:t>
            </w:r>
          </w:p>
        </w:tc>
        <w:tc>
          <w:tcPr>
            <w:tcW w:type="dxa" w:w="57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spacing w:after="0" w:before="0"/>
            </w:pPr>
            <w:r>
              <w:rPr>
                <w:rFonts w:ascii="Arial" w:cs="Arial" w:eastAsia="Arial" w:hAnsi="Arial"/>
                <w:b/>
                <w:bCs/>
                <w:color w:val="111111"/>
                <w:sz w:val="18"/>
                <w:szCs w:val="18"/>
              </w:rPr>
              <w:t xml:space="preserve">What it does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18"/>
                <w:szCs w:val="18"/>
              </w:rPr>
              <w:t xml:space="preserve">Gross Benefit(t)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18"/>
                <w:szCs w:val="18"/>
              </w:rPr>
              <w:t xml:space="preserve">Raw driver value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18"/>
                <w:szCs w:val="18"/>
              </w:rPr>
              <w:t xml:space="preserve">Steady-state annual value if everything works perfectly. Starting point only.</w:t>
            </w:r>
          </w:p>
        </w:tc>
      </w:tr>
      <w:tr>
        <w:tc>
          <w:tcPr>
            <w:tcW w:type="dxa" w:w="14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before="0"/>
            </w:pPr>
            <w:r>
              <w:rPr>
                <w:rFonts w:ascii="Arial" w:cs="Arial" w:eastAsia="Arial" w:hAnsi="Arial"/>
                <w:color w:val="444444"/>
                <w:sz w:val="18"/>
                <w:szCs w:val="18"/>
              </w:rPr>
              <w:t xml:space="preserve">r(t)</w:t>
            </w:r>
          </w:p>
        </w:tc>
        <w:tc>
          <w:tcPr>
            <w:tcW w:type="dxa" w:w="2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before="0"/>
            </w:pPr>
            <w:r>
              <w:rPr>
                <w:rFonts w:ascii="Arial" w:cs="Arial" w:eastAsia="Arial" w:hAnsi="Arial"/>
                <w:color w:val="444444"/>
                <w:sz w:val="18"/>
                <w:szCs w:val="18"/>
              </w:rPr>
              <w:t xml:space="preserve">Ramp coefficient</w:t>
            </w:r>
          </w:p>
        </w:tc>
        <w:tc>
          <w:tcPr>
            <w:tcW w:type="dxa" w:w="5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before="0"/>
            </w:pPr>
            <w:r>
              <w:rPr>
                <w:rFonts w:ascii="Arial" w:cs="Arial" w:eastAsia="Arial" w:hAnsi="Arial"/>
                <w:color w:val="444444"/>
                <w:sz w:val="18"/>
                <w:szCs w:val="18"/>
              </w:rPr>
              <w:t xml:space="preserve">Scales benefit by adoption phase per year. Never 100% in Y1. Decays post-peak.</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18"/>
                <w:szCs w:val="18"/>
              </w:rPr>
              <w:t xml:space="preserve">(1-h)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18"/>
                <w:szCs w:val="18"/>
              </w:rPr>
              <w:t xml:space="preserve">Covariance haircut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18"/>
                <w:szCs w:val="18"/>
              </w:rPr>
              <w:t xml:space="preserve">Removes overlap between drivers drawing from same labor pool or asset base.</w:t>
            </w:r>
          </w:p>
        </w:tc>
      </w:tr>
      <w:tr>
        <w:tc>
          <w:tcPr>
            <w:tcW w:type="dxa" w:w="14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before="0"/>
            </w:pPr>
            <w:r>
              <w:rPr>
                <w:rFonts w:ascii="Arial" w:cs="Arial" w:eastAsia="Arial" w:hAnsi="Arial"/>
                <w:color w:val="444444"/>
                <w:sz w:val="18"/>
                <w:szCs w:val="18"/>
              </w:rPr>
              <w:t xml:space="preserve">A(t)</w:t>
            </w:r>
          </w:p>
        </w:tc>
        <w:tc>
          <w:tcPr>
            <w:tcW w:type="dxa" w:w="2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before="0"/>
            </w:pPr>
            <w:r>
              <w:rPr>
                <w:rFonts w:ascii="Arial" w:cs="Arial" w:eastAsia="Arial" w:hAnsi="Arial"/>
                <w:color w:val="444444"/>
                <w:sz w:val="18"/>
                <w:szCs w:val="18"/>
              </w:rPr>
              <w:t xml:space="preserve">Accessibility modifier</w:t>
            </w:r>
          </w:p>
        </w:tc>
        <w:tc>
          <w:tcPr>
            <w:tcW w:type="dxa" w:w="5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before="0"/>
            </w:pPr>
            <w:r>
              <w:rPr>
                <w:rFonts w:ascii="Arial" w:cs="Arial" w:eastAsia="Arial" w:hAnsi="Arial"/>
                <w:color w:val="444444"/>
                <w:sz w:val="18"/>
                <w:szCs w:val="18"/>
              </w:rPr>
              <w:t xml:space="preserve">NEW. Compresses value based on how easily competitors can replicate the technology.</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18"/>
                <w:szCs w:val="18"/>
              </w:rPr>
              <w:t xml:space="preserve">Decay_Avoided(t)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18"/>
                <w:szCs w:val="18"/>
              </w:rPr>
              <w:t xml:space="preserve">Degradation value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18"/>
                <w:szCs w:val="18"/>
              </w:rPr>
              <w:t xml:space="preserve">Cumulative cost of status quo baseline growth if solution is not deployed.</w:t>
            </w:r>
          </w:p>
        </w:tc>
      </w:tr>
      <w:tr>
        <w:tc>
          <w:tcPr>
            <w:tcW w:type="dxa" w:w="14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before="0"/>
            </w:pPr>
            <w:r>
              <w:rPr>
                <w:rFonts w:ascii="Arial" w:cs="Arial" w:eastAsia="Arial" w:hAnsi="Arial"/>
                <w:color w:val="444444"/>
                <w:sz w:val="18"/>
                <w:szCs w:val="18"/>
              </w:rPr>
              <w:t xml:space="preserve">TCO(t)</w:t>
            </w:r>
          </w:p>
        </w:tc>
        <w:tc>
          <w:tcPr>
            <w:tcW w:type="dxa" w:w="2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before="0"/>
            </w:pPr>
            <w:r>
              <w:rPr>
                <w:rFonts w:ascii="Arial" w:cs="Arial" w:eastAsia="Arial" w:hAnsi="Arial"/>
                <w:color w:val="444444"/>
                <w:sz w:val="18"/>
                <w:szCs w:val="18"/>
              </w:rPr>
              <w:t xml:space="preserve">Total cost of ownership</w:t>
            </w:r>
          </w:p>
        </w:tc>
        <w:tc>
          <w:tcPr>
            <w:tcW w:type="dxa" w:w="5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before="0"/>
            </w:pPr>
            <w:r>
              <w:rPr>
                <w:rFonts w:ascii="Arial" w:cs="Arial" w:eastAsia="Arial" w:hAnsi="Arial"/>
                <w:color w:val="444444"/>
                <w:sz w:val="18"/>
                <w:szCs w:val="18"/>
              </w:rPr>
              <w:t xml:space="preserve">All costs: implementation, licensing, maintenance, training, device attrition.</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18"/>
                <w:szCs w:val="18"/>
              </w:rPr>
              <w:t xml:space="preserve">NPV @ WACC</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18"/>
                <w:szCs w:val="18"/>
              </w:rPr>
              <w:t xml:space="preserve">Net present value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18"/>
                <w:szCs w:val="18"/>
              </w:rPr>
              <w:t xml:space="preserve">Discounts all cash flows at cost of capital. MIRR used for return metric.</w:t>
            </w:r>
          </w:p>
        </w:tc>
      </w:tr>
    </w:tbl>
    <w:p>
      <w:pPr>
        <w:spacing w:after="0" w:before="200"/>
      </w:pPr>
      <w:r>
        <w:t xml:space="preserve"/>
      </w:r>
    </w:p>
    <w:p>
      <w:pPr>
        <w:pStyle w:val="Heading1"/>
        <w:pBdr>
          <w:bottom w:val="single" w:color="CCCCCC" w:sz="6" w:space="6"/>
        </w:pBdr>
        <w:spacing w:after="160" w:before="360"/>
      </w:pPr>
      <w:r>
        <w:rPr>
          <w:rFonts w:ascii="Arial" w:cs="Arial" w:eastAsia="Arial" w:hAnsi="Arial"/>
          <w:b/>
          <w:bCs/>
          <w:color w:val="111111"/>
          <w:sz w:val="32"/>
          <w:szCs w:val="32"/>
        </w:rPr>
        <w:t xml:space="preserve">Step 1 — Establish the Driver Formula</w:t>
      </w:r>
    </w:p>
    <w:p>
      <w:pPr>
        <w:spacing w:after="60" w:before="60"/>
      </w:pPr>
      <w:r>
        <w:rPr>
          <w:rFonts w:ascii="Arial" w:cs="Arial" w:eastAsia="Arial" w:hAnsi="Arial"/>
          <w:color w:val="444444"/>
          <w:sz w:val="22"/>
          <w:szCs w:val="22"/>
        </w:rPr>
        <w:t xml:space="preserve">For each value driver, write a locked multiplicative equation. Every variable gets a key.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40"/>
              <w:bottom w:type="dxa" w:w="120"/>
              <w:right w:type="dxa" w:w="240"/>
            </w:tcMar>
          </w:tcPr>
          <w:p>
            <w:pPr>
              <w:spacing w:after="0" w:before="0"/>
              <w:jc w:val="center"/>
            </w:pPr>
            <w:r>
              <w:rPr>
                <w:rFonts w:ascii="Courier New" w:cs="Courier New" w:eastAsia="Courier New" w:hAnsi="Courier New"/>
                <w:b/>
                <w:bCs/>
                <w:color w:val="111111"/>
                <w:sz w:val="21"/>
                <w:szCs w:val="21"/>
              </w:rPr>
              <w:t xml:space="preserve">Driver Annual Value  =  A x B x C x D x 52</w:t>
            </w:r>
          </w:p>
        </w:tc>
      </w:tr>
    </w:tbl>
    <w:p>
      <w:pPr>
        <w:spacing w:after="0" w:before="80"/>
      </w:pPr>
      <w:r>
        <w:t xml:space="preserve"/>
      </w:r>
    </w:p>
    <w:p>
      <w:pPr>
        <w:spacing w:after="60" w:before="60"/>
      </w:pPr>
      <w:r>
        <w:rPr>
          <w:rFonts w:ascii="Arial" w:cs="Arial" w:eastAsia="Arial" w:hAnsi="Arial"/>
          <w:color w:val="444444"/>
          <w:sz w:val="22"/>
          <w:szCs w:val="22"/>
        </w:rPr>
        <w:t xml:space="preserve">Example — search labor recovery:</w:t>
      </w:r>
    </w:p>
    <w:p>
      <w:pPr>
        <w:pStyle w:val="ListParagraph"/>
        <w:numPr>
          <w:ilvl w:val="0"/>
          <w:numId w:val="2"/>
        </w:numPr>
        <w:spacing w:after="40" w:before="40"/>
      </w:pPr>
      <w:r>
        <w:rPr>
          <w:rFonts w:ascii="Arial" w:cs="Arial" w:eastAsia="Arial" w:hAnsi="Arial"/>
          <w:b/>
          <w:bCs/>
          <w:color w:val="222222"/>
          <w:sz w:val="22"/>
          <w:szCs w:val="22"/>
        </w:rPr>
        <w:t xml:space="preserve">A</w:t>
      </w:r>
      <w:r>
        <w:rPr>
          <w:rFonts w:ascii="Arial" w:cs="Arial" w:eastAsia="Arial" w:hAnsi="Arial"/>
          <w:color w:val="444444"/>
          <w:sz w:val="22"/>
          <w:szCs w:val="22"/>
        </w:rPr>
        <w:t xml:space="preserve"> = search events per week (customer-provided or benchmarked)</w:t>
      </w:r>
    </w:p>
    <w:p>
      <w:pPr>
        <w:pStyle w:val="ListParagraph"/>
        <w:numPr>
          <w:ilvl w:val="0"/>
          <w:numId w:val="2"/>
        </w:numPr>
        <w:spacing w:after="40" w:before="40"/>
      </w:pPr>
      <w:r>
        <w:rPr>
          <w:rFonts w:ascii="Arial" w:cs="Arial" w:eastAsia="Arial" w:hAnsi="Arial"/>
          <w:b/>
          <w:bCs/>
          <w:color w:val="222222"/>
          <w:sz w:val="22"/>
          <w:szCs w:val="22"/>
        </w:rPr>
        <w:t xml:space="preserve">B</w:t>
      </w:r>
      <w:r>
        <w:rPr>
          <w:rFonts w:ascii="Arial" w:cs="Arial" w:eastAsia="Arial" w:hAnsi="Arial"/>
          <w:color w:val="444444"/>
          <w:sz w:val="22"/>
          <w:szCs w:val="22"/>
        </w:rPr>
        <w:t xml:space="preserve"> = average time per search, hours</w:t>
      </w:r>
    </w:p>
    <w:p>
      <w:pPr>
        <w:pStyle w:val="ListParagraph"/>
        <w:numPr>
          <w:ilvl w:val="0"/>
          <w:numId w:val="2"/>
        </w:numPr>
        <w:spacing w:after="40" w:before="40"/>
      </w:pPr>
      <w:r>
        <w:rPr>
          <w:rFonts w:ascii="Arial" w:cs="Arial" w:eastAsia="Arial" w:hAnsi="Arial"/>
          <w:b/>
          <w:bCs/>
          <w:color w:val="222222"/>
          <w:sz w:val="22"/>
          <w:szCs w:val="22"/>
        </w:rPr>
        <w:t xml:space="preserve">C</w:t>
      </w:r>
      <w:r>
        <w:rPr>
          <w:rFonts w:ascii="Arial" w:cs="Arial" w:eastAsia="Arial" w:hAnsi="Arial"/>
          <w:color w:val="444444"/>
          <w:sz w:val="22"/>
          <w:szCs w:val="22"/>
        </w:rPr>
        <w:t xml:space="preserve"> = fully-loaded labor rate, $/hr</w:t>
      </w:r>
    </w:p>
    <w:p>
      <w:pPr>
        <w:pStyle w:val="ListParagraph"/>
        <w:numPr>
          <w:ilvl w:val="0"/>
          <w:numId w:val="2"/>
        </w:numPr>
        <w:spacing w:after="40" w:before="40"/>
      </w:pPr>
      <w:r>
        <w:rPr>
          <w:rFonts w:ascii="Arial" w:cs="Arial" w:eastAsia="Arial" w:hAnsi="Arial"/>
          <w:b/>
          <w:bCs/>
          <w:color w:val="222222"/>
          <w:sz w:val="22"/>
          <w:szCs w:val="22"/>
        </w:rPr>
        <w:t xml:space="preserve">D</w:t>
      </w:r>
      <w:r>
        <w:rPr>
          <w:rFonts w:ascii="Arial" w:cs="Arial" w:eastAsia="Arial" w:hAnsi="Arial"/>
          <w:color w:val="444444"/>
          <w:sz w:val="22"/>
          <w:szCs w:val="22"/>
        </w:rPr>
        <w:t xml:space="preserve"> = reduction rate (decimal — e.g. 0.80)</w:t>
      </w:r>
    </w:p>
    <w:p>
      <w:pPr>
        <w:pStyle w:val="ListParagraph"/>
        <w:numPr>
          <w:ilvl w:val="0"/>
          <w:numId w:val="2"/>
        </w:numPr>
        <w:spacing w:after="40" w:before="40"/>
      </w:pPr>
      <w:r>
        <w:rPr>
          <w:rFonts w:ascii="Arial" w:cs="Arial" w:eastAsia="Arial" w:hAnsi="Arial"/>
          <w:b/>
          <w:bCs/>
          <w:color w:val="222222"/>
          <w:sz w:val="22"/>
          <w:szCs w:val="22"/>
        </w:rPr>
        <w:t xml:space="preserve">52</w:t>
      </w:r>
      <w:r>
        <w:rPr>
          <w:rFonts w:ascii="Arial" w:cs="Arial" w:eastAsia="Arial" w:hAnsi="Arial"/>
          <w:color w:val="444444"/>
          <w:sz w:val="22"/>
          <w:szCs w:val="22"/>
        </w:rPr>
        <w:t xml:space="preserve"> = annualization factor</w:t>
      </w:r>
    </w:p>
    <w:p>
      <w:pPr>
        <w:spacing w:after="0" w:before="100"/>
      </w:pPr>
      <w:r>
        <w:t xml:space="preserve"/>
      </w:r>
    </w:p>
    <w:p>
      <w:pPr>
        <w:spacing w:after="80" w:before="200"/>
      </w:pPr>
      <w:r>
        <w:rPr>
          <w:rFonts w:ascii="Arial" w:cs="Arial" w:eastAsia="Arial" w:hAnsi="Arial"/>
          <w:b/>
          <w:bCs/>
          <w:color w:val="222222"/>
          <w:sz w:val="22"/>
          <w:szCs w:val="22"/>
        </w:rPr>
        <w:t xml:space="preserve">Rules</w:t>
      </w:r>
    </w:p>
    <w:p>
      <w:pPr>
        <w:pStyle w:val="ListParagraph"/>
        <w:numPr>
          <w:ilvl w:val="0"/>
          <w:numId w:val="2"/>
        </w:numPr>
        <w:spacing w:after="40" w:before="40"/>
      </w:pPr>
      <w:r>
        <w:rPr>
          <w:rFonts w:ascii="Arial" w:cs="Arial" w:eastAsia="Arial" w:hAnsi="Arial"/>
          <w:color w:val="444444"/>
          <w:sz w:val="22"/>
          <w:szCs w:val="22"/>
        </w:rPr>
        <w:t xml:space="preserve">Every variable has a default value, a source citation, and a plausibility range (min/max).</w:t>
      </w:r>
    </w:p>
    <w:p>
      <w:pPr>
        <w:pStyle w:val="ListParagraph"/>
        <w:numPr>
          <w:ilvl w:val="0"/>
          <w:numId w:val="2"/>
        </w:numPr>
        <w:spacing w:after="40" w:before="40"/>
      </w:pPr>
      <w:r>
        <w:rPr>
          <w:rFonts w:ascii="Arial" w:cs="Arial" w:eastAsia="Arial" w:hAnsi="Arial"/>
          <w:color w:val="444444"/>
          <w:sz w:val="22"/>
          <w:szCs w:val="22"/>
        </w:rPr>
        <w:t xml:space="preserve">Flag each input: customer-provided (high confidence) / industry proxy (medium) / internal estimate (low).</w:t>
      </w:r>
    </w:p>
    <w:p>
      <w:pPr>
        <w:pStyle w:val="ListParagraph"/>
        <w:numPr>
          <w:ilvl w:val="0"/>
          <w:numId w:val="2"/>
        </w:numPr>
        <w:spacing w:after="40" w:before="40"/>
      </w:pPr>
      <w:r>
        <w:rPr>
          <w:rFonts w:ascii="Arial" w:cs="Arial" w:eastAsia="Arial" w:hAnsi="Arial"/>
          <w:color w:val="444444"/>
          <w:sz w:val="22"/>
          <w:szCs w:val="22"/>
        </w:rPr>
        <w:t xml:space="preserve">Qualitative drivers are flagged non-quantifiable and excluded from the base case — not forced into a number.</w:t>
      </w:r>
    </w:p>
    <w:p>
      <w:pPr>
        <w:pStyle w:val="ListParagraph"/>
        <w:numPr>
          <w:ilvl w:val="0"/>
          <w:numId w:val="2"/>
        </w:numPr>
        <w:spacing w:after="40" w:before="40"/>
      </w:pPr>
      <w:r>
        <w:rPr>
          <w:rFonts w:ascii="Arial" w:cs="Arial" w:eastAsia="Arial" w:hAnsi="Arial"/>
          <w:color w:val="444444"/>
          <w:sz w:val="22"/>
          <w:szCs w:val="22"/>
        </w:rPr>
        <w:t xml:space="preserve">Formula is versioned. Structure changes increment the version number. Prior outputs are preserved.</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7F7" w:val="clear"/>
            <w:tcMar>
              <w:top w:type="dxa" w:w="100"/>
              <w:left w:type="dxa" w:w="180"/>
              <w:bottom w:type="dxa" w:w="100"/>
              <w:right w:type="dxa" w:w="180"/>
            </w:tcMar>
          </w:tcPr>
          <w:p>
            <w:pPr>
              <w:spacing w:after="0" w:before="0"/>
            </w:pPr>
            <w:r>
              <w:rPr>
                <w:rFonts w:ascii="Arial" w:cs="Arial" w:eastAsia="Arial" w:hAnsi="Arial"/>
                <w:b/>
                <w:bCs/>
                <w:color w:val="666666"/>
                <w:sz w:val="18"/>
                <w:szCs w:val="18"/>
              </w:rPr>
              <w:t xml:space="preserve">Source: </w:t>
            </w:r>
            <w:r>
              <w:rPr>
                <w:rFonts w:ascii="Arial" w:cs="Arial" w:eastAsia="Arial" w:hAnsi="Arial"/>
                <w:i/>
                <w:iCs/>
                <w:color w:val="666666"/>
                <w:sz w:val="18"/>
                <w:szCs w:val="18"/>
              </w:rPr>
              <w:t xml:space="preserve">Fully-loaded labor rate default: U.S. Bureau of Labor Statistics, Employer Costs for Employee Compensation (ECEC), Table 1 — civilian workers average total compensation. Current release: bls.gov/ncs/ect. Multiply base wage by 1.30–1.35 to approximate fully-loaded rate inclusive of benefits and overhead.</w:t>
            </w:r>
          </w:p>
        </w:tc>
      </w:tr>
    </w:tbl>
    <w:p>
      <w:pPr>
        <w:spacing w:after="0" w:before="200"/>
      </w:pPr>
      <w:r>
        <w:t xml:space="preserve"/>
      </w:r>
    </w:p>
    <w:p>
      <w:pPr>
        <w:pStyle w:val="Heading1"/>
        <w:pBdr>
          <w:bottom w:val="single" w:color="CCCCCC" w:sz="6" w:space="6"/>
        </w:pBdr>
        <w:spacing w:after="160" w:before="360"/>
      </w:pPr>
      <w:r>
        <w:rPr>
          <w:rFonts w:ascii="Arial" w:cs="Arial" w:eastAsia="Arial" w:hAnsi="Arial"/>
          <w:b/>
          <w:bCs/>
          <w:color w:val="111111"/>
          <w:sz w:val="32"/>
          <w:szCs w:val="32"/>
        </w:rPr>
        <w:t xml:space="preserve">Step 2 — Apply the Ramp Coefficient</w:t>
      </w:r>
    </w:p>
    <w:p>
      <w:pPr>
        <w:spacing w:after="60" w:before="60"/>
      </w:pPr>
      <w:r>
        <w:rPr>
          <w:rFonts w:ascii="Arial" w:cs="Arial" w:eastAsia="Arial" w:hAnsi="Arial"/>
          <w:color w:val="444444"/>
          <w:sz w:val="22"/>
          <w:szCs w:val="22"/>
        </w:rPr>
        <w:t xml:space="preserve">Raw annual value from Step 1 is the steady-state value — what the solution delivers at full maturity. It never arrives at 100% in Year 1. Benefits ramp in based on adoption mechanics, then decay as staff turns over, processes drift, and the solution ages relative to market standards.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40"/>
              <w:bottom w:type="dxa" w:w="120"/>
              <w:right w:type="dxa" w:w="240"/>
            </w:tcMar>
          </w:tcPr>
          <w:p>
            <w:pPr>
              <w:spacing w:after="0" w:before="0"/>
              <w:jc w:val="center"/>
            </w:pPr>
            <w:r>
              <w:rPr>
                <w:rFonts w:ascii="Courier New" w:cs="Courier New" w:eastAsia="Courier New" w:hAnsi="Courier New"/>
                <w:b/>
                <w:bCs/>
                <w:color w:val="111111"/>
                <w:sz w:val="21"/>
                <w:szCs w:val="21"/>
              </w:rPr>
              <w:t xml:space="preserve">Ramped Value(t)  =  Driver Annual Value x r(t)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90"/>
        <w:gridCol w:w="1190"/>
        <w:gridCol w:w="1190"/>
        <w:gridCol w:w="1190"/>
        <w:gridCol w:w="1190"/>
        <w:gridCol w:w="1010"/>
      </w:tblGrid>
      <w:tr>
        <w:trPr>
          <w:tblHeader/>
        </w:trP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spacing w:after="0" w:before="0"/>
            </w:pPr>
            <w:r>
              <w:rPr>
                <w:rFonts w:ascii="Arial" w:cs="Arial" w:eastAsia="Arial" w:hAnsi="Arial"/>
                <w:b/>
                <w:bCs/>
                <w:color w:val="111111"/>
                <w:sz w:val="18"/>
                <w:szCs w:val="18"/>
              </w:rPr>
              <w:t xml:space="preserve">Profile</w:t>
            </w:r>
          </w:p>
        </w:tc>
        <w:tc>
          <w:tcPr>
            <w:tcW w:type="dxa" w:w="119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spacing w:after="0" w:before="0"/>
            </w:pPr>
            <w:r>
              <w:rPr>
                <w:rFonts w:ascii="Arial" w:cs="Arial" w:eastAsia="Arial" w:hAnsi="Arial"/>
                <w:b/>
                <w:bCs/>
                <w:color w:val="111111"/>
                <w:sz w:val="18"/>
                <w:szCs w:val="18"/>
              </w:rPr>
              <w:t xml:space="preserve">Y1</w:t>
            </w:r>
          </w:p>
        </w:tc>
        <w:tc>
          <w:tcPr>
            <w:tcW w:type="dxa" w:w="119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spacing w:after="0" w:before="0"/>
            </w:pPr>
            <w:r>
              <w:rPr>
                <w:rFonts w:ascii="Arial" w:cs="Arial" w:eastAsia="Arial" w:hAnsi="Arial"/>
                <w:b/>
                <w:bCs/>
                <w:color w:val="111111"/>
                <w:sz w:val="18"/>
                <w:szCs w:val="18"/>
              </w:rPr>
              <w:t xml:space="preserve">Y2</w:t>
            </w:r>
          </w:p>
        </w:tc>
        <w:tc>
          <w:tcPr>
            <w:tcW w:type="dxa" w:w="119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spacing w:after="0" w:before="0"/>
            </w:pPr>
            <w:r>
              <w:rPr>
                <w:rFonts w:ascii="Arial" w:cs="Arial" w:eastAsia="Arial" w:hAnsi="Arial"/>
                <w:b/>
                <w:bCs/>
                <w:color w:val="111111"/>
                <w:sz w:val="18"/>
                <w:szCs w:val="18"/>
              </w:rPr>
              <w:t xml:space="preserve">Y3</w:t>
            </w:r>
          </w:p>
        </w:tc>
        <w:tc>
          <w:tcPr>
            <w:tcW w:type="dxa" w:w="119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spacing w:after="0" w:before="0"/>
            </w:pPr>
            <w:r>
              <w:rPr>
                <w:rFonts w:ascii="Arial" w:cs="Arial" w:eastAsia="Arial" w:hAnsi="Arial"/>
                <w:b/>
                <w:bCs/>
                <w:color w:val="111111"/>
                <w:sz w:val="18"/>
                <w:szCs w:val="18"/>
              </w:rPr>
              <w:t xml:space="preserve">Y4</w:t>
            </w:r>
          </w:p>
        </w:tc>
        <w:tc>
          <w:tcPr>
            <w:tcW w:type="dxa" w:w="119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spacing w:after="0" w:before="0"/>
            </w:pPr>
            <w:r>
              <w:rPr>
                <w:rFonts w:ascii="Arial" w:cs="Arial" w:eastAsia="Arial" w:hAnsi="Arial"/>
                <w:b/>
                <w:bCs/>
                <w:color w:val="111111"/>
                <w:sz w:val="18"/>
                <w:szCs w:val="18"/>
              </w:rPr>
              <w:t xml:space="preserve">Y5</w:t>
            </w:r>
          </w:p>
        </w:tc>
        <w:tc>
          <w:tcPr>
            <w:tcW w:type="dxa" w:w="101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spacing w:after="0" w:before="0"/>
            </w:pPr>
            <w:r>
              <w:rPr>
                <w:rFonts w:ascii="Arial" w:cs="Arial" w:eastAsia="Arial" w:hAnsi="Arial"/>
                <w:b/>
                <w:bCs/>
                <w:color w:val="111111"/>
                <w:sz w:val="18"/>
                <w:szCs w:val="18"/>
              </w:rPr>
              <w:t xml:space="preserve">Source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18"/>
                <w:szCs w:val="18"/>
              </w:rPr>
              <w:t xml:space="preserve">Hardware / Instrument</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18"/>
                <w:szCs w:val="18"/>
              </w:rPr>
              <w:t xml:space="preserve">0.55</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18"/>
                <w:szCs w:val="18"/>
              </w:rPr>
              <w:t xml:space="preserve">0.90</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18"/>
                <w:szCs w:val="18"/>
              </w:rPr>
              <w:t xml:space="preserve">1.00</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18"/>
                <w:szCs w:val="18"/>
              </w:rPr>
              <w:t xml:space="preserve">0.97</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18"/>
                <w:szCs w:val="18"/>
              </w:rPr>
              <w:t xml:space="preserve">0.90</w:t>
            </w:r>
          </w:p>
        </w:tc>
        <w:tc>
          <w:tcPr>
            <w:tcW w:type="dxa" w:w="10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18"/>
                <w:szCs w:val="18"/>
              </w:rPr>
              <w:t xml:space="preserve">See below</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before="0"/>
            </w:pPr>
            <w:r>
              <w:rPr>
                <w:rFonts w:ascii="Arial" w:cs="Arial" w:eastAsia="Arial" w:hAnsi="Arial"/>
                <w:color w:val="444444"/>
                <w:sz w:val="18"/>
                <w:szCs w:val="18"/>
              </w:rPr>
              <w:t xml:space="preserve">Software / Data</w:t>
            </w:r>
          </w:p>
        </w:tc>
        <w:tc>
          <w:tcPr>
            <w:tcW w:type="dxa" w:w="119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before="0"/>
            </w:pPr>
            <w:r>
              <w:rPr>
                <w:rFonts w:ascii="Arial" w:cs="Arial" w:eastAsia="Arial" w:hAnsi="Arial"/>
                <w:color w:val="444444"/>
                <w:sz w:val="18"/>
                <w:szCs w:val="18"/>
              </w:rPr>
              <w:t xml:space="preserve">0.45</w:t>
            </w:r>
          </w:p>
        </w:tc>
        <w:tc>
          <w:tcPr>
            <w:tcW w:type="dxa" w:w="119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before="0"/>
            </w:pPr>
            <w:r>
              <w:rPr>
                <w:rFonts w:ascii="Arial" w:cs="Arial" w:eastAsia="Arial" w:hAnsi="Arial"/>
                <w:color w:val="444444"/>
                <w:sz w:val="18"/>
                <w:szCs w:val="18"/>
              </w:rPr>
              <w:t xml:space="preserve">0.80</w:t>
            </w:r>
          </w:p>
        </w:tc>
        <w:tc>
          <w:tcPr>
            <w:tcW w:type="dxa" w:w="119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before="0"/>
            </w:pPr>
            <w:r>
              <w:rPr>
                <w:rFonts w:ascii="Arial" w:cs="Arial" w:eastAsia="Arial" w:hAnsi="Arial"/>
                <w:color w:val="444444"/>
                <w:sz w:val="18"/>
                <w:szCs w:val="18"/>
              </w:rPr>
              <w:t xml:space="preserve">1.00</w:t>
            </w:r>
          </w:p>
        </w:tc>
        <w:tc>
          <w:tcPr>
            <w:tcW w:type="dxa" w:w="119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before="0"/>
            </w:pPr>
            <w:r>
              <w:rPr>
                <w:rFonts w:ascii="Arial" w:cs="Arial" w:eastAsia="Arial" w:hAnsi="Arial"/>
                <w:color w:val="444444"/>
                <w:sz w:val="18"/>
                <w:szCs w:val="18"/>
              </w:rPr>
              <w:t xml:space="preserve">0.95</w:t>
            </w:r>
          </w:p>
        </w:tc>
        <w:tc>
          <w:tcPr>
            <w:tcW w:type="dxa" w:w="119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before="0"/>
            </w:pPr>
            <w:r>
              <w:rPr>
                <w:rFonts w:ascii="Arial" w:cs="Arial" w:eastAsia="Arial" w:hAnsi="Arial"/>
                <w:color w:val="444444"/>
                <w:sz w:val="18"/>
                <w:szCs w:val="18"/>
              </w:rPr>
              <w:t xml:space="preserve">0.82</w:t>
            </w:r>
          </w:p>
        </w:tc>
        <w:tc>
          <w:tcPr>
            <w:tcW w:type="dxa" w:w="101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before="0"/>
            </w:pPr>
            <w:r>
              <w:rPr>
                <w:rFonts w:ascii="Arial" w:cs="Arial" w:eastAsia="Arial" w:hAnsi="Arial"/>
                <w:color w:val="444444"/>
                <w:sz w:val="18"/>
                <w:szCs w:val="18"/>
              </w:rPr>
              <w:t xml:space="preserve">See below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18"/>
                <w:szCs w:val="18"/>
              </w:rPr>
              <w:t xml:space="preserve">Human Behavior</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18"/>
                <w:szCs w:val="18"/>
              </w:rPr>
              <w:t xml:space="preserve">0.20</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18"/>
                <w:szCs w:val="18"/>
              </w:rPr>
              <w:t xml:space="preserve">0.55</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18"/>
                <w:szCs w:val="18"/>
              </w:rPr>
              <w:t xml:space="preserve">0.85</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18"/>
                <w:szCs w:val="18"/>
              </w:rPr>
              <w:t xml:space="preserve">0.75</w:t>
            </w:r>
          </w:p>
        </w:tc>
        <w:tc>
          <w:tcPr>
            <w:tcW w:type="dxa" w:w="11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18"/>
                <w:szCs w:val="18"/>
              </w:rPr>
              <w:t xml:space="preserve">0.62</w:t>
            </w:r>
          </w:p>
        </w:tc>
        <w:tc>
          <w:tcPr>
            <w:tcW w:type="dxa" w:w="10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18"/>
                <w:szCs w:val="18"/>
              </w:rPr>
              <w:t xml:space="preserve">See below</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before="0"/>
            </w:pPr>
            <w:r>
              <w:rPr>
                <w:rFonts w:ascii="Arial" w:cs="Arial" w:eastAsia="Arial" w:hAnsi="Arial"/>
                <w:color w:val="444444"/>
                <w:sz w:val="18"/>
                <w:szCs w:val="18"/>
              </w:rPr>
              <w:t xml:space="preserve">Compliance Deadline</w:t>
            </w:r>
          </w:p>
        </w:tc>
        <w:tc>
          <w:tcPr>
            <w:tcW w:type="dxa" w:w="119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before="0"/>
            </w:pPr>
            <w:r>
              <w:rPr>
                <w:rFonts w:ascii="Arial" w:cs="Arial" w:eastAsia="Arial" w:hAnsi="Arial"/>
                <w:color w:val="444444"/>
                <w:sz w:val="18"/>
                <w:szCs w:val="18"/>
              </w:rPr>
              <w:t xml:space="preserve">0.15</w:t>
            </w:r>
          </w:p>
        </w:tc>
        <w:tc>
          <w:tcPr>
            <w:tcW w:type="dxa" w:w="119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before="0"/>
            </w:pPr>
            <w:r>
              <w:rPr>
                <w:rFonts w:ascii="Arial" w:cs="Arial" w:eastAsia="Arial" w:hAnsi="Arial"/>
                <w:color w:val="444444"/>
                <w:sz w:val="18"/>
                <w:szCs w:val="18"/>
              </w:rPr>
              <w:t xml:space="preserve">0.40</w:t>
            </w:r>
          </w:p>
        </w:tc>
        <w:tc>
          <w:tcPr>
            <w:tcW w:type="dxa" w:w="119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before="0"/>
            </w:pPr>
            <w:r>
              <w:rPr>
                <w:rFonts w:ascii="Arial" w:cs="Arial" w:eastAsia="Arial" w:hAnsi="Arial"/>
                <w:color w:val="444444"/>
                <w:sz w:val="18"/>
                <w:szCs w:val="18"/>
              </w:rPr>
              <w:t xml:space="preserve">1.00</w:t>
            </w:r>
          </w:p>
        </w:tc>
        <w:tc>
          <w:tcPr>
            <w:tcW w:type="dxa" w:w="119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before="0"/>
            </w:pPr>
            <w:r>
              <w:rPr>
                <w:rFonts w:ascii="Arial" w:cs="Arial" w:eastAsia="Arial" w:hAnsi="Arial"/>
                <w:color w:val="444444"/>
                <w:sz w:val="18"/>
                <w:szCs w:val="18"/>
              </w:rPr>
              <w:t xml:space="preserve">0.80</w:t>
            </w:r>
          </w:p>
        </w:tc>
        <w:tc>
          <w:tcPr>
            <w:tcW w:type="dxa" w:w="119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before="0"/>
            </w:pPr>
            <w:r>
              <w:rPr>
                <w:rFonts w:ascii="Arial" w:cs="Arial" w:eastAsia="Arial" w:hAnsi="Arial"/>
                <w:color w:val="444444"/>
                <w:sz w:val="18"/>
                <w:szCs w:val="18"/>
              </w:rPr>
              <w:t xml:space="preserve">0.65</w:t>
            </w:r>
          </w:p>
        </w:tc>
        <w:tc>
          <w:tcPr>
            <w:tcW w:type="dxa" w:w="101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before="0"/>
            </w:pPr>
            <w:r>
              <w:rPr>
                <w:rFonts w:ascii="Arial" w:cs="Arial" w:eastAsia="Arial" w:hAnsi="Arial"/>
                <w:color w:val="444444"/>
                <w:sz w:val="18"/>
                <w:szCs w:val="18"/>
              </w:rPr>
              <w:t xml:space="preserve">See below</w:t>
            </w:r>
          </w:p>
        </w:tc>
      </w:tr>
    </w:tbl>
    <w:p>
      <w:pPr>
        <w:spacing w:after="0" w:before="120"/>
      </w:pPr>
      <w:r>
        <w:t xml:space="preserve"/>
      </w:r>
    </w:p>
    <w:p>
      <w:pPr>
        <w:spacing w:after="80" w:before="200"/>
      </w:pPr>
      <w:r>
        <w:rPr>
          <w:rFonts w:ascii="Arial" w:cs="Arial" w:eastAsia="Arial" w:hAnsi="Arial"/>
          <w:b/>
          <w:bCs/>
          <w:color w:val="222222"/>
          <w:sz w:val="22"/>
          <w:szCs w:val="22"/>
        </w:rPr>
        <w:t xml:space="preserve">Source Basis — Ramp Coefficients</w:t>
      </w:r>
    </w:p>
    <w:p>
      <w:pPr>
        <w:pStyle w:val="ListParagraph"/>
        <w:numPr>
          <w:ilvl w:val="0"/>
          <w:numId w:val="2"/>
        </w:numPr>
        <w:spacing w:after="40" w:before="40"/>
      </w:pPr>
      <w:r>
        <w:rPr>
          <w:rFonts w:ascii="Arial" w:cs="Arial" w:eastAsia="Arial" w:hAnsi="Arial"/>
          <w:b/>
          <w:bCs/>
          <w:color w:val="222222"/>
          <w:sz w:val="22"/>
          <w:szCs w:val="22"/>
        </w:rPr>
        <w:t xml:space="preserve">Hardware Y1 ramp (0.55): </w:t>
      </w:r>
      <w:r>
        <w:rPr>
          <w:rFonts w:ascii="Arial" w:cs="Arial" w:eastAsia="Arial" w:hAnsi="Arial"/>
          <w:color w:val="444444"/>
          <w:sz w:val="22"/>
          <w:szCs w:val="22"/>
        </w:rPr>
        <w:t xml:space="preserve">Gartner, "The State of Supply Chain Technology Adoption" (2022) reports median time-to-full-deployment for RFID/sensor infrastructure at 14–18 months, implying ~55% realization in the first 12 months.</w:t>
      </w:r>
    </w:p>
    <w:p>
      <w:pPr>
        <w:pStyle w:val="ListParagraph"/>
        <w:numPr>
          <w:ilvl w:val="0"/>
          <w:numId w:val="2"/>
        </w:numPr>
        <w:spacing w:after="40" w:before="40"/>
      </w:pPr>
      <w:r>
        <w:rPr>
          <w:rFonts w:ascii="Arial" w:cs="Arial" w:eastAsia="Arial" w:hAnsi="Arial"/>
          <w:b/>
          <w:bCs/>
          <w:color w:val="222222"/>
          <w:sz w:val="22"/>
          <w:szCs w:val="22"/>
        </w:rPr>
        <w:t xml:space="preserve">Human Behavior J-curve (0.20/0.55/0.85): </w:t>
      </w:r>
      <w:r>
        <w:rPr>
          <w:rFonts w:ascii="Arial" w:cs="Arial" w:eastAsia="Arial" w:hAnsi="Arial"/>
          <w:color w:val="444444"/>
          <w:sz w:val="22"/>
          <w:szCs w:val="22"/>
        </w:rPr>
        <w:t xml:space="preserve">Prosci Change Management Benchmarking Report (2023) finds that projects with standard change management reach full adoption at 12–18 months; those without it plateau at 60–70% permanently. The 20/55/85 curve reflects a project with structured but not exceptional change management.</w:t>
      </w:r>
    </w:p>
    <w:p>
      <w:pPr>
        <w:pStyle w:val="ListParagraph"/>
        <w:numPr>
          <w:ilvl w:val="0"/>
          <w:numId w:val="2"/>
        </w:numPr>
        <w:spacing w:after="40" w:before="40"/>
      </w:pPr>
      <w:r>
        <w:rPr>
          <w:rFonts w:ascii="Arial" w:cs="Arial" w:eastAsia="Arial" w:hAnsi="Arial"/>
          <w:b/>
          <w:bCs/>
          <w:color w:val="222222"/>
          <w:sz w:val="22"/>
          <w:szCs w:val="22"/>
        </w:rPr>
        <w:t xml:space="preserve">Post-peak decay (Y4–Y5 coefficients): </w:t>
      </w:r>
      <w:r>
        <w:rPr>
          <w:rFonts w:ascii="Arial" w:cs="Arial" w:eastAsia="Arial" w:hAnsi="Arial"/>
          <w:color w:val="444444"/>
          <w:sz w:val="22"/>
          <w:szCs w:val="22"/>
        </w:rPr>
        <w:t xml:space="preserve">Ma, S. (NBER Working Paper 29350, "Technological Obsolescence") documents 4–7% annual relative value erosion in stable tech portfolios, rising to 7–16% when investment is frozen. Decay coefficients are set conservatively within the lower band.</w:t>
      </w:r>
    </w:p>
    <w:p>
      <w:pPr>
        <w:pStyle w:val="ListParagraph"/>
        <w:numPr>
          <w:ilvl w:val="0"/>
          <w:numId w:val="2"/>
        </w:numPr>
        <w:spacing w:after="40" w:before="40"/>
      </w:pPr>
      <w:r>
        <w:rPr>
          <w:rFonts w:ascii="Arial" w:cs="Arial" w:eastAsia="Arial" w:hAnsi="Arial"/>
          <w:b/>
          <w:bCs/>
          <w:color w:val="222222"/>
          <w:sz w:val="22"/>
          <w:szCs w:val="22"/>
        </w:rPr>
        <w:t xml:space="preserve">Human behavior decay steepness (Y4: 0.75, Y5: 0.62): </w:t>
      </w:r>
      <w:r>
        <w:rPr>
          <w:rFonts w:ascii="Arial" w:cs="Arial" w:eastAsia="Arial" w:hAnsi="Arial"/>
          <w:color w:val="444444"/>
          <w:sz w:val="22"/>
          <w:szCs w:val="22"/>
        </w:rPr>
        <w:t xml:space="preserve">Averaged from two sources: (1) Cascio, W.F., "Managing Human Resources" — annual voluntary turnover in warehouse/DC operations averages 35–50%, meaning roughly half the trained workforce turns over by Y3; (2) Prosci (2023) — without reinforcement programs, behavior-driven gains erode at ~15% per year post-peak.</w:t>
      </w:r>
    </w:p>
    <w:p>
      <w:pPr>
        <w:spacing w:after="0" w:before="80"/>
      </w:pPr>
      <w:r>
        <w:t xml:space="preserve"/>
      </w:r>
    </w:p>
    <w:p>
      <w:pPr>
        <w:spacing w:after="60" w:before="60"/>
      </w:pPr>
      <w:r>
        <w:rPr>
          <w:rFonts w:ascii="Arial" w:cs="Arial" w:eastAsia="Arial" w:hAnsi="Arial"/>
          <w:color w:val="444444"/>
          <w:sz w:val="22"/>
          <w:szCs w:val="22"/>
        </w:rPr>
        <w:t xml:space="preserve">Assignment rule: assign one profile per driver based on the primary delivery mechanism. Mixed drivers use the slower profile. Bias toward conservative.</w:t>
      </w:r>
    </w:p>
    <w:p>
      <w:pPr>
        <w:spacing w:after="0" w:before="200"/>
      </w:pPr>
      <w:r>
        <w:t xml:space="preserve"/>
      </w:r>
    </w:p>
    <w:p>
      <w:pPr>
        <w:pStyle w:val="Heading1"/>
        <w:pBdr>
          <w:bottom w:val="single" w:color="CCCCCC" w:sz="6" w:space="6"/>
        </w:pBdr>
        <w:spacing w:after="160" w:before="360"/>
      </w:pPr>
      <w:r>
        <w:rPr>
          <w:rFonts w:ascii="Arial" w:cs="Arial" w:eastAsia="Arial" w:hAnsi="Arial"/>
          <w:b/>
          <w:bCs/>
          <w:color w:val="111111"/>
          <w:sz w:val="32"/>
          <w:szCs w:val="32"/>
        </w:rPr>
        <w:t xml:space="preserve">Step 3 — Apply the Accessibility Modifier</w:t>
      </w:r>
    </w:p>
    <w:p>
      <w:pPr>
        <w:spacing w:after="60" w:before="60"/>
      </w:pPr>
      <w:r>
        <w:rPr>
          <w:rFonts w:ascii="Arial" w:cs="Arial" w:eastAsia="Arial" w:hAnsi="Arial"/>
          <w:color w:val="444444"/>
          <w:sz w:val="22"/>
          <w:szCs w:val="22"/>
        </w:rPr>
        <w:t xml:space="preserve">This step is new. It captures the competitive alpha compression that occurs when the technology being deployed has a low barrier to entry. A handheld RFID reader anyone can purchase for under $500 has a fundamentally different value trajectory than a fixed overhead RFID network requiring capital expenditure, installation, and custom integration. The cheaper and more widely available the technology, the faster competitors reach the same capability — and the faster your operational advantage erodes.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40"/>
              <w:bottom w:type="dxa" w:w="120"/>
              <w:right w:type="dxa" w:w="240"/>
            </w:tcMar>
          </w:tcPr>
          <w:p>
            <w:pPr>
              <w:spacing w:after="0" w:before="0"/>
              <w:jc w:val="center"/>
            </w:pPr>
            <w:r>
              <w:rPr>
                <w:rFonts w:ascii="Courier New" w:cs="Courier New" w:eastAsia="Courier New" w:hAnsi="Courier New"/>
                <w:b/>
                <w:bCs/>
                <w:color w:val="111111"/>
                <w:sz w:val="21"/>
                <w:szCs w:val="21"/>
              </w:rPr>
              <w:t xml:space="preserve">Adjusted Value(t)  =  Ramped Value(t)  x  A(t)</w:t>
            </w:r>
          </w:p>
        </w:tc>
      </w:tr>
    </w:tbl>
    <w:p>
      <w:pPr>
        <w:spacing w:after="0" w:before="100"/>
      </w:pPr>
      <w:r>
        <w:t xml:space="preserve"/>
      </w:r>
    </w:p>
    <w:p>
      <w:pPr>
        <w:spacing w:after="60" w:before="60"/>
      </w:pPr>
      <w:r>
        <w:rPr>
          <w:rFonts w:ascii="Arial" w:cs="Arial" w:eastAsia="Arial" w:hAnsi="Arial"/>
          <w:color w:val="444444"/>
          <w:sz w:val="22"/>
          <w:szCs w:val="22"/>
        </w:rPr>
        <w:t xml:space="preserve">Where A(t) is the Accessibility Modifier — a coefficient between 0 and 1 that scales down value as market adoption of equivalent technology rises. It sits in the model as a multiplier (not a divisor, for transparency).</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840"/>
        <w:gridCol w:w="840"/>
        <w:gridCol w:w="840"/>
        <w:gridCol w:w="840"/>
        <w:gridCol w:w="840"/>
        <w:gridCol w:w="2560"/>
      </w:tblGrid>
      <w:tr>
        <w:trPr>
          <w:tblHeader/>
        </w:trPr>
        <w:tc>
          <w:tcPr>
            <w:tcW w:type="dxa" w:w="26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spacing w:after="0" w:before="0"/>
            </w:pPr>
            <w:r>
              <w:rPr>
                <w:rFonts w:ascii="Arial" w:cs="Arial" w:eastAsia="Arial" w:hAnsi="Arial"/>
                <w:b/>
                <w:bCs/>
                <w:color w:val="111111"/>
                <w:sz w:val="18"/>
                <w:szCs w:val="18"/>
              </w:rPr>
              <w:t xml:space="preserve">Technology tier</w:t>
            </w:r>
          </w:p>
        </w:tc>
        <w:tc>
          <w:tcPr>
            <w:tcW w:type="dxa" w:w="84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spacing w:after="0" w:before="0"/>
            </w:pPr>
            <w:r>
              <w:rPr>
                <w:rFonts w:ascii="Arial" w:cs="Arial" w:eastAsia="Arial" w:hAnsi="Arial"/>
                <w:b/>
                <w:bCs/>
                <w:color w:val="111111"/>
                <w:sz w:val="18"/>
                <w:szCs w:val="18"/>
              </w:rPr>
              <w:t xml:space="preserve">Y1</w:t>
            </w:r>
          </w:p>
        </w:tc>
        <w:tc>
          <w:tcPr>
            <w:tcW w:type="dxa" w:w="84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spacing w:after="0" w:before="0"/>
            </w:pPr>
            <w:r>
              <w:rPr>
                <w:rFonts w:ascii="Arial" w:cs="Arial" w:eastAsia="Arial" w:hAnsi="Arial"/>
                <w:b/>
                <w:bCs/>
                <w:color w:val="111111"/>
                <w:sz w:val="18"/>
                <w:szCs w:val="18"/>
              </w:rPr>
              <w:t xml:space="preserve">Y2</w:t>
            </w:r>
          </w:p>
        </w:tc>
        <w:tc>
          <w:tcPr>
            <w:tcW w:type="dxa" w:w="84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spacing w:after="0" w:before="0"/>
            </w:pPr>
            <w:r>
              <w:rPr>
                <w:rFonts w:ascii="Arial" w:cs="Arial" w:eastAsia="Arial" w:hAnsi="Arial"/>
                <w:b/>
                <w:bCs/>
                <w:color w:val="111111"/>
                <w:sz w:val="18"/>
                <w:szCs w:val="18"/>
              </w:rPr>
              <w:t xml:space="preserve">Y3</w:t>
            </w:r>
          </w:p>
        </w:tc>
        <w:tc>
          <w:tcPr>
            <w:tcW w:type="dxa" w:w="84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spacing w:after="0" w:before="0"/>
            </w:pPr>
            <w:r>
              <w:rPr>
                <w:rFonts w:ascii="Arial" w:cs="Arial" w:eastAsia="Arial" w:hAnsi="Arial"/>
                <w:b/>
                <w:bCs/>
                <w:color w:val="111111"/>
                <w:sz w:val="18"/>
                <w:szCs w:val="18"/>
              </w:rPr>
              <w:t xml:space="preserve">Y4</w:t>
            </w:r>
          </w:p>
        </w:tc>
        <w:tc>
          <w:tcPr>
            <w:tcW w:type="dxa" w:w="84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spacing w:after="0" w:before="0"/>
            </w:pPr>
            <w:r>
              <w:rPr>
                <w:rFonts w:ascii="Arial" w:cs="Arial" w:eastAsia="Arial" w:hAnsi="Arial"/>
                <w:b/>
                <w:bCs/>
                <w:color w:val="111111"/>
                <w:sz w:val="18"/>
                <w:szCs w:val="18"/>
              </w:rPr>
              <w:t xml:space="preserve">Y5</w:t>
            </w:r>
          </w:p>
        </w:tc>
        <w:tc>
          <w:tcPr>
            <w:tcW w:type="dxa" w:w="25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spacing w:after="0" w:before="0"/>
            </w:pPr>
            <w:r>
              <w:rPr>
                <w:rFonts w:ascii="Arial" w:cs="Arial" w:eastAsia="Arial" w:hAnsi="Arial"/>
                <w:b/>
                <w:bCs/>
                <w:color w:val="111111"/>
                <w:sz w:val="18"/>
                <w:szCs w:val="18"/>
              </w:rPr>
              <w:t xml:space="preserve">Examples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18"/>
                <w:szCs w:val="18"/>
              </w:rPr>
              <w:t xml:space="preserve">Commodity / Handheld</w:t>
            </w:r>
          </w:p>
        </w:tc>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18"/>
                <w:szCs w:val="18"/>
              </w:rPr>
              <w:t xml:space="preserve">0.90</w:t>
            </w:r>
          </w:p>
        </w:tc>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18"/>
                <w:szCs w:val="18"/>
              </w:rPr>
              <w:t xml:space="preserve">0.75</w:t>
            </w:r>
          </w:p>
        </w:tc>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18"/>
                <w:szCs w:val="18"/>
              </w:rPr>
              <w:t xml:space="preserve">0.60</w:t>
            </w:r>
          </w:p>
        </w:tc>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18"/>
                <w:szCs w:val="18"/>
              </w:rPr>
              <w:t xml:space="preserve">0.50</w:t>
            </w:r>
          </w:p>
        </w:tc>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18"/>
                <w:szCs w:val="18"/>
              </w:rPr>
              <w:t xml:space="preserve">0.45</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18"/>
                <w:szCs w:val="18"/>
              </w:rPr>
              <w:t xml:space="preserve">Handheld RFID, barcode scanners, basic mobile apps</w:t>
            </w:r>
          </w:p>
        </w:tc>
      </w:tr>
      <w:tr>
        <w:tc>
          <w:tcPr>
            <w:tcW w:type="dxa" w:w="2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before="0"/>
            </w:pPr>
            <w:r>
              <w:rPr>
                <w:rFonts w:ascii="Arial" w:cs="Arial" w:eastAsia="Arial" w:hAnsi="Arial"/>
                <w:color w:val="444444"/>
                <w:sz w:val="18"/>
                <w:szCs w:val="18"/>
              </w:rPr>
              <w:t xml:space="preserve">Configured / Mid-tier</w:t>
            </w:r>
          </w:p>
        </w:tc>
        <w:tc>
          <w:tcPr>
            <w:tcW w:type="dxa" w:w="8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before="0"/>
            </w:pPr>
            <w:r>
              <w:rPr>
                <w:rFonts w:ascii="Arial" w:cs="Arial" w:eastAsia="Arial" w:hAnsi="Arial"/>
                <w:color w:val="444444"/>
                <w:sz w:val="18"/>
                <w:szCs w:val="18"/>
              </w:rPr>
              <w:t xml:space="preserve">0.95</w:t>
            </w:r>
          </w:p>
        </w:tc>
        <w:tc>
          <w:tcPr>
            <w:tcW w:type="dxa" w:w="8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before="0"/>
            </w:pPr>
            <w:r>
              <w:rPr>
                <w:rFonts w:ascii="Arial" w:cs="Arial" w:eastAsia="Arial" w:hAnsi="Arial"/>
                <w:color w:val="444444"/>
                <w:sz w:val="18"/>
                <w:szCs w:val="18"/>
              </w:rPr>
              <w:t xml:space="preserve">0.90</w:t>
            </w:r>
          </w:p>
        </w:tc>
        <w:tc>
          <w:tcPr>
            <w:tcW w:type="dxa" w:w="8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before="0"/>
            </w:pPr>
            <w:r>
              <w:rPr>
                <w:rFonts w:ascii="Arial" w:cs="Arial" w:eastAsia="Arial" w:hAnsi="Arial"/>
                <w:color w:val="444444"/>
                <w:sz w:val="18"/>
                <w:szCs w:val="18"/>
              </w:rPr>
              <w:t xml:space="preserve">0.82</w:t>
            </w:r>
          </w:p>
        </w:tc>
        <w:tc>
          <w:tcPr>
            <w:tcW w:type="dxa" w:w="8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before="0"/>
            </w:pPr>
            <w:r>
              <w:rPr>
                <w:rFonts w:ascii="Arial" w:cs="Arial" w:eastAsia="Arial" w:hAnsi="Arial"/>
                <w:color w:val="444444"/>
                <w:sz w:val="18"/>
                <w:szCs w:val="18"/>
              </w:rPr>
              <w:t xml:space="preserve">0.78</w:t>
            </w:r>
          </w:p>
        </w:tc>
        <w:tc>
          <w:tcPr>
            <w:tcW w:type="dxa" w:w="8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before="0"/>
            </w:pPr>
            <w:r>
              <w:rPr>
                <w:rFonts w:ascii="Arial" w:cs="Arial" w:eastAsia="Arial" w:hAnsi="Arial"/>
                <w:color w:val="444444"/>
                <w:sz w:val="18"/>
                <w:szCs w:val="18"/>
              </w:rPr>
              <w:t xml:space="preserve">0.75</w:t>
            </w:r>
          </w:p>
        </w:tc>
        <w:tc>
          <w:tcPr>
            <w:tcW w:type="dxa" w:w="2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before="0"/>
            </w:pPr>
            <w:r>
              <w:rPr>
                <w:rFonts w:ascii="Arial" w:cs="Arial" w:eastAsia="Arial" w:hAnsi="Arial"/>
                <w:color w:val="444444"/>
                <w:sz w:val="18"/>
                <w:szCs w:val="18"/>
              </w:rPr>
              <w:t xml:space="preserve">Fixed RFID readers, WMS modules, standard integrations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18"/>
                <w:szCs w:val="18"/>
              </w:rPr>
              <w:t xml:space="preserve">Infrastructure / Complex</w:t>
            </w:r>
          </w:p>
        </w:tc>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18"/>
                <w:szCs w:val="18"/>
              </w:rPr>
              <w:t xml:space="preserve">1.00</w:t>
            </w:r>
          </w:p>
        </w:tc>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18"/>
                <w:szCs w:val="18"/>
              </w:rPr>
              <w:t xml:space="preserve">0.98</w:t>
            </w:r>
          </w:p>
        </w:tc>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18"/>
                <w:szCs w:val="18"/>
              </w:rPr>
              <w:t xml:space="preserve">0.96</w:t>
            </w:r>
          </w:p>
        </w:tc>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18"/>
                <w:szCs w:val="18"/>
              </w:rPr>
              <w:t xml:space="preserve">0.93</w:t>
            </w:r>
          </w:p>
        </w:tc>
        <w:tc>
          <w:tcPr>
            <w:tcW w:type="dxa" w:w="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18"/>
                <w:szCs w:val="18"/>
              </w:rPr>
              <w:t xml:space="preserve">0.90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18"/>
                <w:szCs w:val="18"/>
              </w:rPr>
              <w:t xml:space="preserve">Overhead RFID networks, AI platforms, custom data models</w:t>
            </w:r>
          </w:p>
        </w:tc>
      </w:tr>
    </w:tbl>
    <w:p>
      <w:pPr>
        <w:spacing w:after="0" w:before="120"/>
      </w:pPr>
      <w:r>
        <w:t xml:space="preserve"/>
      </w:r>
    </w:p>
    <w:p>
      <w:pPr>
        <w:spacing w:after="80" w:before="200"/>
      </w:pPr>
      <w:r>
        <w:rPr>
          <w:rFonts w:ascii="Arial" w:cs="Arial" w:eastAsia="Arial" w:hAnsi="Arial"/>
          <w:b/>
          <w:bCs/>
          <w:color w:val="222222"/>
          <w:sz w:val="22"/>
          <w:szCs w:val="22"/>
        </w:rPr>
        <w:t xml:space="preserve">Source Basis — Accessibility Modifier</w:t>
      </w:r>
    </w:p>
    <w:p>
      <w:pPr>
        <w:pStyle w:val="ListParagraph"/>
        <w:numPr>
          <w:ilvl w:val="0"/>
          <w:numId w:val="2"/>
        </w:numPr>
        <w:spacing w:after="40" w:before="40"/>
      </w:pPr>
      <w:r>
        <w:rPr>
          <w:rFonts w:ascii="Arial" w:cs="Arial" w:eastAsia="Arial" w:hAnsi="Arial"/>
          <w:b/>
          <w:bCs/>
          <w:color w:val="222222"/>
          <w:sz w:val="22"/>
          <w:szCs w:val="22"/>
        </w:rPr>
        <w:t xml:space="preserve">Commodity tier decay rate: </w:t>
      </w:r>
      <w:r>
        <w:rPr>
          <w:rFonts w:ascii="Arial" w:cs="Arial" w:eastAsia="Arial" w:hAnsi="Arial"/>
          <w:color w:val="444444"/>
          <w:sz w:val="22"/>
          <w:szCs w:val="22"/>
        </w:rPr>
        <w:t xml:space="preserve">Barnett, W.P. (Stanford GSB), "The Red Queen Among Organizations" — firms running on commodity technology see competitive parity reached within 18–24 months of initial adoption by an early mover, as low barrier to entry accelerates market-wide adoption. Y2/Y3 compression (0.75/0.60) reflects this 18–24 month parity window.</w:t>
      </w:r>
    </w:p>
    <w:p>
      <w:pPr>
        <w:pStyle w:val="ListParagraph"/>
        <w:numPr>
          <w:ilvl w:val="0"/>
          <w:numId w:val="2"/>
        </w:numPr>
        <w:spacing w:after="40" w:before="40"/>
      </w:pPr>
      <w:r>
        <w:rPr>
          <w:rFonts w:ascii="Arial" w:cs="Arial" w:eastAsia="Arial" w:hAnsi="Arial"/>
          <w:b/>
          <w:bCs/>
          <w:color w:val="222222"/>
          <w:sz w:val="22"/>
          <w:szCs w:val="22"/>
        </w:rPr>
        <w:t xml:space="preserve">Handheld RFID as commodity: </w:t>
      </w:r>
      <w:r>
        <w:rPr>
          <w:rFonts w:ascii="Arial" w:cs="Arial" w:eastAsia="Arial" w:hAnsi="Arial"/>
          <w:color w:val="444444"/>
          <w:sz w:val="22"/>
          <w:szCs w:val="22"/>
        </w:rPr>
        <w:t xml:space="preserve">GS1 US RFID Adoption Survey (2023) reports that handheld RFID reader penetration in U.S. distribution and retail has crossed 60% among mid-market operators, confirming commodity status. Competitive alpha from handheld deployment alone is effectively zero by Y3 in competitive markets.</w:t>
      </w:r>
    </w:p>
    <w:p>
      <w:pPr>
        <w:pStyle w:val="ListParagraph"/>
        <w:numPr>
          <w:ilvl w:val="0"/>
          <w:numId w:val="2"/>
        </w:numPr>
        <w:spacing w:after="40" w:before="40"/>
      </w:pPr>
      <w:r>
        <w:rPr>
          <w:rFonts w:ascii="Arial" w:cs="Arial" w:eastAsia="Arial" w:hAnsi="Arial"/>
          <w:b/>
          <w:bCs/>
          <w:color w:val="222222"/>
          <w:sz w:val="22"/>
          <w:szCs w:val="22"/>
        </w:rPr>
        <w:t xml:space="preserve">Infrastructure tier retention (0.90 at Y5): </w:t>
      </w:r>
      <w:r>
        <w:rPr>
          <w:rFonts w:ascii="Arial" w:cs="Arial" w:eastAsia="Arial" w:hAnsi="Arial"/>
          <w:color w:val="444444"/>
          <w:sz w:val="22"/>
          <w:szCs w:val="22"/>
        </w:rPr>
        <w:t xml:space="preserve">Overhead fixed RFID and integrated sensor networks carry capital and installation barriers that slow competitive replication. IDC MarketScape: Warehouse Management Systems (2023) notes 3–5 year implementation cycles for full fixed-infrastructure RFID, supporting sustained alpha retention through Y4–Y5.</w:t>
      </w:r>
    </w:p>
    <w:p>
      <w:pPr>
        <w:pStyle w:val="ListParagraph"/>
        <w:numPr>
          <w:ilvl w:val="0"/>
          <w:numId w:val="2"/>
        </w:numPr>
        <w:spacing w:after="40" w:before="40"/>
      </w:pPr>
      <w:r>
        <w:rPr>
          <w:rFonts w:ascii="Arial" w:cs="Arial" w:eastAsia="Arial" w:hAnsi="Arial"/>
          <w:b/>
          <w:bCs/>
          <w:color w:val="222222"/>
          <w:sz w:val="22"/>
          <w:szCs w:val="22"/>
        </w:rPr>
        <w:t xml:space="preserve">Competitive Alpha concept: </w:t>
      </w:r>
      <w:r>
        <w:rPr>
          <w:rFonts w:ascii="Arial" w:cs="Arial" w:eastAsia="Arial" w:hAnsi="Arial"/>
          <w:color w:val="444444"/>
          <w:sz w:val="22"/>
          <w:szCs w:val="22"/>
        </w:rPr>
        <w:t xml:space="preserve">Ma, S. (NBER, 2021) — relative value of a technology investment is a function not only of internal adoption but of the market frontier's rate of advancement. When the frontier catches up, value_internal - baseline_market approaches zero, regardless of internal execution quality.</w:t>
      </w:r>
    </w:p>
    <w:p>
      <w:pPr>
        <w:spacing w:after="0" w:before="80"/>
      </w:pPr>
      <w:r>
        <w:t xml:space="preserve"/>
      </w:r>
    </w:p>
    <w:p>
      <w:pPr>
        <w:spacing w:after="60" w:before="60"/>
      </w:pPr>
      <w:r>
        <w:rPr>
          <w:rFonts w:ascii="Arial" w:cs="Arial" w:eastAsia="Arial" w:hAnsi="Arial"/>
          <w:i/>
          <w:iCs/>
          <w:color w:val="444444"/>
          <w:sz w:val="22"/>
          <w:szCs w:val="22"/>
        </w:rPr>
        <w:t xml:space="preserve">Important: the Accessibility Modifier does not apply to process moats. If the solution enables a proprietary data model, a unique integration, or a workflow that cannot be replicated simply by purchasing the same hardware — document that explicitly as a scope note and apply the Infrastructure tier modifier regardless of hardware cost. The moat is in the process, not the device.</w:t>
      </w:r>
    </w:p>
    <w:p>
      <w:pPr>
        <w:spacing w:after="0" w:before="200"/>
      </w:pPr>
      <w:r>
        <w:t xml:space="preserve"/>
      </w:r>
    </w:p>
    <w:p>
      <w:pPr>
        <w:pStyle w:val="Heading1"/>
        <w:pBdr>
          <w:bottom w:val="single" w:color="CCCCCC" w:sz="6" w:space="6"/>
        </w:pBdr>
        <w:spacing w:after="160" w:before="360"/>
      </w:pPr>
      <w:r>
        <w:rPr>
          <w:rFonts w:ascii="Arial" w:cs="Arial" w:eastAsia="Arial" w:hAnsi="Arial"/>
          <w:b/>
          <w:bCs/>
          <w:color w:val="111111"/>
          <w:sz w:val="32"/>
          <w:szCs w:val="32"/>
        </w:rPr>
        <w:t xml:space="preserve">Step 4 — Establish the Baseline and Apply Degradation</w:t>
      </w:r>
    </w:p>
    <w:p>
      <w:pPr>
        <w:spacing w:after="60" w:before="60"/>
      </w:pPr>
      <w:r>
        <w:rPr>
          <w:rFonts w:ascii="Arial" w:cs="Arial" w:eastAsia="Arial" w:hAnsi="Arial"/>
          <w:color w:val="444444"/>
          <w:sz w:val="22"/>
          <w:szCs w:val="22"/>
        </w:rPr>
        <w:t xml:space="preserve">The baseline is what the problem costs today, before the solution. It grows under status quo. Leaving it flat understates the cost of inaction.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40"/>
              <w:bottom w:type="dxa" w:w="120"/>
              <w:right w:type="dxa" w:w="240"/>
            </w:tcMar>
          </w:tcPr>
          <w:p>
            <w:pPr>
              <w:spacing w:after="0" w:before="0"/>
              <w:jc w:val="center"/>
            </w:pPr>
            <w:r>
              <w:rPr>
                <w:rFonts w:ascii="Courier New" w:cs="Courier New" w:eastAsia="Courier New" w:hAnsi="Courier New"/>
                <w:b/>
                <w:bCs/>
                <w:color w:val="111111"/>
                <w:sz w:val="21"/>
                <w:szCs w:val="21"/>
              </w:rPr>
              <w:t xml:space="preserve">Baseline Cost(t)  =  B0 x (1 + g)^t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40"/>
              <w:bottom w:type="dxa" w:w="120"/>
              <w:right w:type="dxa" w:w="240"/>
            </w:tcMar>
          </w:tcPr>
          <w:p>
            <w:pPr>
              <w:spacing w:after="0" w:before="0"/>
              <w:jc w:val="center"/>
            </w:pPr>
            <w:r>
              <w:rPr>
                <w:rFonts w:ascii="Courier New" w:cs="Courier New" w:eastAsia="Courier New" w:hAnsi="Courier New"/>
                <w:b/>
                <w:bCs/>
                <w:color w:val="111111"/>
                <w:sz w:val="21"/>
                <w:szCs w:val="21"/>
              </w:rPr>
              <w:t xml:space="preserve">Decay_Avoided(t)  =  SUM[ B0 x (1+g)^t  -  B0 ]  for t=1 to n</w:t>
            </w:r>
          </w:p>
        </w:tc>
      </w:tr>
    </w:tbl>
    <w:p>
      <w:pPr>
        <w:spacing w:after="0" w:before="100"/>
      </w:pPr>
      <w:r>
        <w:t xml:space="preserve"/>
      </w:r>
    </w:p>
    <w:p>
      <w:pPr>
        <w:pStyle w:val="ListParagraph"/>
        <w:numPr>
          <w:ilvl w:val="0"/>
          <w:numId w:val="2"/>
        </w:numPr>
        <w:spacing w:after="40" w:before="40"/>
      </w:pPr>
      <w:r>
        <w:rPr>
          <w:rFonts w:ascii="Arial" w:cs="Arial" w:eastAsia="Arial" w:hAnsi="Arial"/>
          <w:b/>
          <w:bCs/>
          <w:color w:val="222222"/>
          <w:sz w:val="22"/>
          <w:szCs w:val="22"/>
        </w:rPr>
        <w:t xml:space="preserve">B0</w:t>
      </w:r>
      <w:r>
        <w:rPr>
          <w:rFonts w:ascii="Arial" w:cs="Arial" w:eastAsia="Arial" w:hAnsi="Arial"/>
          <w:color w:val="444444"/>
          <w:sz w:val="22"/>
          <w:szCs w:val="22"/>
        </w:rPr>
        <w:t xml:space="preserve"> = current annual cost of the problem (Year 0)</w:t>
      </w:r>
    </w:p>
    <w:p>
      <w:pPr>
        <w:pStyle w:val="ListParagraph"/>
        <w:numPr>
          <w:ilvl w:val="0"/>
          <w:numId w:val="2"/>
        </w:numPr>
        <w:spacing w:after="40" w:before="40"/>
      </w:pPr>
      <w:r>
        <w:rPr>
          <w:rFonts w:ascii="Arial" w:cs="Arial" w:eastAsia="Arial" w:hAnsi="Arial"/>
          <w:b/>
          <w:bCs/>
          <w:color w:val="222222"/>
          <w:sz w:val="22"/>
          <w:szCs w:val="22"/>
        </w:rPr>
        <w:t xml:space="preserve">g</w:t>
      </w:r>
      <w:r>
        <w:rPr>
          <w:rFonts w:ascii="Arial" w:cs="Arial" w:eastAsia="Arial" w:hAnsi="Arial"/>
          <w:color w:val="444444"/>
          <w:sz w:val="22"/>
          <w:szCs w:val="22"/>
        </w:rPr>
        <w:t xml:space="preserve"> = baseline degradation rate (default: 0.035 — i.e. 3.5%/year)</w:t>
      </w:r>
    </w:p>
    <w:p>
      <w:pPr>
        <w:pStyle w:val="ListParagraph"/>
        <w:numPr>
          <w:ilvl w:val="0"/>
          <w:numId w:val="2"/>
        </w:numPr>
        <w:spacing w:after="40" w:before="40"/>
      </w:pPr>
      <w:r>
        <w:rPr>
          <w:rFonts w:ascii="Arial" w:cs="Arial" w:eastAsia="Arial" w:hAnsi="Arial"/>
          <w:b/>
          <w:bCs/>
          <w:color w:val="222222"/>
          <w:sz w:val="22"/>
          <w:szCs w:val="22"/>
        </w:rPr>
        <w:t xml:space="preserve">t</w:t>
      </w:r>
      <w:r>
        <w:rPr>
          <w:rFonts w:ascii="Arial" w:cs="Arial" w:eastAsia="Arial" w:hAnsi="Arial"/>
          <w:color w:val="444444"/>
          <w:sz w:val="22"/>
          <w:szCs w:val="22"/>
        </w:rPr>
        <w:t xml:space="preserve"> = year (1 through 5)</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7F7" w:val="clear"/>
            <w:tcMar>
              <w:top w:type="dxa" w:w="100"/>
              <w:left w:type="dxa" w:w="180"/>
              <w:bottom w:type="dxa" w:w="100"/>
              <w:right w:type="dxa" w:w="180"/>
            </w:tcMar>
          </w:tcPr>
          <w:p>
            <w:pPr>
              <w:spacing w:after="0" w:before="0"/>
            </w:pPr>
            <w:r>
              <w:rPr>
                <w:rFonts w:ascii="Arial" w:cs="Arial" w:eastAsia="Arial" w:hAnsi="Arial"/>
                <w:b/>
                <w:bCs/>
                <w:color w:val="666666"/>
                <w:sz w:val="18"/>
                <w:szCs w:val="18"/>
              </w:rPr>
              <w:t xml:space="preserve">Source: </w:t>
            </w:r>
            <w:r>
              <w:rPr>
                <w:rFonts w:ascii="Arial" w:cs="Arial" w:eastAsia="Arial" w:hAnsi="Arial"/>
                <w:i/>
                <w:iCs/>
                <w:color w:val="666666"/>
                <w:sz w:val="18"/>
                <w:szCs w:val="18"/>
              </w:rPr>
              <w:t xml:space="preserve">Baseline degradation rate (3.5%): Derived from two components. (1) Labor cost inflation: U.S. Employment Cost Index (BLS ECI, Q4 2023) shows warehouse/distribution labor costs growing at 3.2–4.1% annually over the 2019–2023 period. (2) Operational complexity creep: McKinsey Global Institute, "The Future of Work in America" (2019) documents 2–4% annual increase in process complexity for firms not actively investing in workflow automation. The 3.5% default represents the midpoint of these combined forces.</w:t>
            </w:r>
          </w:p>
        </w:tc>
      </w:tr>
    </w:tbl>
    <w:p>
      <w:pPr>
        <w:spacing w:after="0" w:before="200"/>
      </w:pPr>
      <w:r>
        <w:t xml:space="preserve"/>
      </w:r>
    </w:p>
    <w:p>
      <w:pPr>
        <w:pStyle w:val="Heading1"/>
        <w:pBdr>
          <w:bottom w:val="single" w:color="CCCCCC" w:sz="6" w:space="6"/>
        </w:pBdr>
        <w:spacing w:after="160" w:before="360"/>
      </w:pPr>
      <w:r>
        <w:rPr>
          <w:rFonts w:ascii="Arial" w:cs="Arial" w:eastAsia="Arial" w:hAnsi="Arial"/>
          <w:b/>
          <w:bCs/>
          <w:color w:val="111111"/>
          <w:sz w:val="32"/>
          <w:szCs w:val="32"/>
        </w:rPr>
        <w:t xml:space="preserve">Step 5 — Run the Covariance Audit</w:t>
      </w:r>
    </w:p>
    <w:p>
      <w:pPr>
        <w:spacing w:after="60" w:before="60"/>
      </w:pPr>
      <w:r>
        <w:rPr>
          <w:rFonts w:ascii="Arial" w:cs="Arial" w:eastAsia="Arial" w:hAnsi="Arial"/>
          <w:color w:val="444444"/>
          <w:sz w:val="22"/>
          <w:szCs w:val="22"/>
        </w:rPr>
        <w:t xml:space="preserve">All driver pairs are treated as overlapping by default. The burden is on the value engineer to prove disjointness — not to find overlap. Anything not actively cleared is assumed dirty.</w:t>
      </w:r>
    </w:p>
    <w:p>
      <w:pPr>
        <w:spacing w:after="0" w:before="80"/>
      </w:pPr>
      <w:r>
        <w:t xml:space="preserve"/>
      </w:r>
    </w:p>
    <w:p>
      <w:pPr>
        <w:spacing w:after="60" w:before="60"/>
      </w:pPr>
      <w:r>
        <w:rPr>
          <w:rFonts w:ascii="Arial" w:cs="Arial" w:eastAsia="Arial" w:hAnsi="Arial"/>
          <w:color w:val="444444"/>
          <w:sz w:val="22"/>
          <w:szCs w:val="22"/>
        </w:rPr>
        <w:t xml:space="preserve">This matters because double-counting is invisible if you only look for it when something seems wrong. Two drivers can each look clean in isolation and still draw from the same labor pool, the same headcount, the same hours. The audit exists to find that before a CFO does.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40"/>
              <w:bottom w:type="dxa" w:w="120"/>
              <w:right w:type="dxa" w:w="240"/>
            </w:tcMar>
          </w:tcPr>
          <w:p>
            <w:pPr>
              <w:spacing w:after="0" w:before="0"/>
              <w:jc w:val="center"/>
            </w:pPr>
            <w:r>
              <w:rPr>
                <w:rFonts w:ascii="Courier New" w:cs="Courier New" w:eastAsia="Courier New" w:hAnsi="Courier New"/>
                <w:b/>
                <w:bCs/>
                <w:color w:val="111111"/>
                <w:sz w:val="21"/>
                <w:szCs w:val="21"/>
              </w:rPr>
              <w:t xml:space="preserve">Adjusted Driver Value(i)  =  Driver Value(i)  x  (1 - h)</w:t>
            </w:r>
          </w:p>
        </w:tc>
      </w:tr>
    </w:tbl>
    <w:p>
      <w:pPr>
        <w:spacing w:after="0" w:before="100"/>
      </w:pPr>
      <w:r>
        <w:t xml:space="preserve"/>
      </w:r>
    </w:p>
    <w:p>
      <w:pPr>
        <w:spacing w:after="80" w:before="200"/>
      </w:pPr>
      <w:r>
        <w:rPr>
          <w:rFonts w:ascii="Arial" w:cs="Arial" w:eastAsia="Arial" w:hAnsi="Arial"/>
          <w:b/>
          <w:bCs/>
          <w:color w:val="222222"/>
          <w:sz w:val="22"/>
          <w:szCs w:val="22"/>
        </w:rPr>
        <w:t xml:space="preserve">Default state: h &gt; 0</w:t>
      </w:r>
    </w:p>
    <w:p>
      <w:pPr>
        <w:spacing w:after="60" w:before="60"/>
      </w:pPr>
      <w:r>
        <w:rPr>
          <w:rFonts w:ascii="Arial" w:cs="Arial" w:eastAsia="Arial" w:hAnsi="Arial"/>
          <w:color w:val="444444"/>
          <w:sz w:val="22"/>
          <w:szCs w:val="22"/>
        </w:rPr>
        <w:t xml:space="preserve">Every driver pair starts with an assumed haircut. To set h = 0 on a pair, you must document one of the following resolutions:</w:t>
      </w:r>
    </w:p>
    <w:p>
      <w:pPr>
        <w:spacing w:after="0" w:before="60"/>
      </w:pPr>
      <w:r>
        <w:t xml:space="preserve"/>
      </w:r>
    </w:p>
    <w:p>
      <w:pPr>
        <w:pStyle w:val="ListParagraph"/>
        <w:numPr>
          <w:ilvl w:val="0"/>
          <w:numId w:val="2"/>
        </w:numPr>
        <w:spacing w:after="40" w:before="40"/>
      </w:pPr>
      <w:r>
        <w:rPr>
          <w:rFonts w:ascii="Arial" w:cs="Arial" w:eastAsia="Arial" w:hAnsi="Arial"/>
          <w:b/>
          <w:bCs/>
          <w:color w:val="222222"/>
          <w:sz w:val="22"/>
          <w:szCs w:val="22"/>
        </w:rPr>
        <w:t xml:space="preserve">Proven disjoint. </w:t>
      </w:r>
      <w:r>
        <w:rPr>
          <w:rFonts w:ascii="Arial" w:cs="Arial" w:eastAsia="Arial" w:hAnsi="Arial"/>
          <w:color w:val="444444"/>
          <w:sz w:val="22"/>
          <w:szCs w:val="22"/>
        </w:rPr>
        <w:t xml:space="preserve">Write a scope note that explicitly demonstrates the two drivers draw from different labor pools, different asset bases, and different failure modes. The argument must hold up to a skeptic reading it cold. If it does, h = 0 is justified and documented.</w:t>
      </w:r>
    </w:p>
    <w:p>
      <w:pPr>
        <w:pStyle w:val="ListParagraph"/>
        <w:numPr>
          <w:ilvl w:val="0"/>
          <w:numId w:val="2"/>
        </w:numPr>
        <w:spacing w:after="40" w:before="40"/>
      </w:pPr>
      <w:r>
        <w:rPr>
          <w:rFonts w:ascii="Arial" w:cs="Arial" w:eastAsia="Arial" w:hAnsi="Arial"/>
          <w:b/>
          <w:bCs/>
          <w:color w:val="222222"/>
          <w:sz w:val="22"/>
          <w:szCs w:val="22"/>
        </w:rPr>
        <w:t xml:space="preserve">Quantified overlap. </w:t>
      </w:r>
      <w:r>
        <w:rPr>
          <w:rFonts w:ascii="Arial" w:cs="Arial" w:eastAsia="Arial" w:hAnsi="Arial"/>
          <w:color w:val="444444"/>
          <w:sz w:val="22"/>
          <w:szCs w:val="22"/>
        </w:rPr>
        <w:t xml:space="preserve">Identify the fraction of overlap and apply h to the lower-confidence driver. Document what the overlap is and why the fraction is what it is. h does not have to be precise — it has to be honest.</w:t>
      </w:r>
    </w:p>
    <w:p>
      <w:pPr>
        <w:pStyle w:val="ListParagraph"/>
        <w:numPr>
          <w:ilvl w:val="0"/>
          <w:numId w:val="2"/>
        </w:numPr>
        <w:spacing w:after="40" w:before="40"/>
      </w:pPr>
      <w:r>
        <w:rPr>
          <w:rFonts w:ascii="Arial" w:cs="Arial" w:eastAsia="Arial" w:hAnsi="Arial"/>
          <w:b/>
          <w:bCs/>
          <w:color w:val="222222"/>
          <w:sz w:val="22"/>
          <w:szCs w:val="22"/>
        </w:rPr>
        <w:t xml:space="preserve">Deactivated. </w:t>
      </w:r>
      <w:r>
        <w:rPr>
          <w:rFonts w:ascii="Arial" w:cs="Arial" w:eastAsia="Arial" w:hAnsi="Arial"/>
          <w:color w:val="444444"/>
          <w:sz w:val="22"/>
          <w:szCs w:val="22"/>
        </w:rPr>
        <w:t xml:space="preserve">If neither disjointness nor a defensible haircut can be established, remove the weaker driver from the model entirely. A smaller but clean number is always more defensible than a larger number with unresolved overlap.</w:t>
      </w:r>
    </w:p>
    <w:p>
      <w:pPr>
        <w:spacing w:after="0" w:before="80"/>
      </w:pPr>
      <w:r>
        <w:t xml:space="preserve"/>
      </w:r>
    </w:p>
    <w:p>
      <w:pPr>
        <w:spacing w:after="60" w:before="60"/>
      </w:pPr>
      <w:r>
        <w:rPr>
          <w:rFonts w:ascii="Arial" w:cs="Arial" w:eastAsia="Arial" w:hAnsi="Arial"/>
          <w:b/>
          <w:bCs/>
          <w:color w:val="444444"/>
          <w:sz w:val="22"/>
          <w:szCs w:val="22"/>
        </w:rPr>
        <w:t xml:space="preserve">Every driver pair must have one of these three documented resolutions before the model moves forward. Not checked is not a resolution.</w:t>
      </w:r>
    </w:p>
    <w:p>
      <w:pPr>
        <w:spacing w:after="0" w:before="80"/>
      </w:pPr>
      <w:r>
        <w:t xml:space="preserve"/>
      </w:r>
    </w:p>
    <w:p>
      <w:pPr>
        <w:spacing w:after="80" w:before="200"/>
      </w:pPr>
      <w:r>
        <w:rPr>
          <w:rFonts w:ascii="Arial" w:cs="Arial" w:eastAsia="Arial" w:hAnsi="Arial"/>
          <w:b/>
          <w:bCs/>
          <w:color w:val="222222"/>
          <w:sz w:val="22"/>
          <w:szCs w:val="22"/>
        </w:rPr>
        <w:t xml:space="preserve">What to check for each pair</w:t>
      </w:r>
    </w:p>
    <w:p>
      <w:pPr>
        <w:pStyle w:val="ListParagraph"/>
        <w:numPr>
          <w:ilvl w:val="0"/>
          <w:numId w:val="2"/>
        </w:numPr>
        <w:spacing w:after="40" w:before="40"/>
      </w:pPr>
      <w:r>
        <w:rPr>
          <w:rFonts w:ascii="Arial" w:cs="Arial" w:eastAsia="Arial" w:hAnsi="Arial"/>
          <w:color w:val="444444"/>
          <w:sz w:val="22"/>
          <w:szCs w:val="22"/>
        </w:rPr>
        <w:t xml:space="preserve">Do they draw from the same labor pool — same headcount, same shift, same function?</w:t>
      </w:r>
    </w:p>
    <w:p>
      <w:pPr>
        <w:pStyle w:val="ListParagraph"/>
        <w:numPr>
          <w:ilvl w:val="0"/>
          <w:numId w:val="2"/>
        </w:numPr>
        <w:spacing w:after="40" w:before="40"/>
      </w:pPr>
      <w:r>
        <w:rPr>
          <w:rFonts w:ascii="Arial" w:cs="Arial" w:eastAsia="Arial" w:hAnsi="Arial"/>
          <w:color w:val="444444"/>
          <w:sz w:val="22"/>
          <w:szCs w:val="22"/>
        </w:rPr>
        <w:t xml:space="preserve">Does one driver's savings reduce the baseline the other driver claims against?</w:t>
      </w:r>
    </w:p>
    <w:p>
      <w:pPr>
        <w:pStyle w:val="ListParagraph"/>
        <w:numPr>
          <w:ilvl w:val="0"/>
          <w:numId w:val="2"/>
        </w:numPr>
        <w:spacing w:after="40" w:before="40"/>
      </w:pPr>
      <w:r>
        <w:rPr>
          <w:rFonts w:ascii="Arial" w:cs="Arial" w:eastAsia="Arial" w:hAnsi="Arial"/>
          <w:color w:val="444444"/>
          <w:sz w:val="22"/>
          <w:szCs w:val="22"/>
        </w:rPr>
        <w:t xml:space="preserve">Do they address overlapping failure modes — e.g. two drivers both reducing dock dwell time?</w:t>
      </w:r>
    </w:p>
    <w:p>
      <w:pPr>
        <w:pStyle w:val="ListParagraph"/>
        <w:numPr>
          <w:ilvl w:val="0"/>
          <w:numId w:val="2"/>
        </w:numPr>
        <w:spacing w:after="40" w:before="40"/>
      </w:pPr>
      <w:r>
        <w:rPr>
          <w:rFonts w:ascii="Arial" w:cs="Arial" w:eastAsia="Arial" w:hAnsi="Arial"/>
          <w:color w:val="444444"/>
          <w:sz w:val="22"/>
          <w:szCs w:val="22"/>
        </w:rPr>
        <w:t xml:space="preserve">Could both drivers be triggered by the same root-cause event, meaning only one actually fires?</w:t>
      </w:r>
    </w:p>
    <w:p>
      <w:pPr>
        <w:spacing w:after="0" w:before="80"/>
      </w:pPr>
      <w:r>
        <w:t xml:space="preserve"/>
      </w:r>
    </w:p>
    <w:p>
      <w:pPr>
        <w:spacing w:after="60" w:before="60"/>
      </w:pPr>
      <w:r>
        <w:rPr>
          <w:rFonts w:ascii="Arial" w:cs="Arial" w:eastAsia="Arial" w:hAnsi="Arial"/>
          <w:b/>
          <w:bCs/>
          <w:color w:val="444444"/>
          <w:sz w:val="22"/>
          <w:szCs w:val="22"/>
        </w:rPr>
        <w:t xml:space="preserve">Hard rule: no model moves forward with unresolved pairs. This is a gate, not a suggestion.</w:t>
      </w:r>
    </w:p>
    <w:p>
      <w:pPr>
        <w:spacing w:after="0" w:before="200"/>
      </w:pPr>
      <w:r>
        <w:t xml:space="preserve"/>
      </w:r>
    </w:p>
    <w:p>
      <w:pPr>
        <w:pStyle w:val="Heading1"/>
        <w:pBdr>
          <w:bottom w:val="single" w:color="CCCCCC" w:sz="6" w:space="6"/>
        </w:pBdr>
        <w:spacing w:after="160" w:before="360"/>
      </w:pPr>
      <w:r>
        <w:rPr>
          <w:rFonts w:ascii="Arial" w:cs="Arial" w:eastAsia="Arial" w:hAnsi="Arial"/>
          <w:b/>
          <w:bCs/>
          <w:color w:val="111111"/>
          <w:sz w:val="32"/>
          <w:szCs w:val="32"/>
        </w:rPr>
        <w:t xml:space="preserve">Step 6 — Build the Annual Cash Flows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40"/>
              <w:bottom w:type="dxa" w:w="120"/>
              <w:right w:type="dxa" w:w="240"/>
            </w:tcMar>
          </w:tcPr>
          <w:p>
            <w:pPr>
              <w:spacing w:after="0" w:before="0"/>
              <w:jc w:val="center"/>
            </w:pPr>
            <w:r>
              <w:rPr>
                <w:rFonts w:ascii="Courier New" w:cs="Courier New" w:eastAsia="Courier New" w:hAnsi="Courier New"/>
                <w:b/>
                <w:bCs/>
                <w:color w:val="111111"/>
                <w:sz w:val="21"/>
                <w:szCs w:val="21"/>
              </w:rPr>
              <w:t xml:space="preserve">Net Benefit(t)  =  SUM[ Adjusted Driver Value(i) x r(t) x A(t) ]  +  Decay_Avoided(t)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40"/>
              <w:bottom w:type="dxa" w:w="120"/>
              <w:right w:type="dxa" w:w="240"/>
            </w:tcMar>
          </w:tcPr>
          <w:p>
            <w:pPr>
              <w:spacing w:after="0" w:before="0"/>
              <w:jc w:val="center"/>
            </w:pPr>
            <w:r>
              <w:rPr>
                <w:rFonts w:ascii="Courier New" w:cs="Courier New" w:eastAsia="Courier New" w:hAnsi="Courier New"/>
                <w:b/>
                <w:bCs/>
                <w:color w:val="111111"/>
                <w:sz w:val="21"/>
                <w:szCs w:val="21"/>
              </w:rPr>
              <w:t xml:space="preserve">Net Cash Flow(t)  =  Net Benefit(t)  -  TCO(t)</w:t>
            </w:r>
          </w:p>
        </w:tc>
      </w:tr>
    </w:tbl>
    <w:p>
      <w:pPr>
        <w:spacing w:after="0" w:before="100"/>
      </w:pPr>
      <w:r>
        <w:t xml:space="preserve"/>
      </w:r>
    </w:p>
    <w:p>
      <w:pPr>
        <w:spacing w:after="60" w:before="60"/>
      </w:pPr>
      <w:r>
        <w:rPr>
          <w:rFonts w:ascii="Arial" w:cs="Arial" w:eastAsia="Arial" w:hAnsi="Arial"/>
          <w:color w:val="444444"/>
          <w:sz w:val="22"/>
          <w:szCs w:val="22"/>
        </w:rPr>
        <w:t xml:space="preserve">TCO(t) must include all costs — visible and hidden:</w:t>
      </w:r>
    </w:p>
    <w:p>
      <w:pPr>
        <w:pStyle w:val="ListParagraph"/>
        <w:numPr>
          <w:ilvl w:val="0"/>
          <w:numId w:val="2"/>
        </w:numPr>
        <w:spacing w:after="40" w:before="40"/>
      </w:pPr>
      <w:r>
        <w:rPr>
          <w:rFonts w:ascii="Arial" w:cs="Arial" w:eastAsia="Arial" w:hAnsi="Arial"/>
          <w:color w:val="444444"/>
          <w:sz w:val="22"/>
          <w:szCs w:val="22"/>
        </w:rPr>
        <w:t xml:space="preserve">Year 0/1: implementation labor, hardware, integration, project management</w:t>
      </w:r>
    </w:p>
    <w:p>
      <w:pPr>
        <w:pStyle w:val="ListParagraph"/>
        <w:numPr>
          <w:ilvl w:val="0"/>
          <w:numId w:val="2"/>
        </w:numPr>
        <w:spacing w:after="40" w:before="40"/>
      </w:pPr>
      <w:r>
        <w:rPr>
          <w:rFonts w:ascii="Arial" w:cs="Arial" w:eastAsia="Arial" w:hAnsi="Arial"/>
          <w:color w:val="444444"/>
          <w:sz w:val="22"/>
          <w:szCs w:val="22"/>
        </w:rPr>
        <w:t xml:space="preserve">Year 1–5: software licensing or SaaS fees, hardware maintenance and refresh</w:t>
      </w:r>
    </w:p>
    <w:p>
      <w:pPr>
        <w:pStyle w:val="ListParagraph"/>
        <w:numPr>
          <w:ilvl w:val="0"/>
          <w:numId w:val="2"/>
        </w:numPr>
        <w:spacing w:after="40" w:before="40"/>
      </w:pPr>
      <w:r>
        <w:rPr>
          <w:rFonts w:ascii="Arial" w:cs="Arial" w:eastAsia="Arial" w:hAnsi="Arial"/>
          <w:color w:val="444444"/>
          <w:sz w:val="22"/>
          <w:szCs w:val="22"/>
        </w:rPr>
        <w:t xml:space="preserve">Year 1–5: ongoing training (critical — especially for Human Behavior profile drivers)</w:t>
      </w:r>
    </w:p>
    <w:p>
      <w:pPr>
        <w:pStyle w:val="ListParagraph"/>
        <w:numPr>
          <w:ilvl w:val="0"/>
          <w:numId w:val="2"/>
        </w:numPr>
        <w:spacing w:after="40" w:before="40"/>
      </w:pPr>
      <w:r>
        <w:rPr>
          <w:rFonts w:ascii="Arial" w:cs="Arial" w:eastAsia="Arial" w:hAnsi="Arial"/>
          <w:color w:val="444444"/>
          <w:sz w:val="22"/>
          <w:szCs w:val="22"/>
        </w:rPr>
        <w:t xml:space="preserve">Year 1–5: device attrition (handheld units break, get lost, require replacement)</w:t>
      </w:r>
    </w:p>
    <w:p>
      <w:pPr>
        <w:pStyle w:val="ListParagraph"/>
        <w:numPr>
          <w:ilvl w:val="0"/>
          <w:numId w:val="2"/>
        </w:numPr>
        <w:spacing w:after="40" w:before="40"/>
      </w:pPr>
      <w:r>
        <w:rPr>
          <w:rFonts w:ascii="Arial" w:cs="Arial" w:eastAsia="Arial" w:hAnsi="Arial"/>
          <w:color w:val="444444"/>
          <w:sz w:val="22"/>
          <w:szCs w:val="22"/>
        </w:rPr>
        <w:t xml:space="preserve">Year 1–5: IT support burden, connectivity maintenance, edge troubleshooting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7F7" w:val="clear"/>
            <w:tcMar>
              <w:top w:type="dxa" w:w="100"/>
              <w:left w:type="dxa" w:w="180"/>
              <w:bottom w:type="dxa" w:w="100"/>
              <w:right w:type="dxa" w:w="180"/>
            </w:tcMar>
          </w:tcPr>
          <w:p>
            <w:pPr>
              <w:spacing w:after="0" w:before="0"/>
            </w:pPr>
            <w:r>
              <w:rPr>
                <w:rFonts w:ascii="Arial" w:cs="Arial" w:eastAsia="Arial" w:hAnsi="Arial"/>
                <w:b/>
                <w:bCs/>
                <w:color w:val="666666"/>
                <w:sz w:val="18"/>
                <w:szCs w:val="18"/>
              </w:rPr>
              <w:t xml:space="preserve">Source: </w:t>
            </w:r>
            <w:r>
              <w:rPr>
                <w:rFonts w:ascii="Arial" w:cs="Arial" w:eastAsia="Arial" w:hAnsi="Arial"/>
                <w:i/>
                <w:iCs/>
                <w:color w:val="666666"/>
                <w:sz w:val="18"/>
                <w:szCs w:val="18"/>
              </w:rPr>
              <w:t xml:space="preserve">Device attrition rate: VDC Research, "Enterprise Mobility and Connected Devices" (2022) documents annual handheld device failure/loss rates of 15–25% in warehouse environments. Apply 20% annual replacement rate to handheld hardware cost for conservative TCO modeling.</w:t>
            </w:r>
          </w:p>
        </w:tc>
      </w:tr>
    </w:tbl>
    <w:p>
      <w:pPr>
        <w:spacing w:after="0" w:before="200"/>
      </w:pPr>
      <w:r>
        <w:t xml:space="preserve"/>
      </w:r>
    </w:p>
    <w:p>
      <w:pPr>
        <w:pStyle w:val="Heading1"/>
        <w:pBdr>
          <w:bottom w:val="single" w:color="CCCCCC" w:sz="6" w:space="6"/>
        </w:pBdr>
        <w:spacing w:after="160" w:before="360"/>
      </w:pPr>
      <w:r>
        <w:rPr>
          <w:rFonts w:ascii="Arial" w:cs="Arial" w:eastAsia="Arial" w:hAnsi="Arial"/>
          <w:b/>
          <w:bCs/>
          <w:color w:val="111111"/>
          <w:sz w:val="32"/>
          <w:szCs w:val="32"/>
        </w:rPr>
        <w:t xml:space="preserve">Step 7 — Compute NPV</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40"/>
              <w:bottom w:type="dxa" w:w="120"/>
              <w:right w:type="dxa" w:w="240"/>
            </w:tcMar>
          </w:tcPr>
          <w:p>
            <w:pPr>
              <w:spacing w:after="0" w:before="0"/>
              <w:jc w:val="center"/>
            </w:pPr>
            <w:r>
              <w:rPr>
                <w:rFonts w:ascii="Courier New" w:cs="Courier New" w:eastAsia="Courier New" w:hAnsi="Courier New"/>
                <w:b/>
                <w:bCs/>
                <w:color w:val="111111"/>
                <w:sz w:val="21"/>
                <w:szCs w:val="21"/>
              </w:rPr>
              <w:t xml:space="preserve">NPV  =  SUM[ Net Cash Flow(t) / (1 + WACC)^t ]  for t=0 to 5</w:t>
            </w:r>
          </w:p>
        </w:tc>
      </w:tr>
    </w:tbl>
    <w:p>
      <w:pPr>
        <w:spacing w:after="0" w:before="100"/>
      </w:pPr>
      <w:r>
        <w:t xml:space="preserve"/>
      </w:r>
    </w:p>
    <w:p>
      <w:pPr>
        <w:pStyle w:val="ListParagraph"/>
        <w:numPr>
          <w:ilvl w:val="0"/>
          <w:numId w:val="2"/>
        </w:numPr>
        <w:spacing w:after="40" w:before="40"/>
      </w:pPr>
      <w:r>
        <w:rPr>
          <w:rFonts w:ascii="Arial" w:cs="Arial" w:eastAsia="Arial" w:hAnsi="Arial"/>
          <w:b/>
          <w:bCs/>
          <w:color w:val="222222"/>
          <w:sz w:val="22"/>
          <w:szCs w:val="22"/>
        </w:rPr>
        <w:t xml:space="preserve">WACC = 0.10 (default)</w:t>
      </w:r>
      <w:r>
        <w:rPr>
          <w:rFonts w:ascii="Arial" w:cs="Arial" w:eastAsia="Arial" w:hAnsi="Arial"/>
          <w:color w:val="444444"/>
          <w:sz w:val="22"/>
          <w:szCs w:val="22"/>
        </w:rPr>
        <w:t xml:space="preserve"> — always run sensitivity at 8%, 10%, 12%</w:t>
      </w:r>
    </w:p>
    <w:p>
      <w:pPr>
        <w:pStyle w:val="ListParagraph"/>
        <w:numPr>
          <w:ilvl w:val="0"/>
          <w:numId w:val="2"/>
        </w:numPr>
        <w:spacing w:after="40" w:before="40"/>
      </w:pPr>
      <w:r>
        <w:rPr>
          <w:rFonts w:ascii="Arial" w:cs="Arial" w:eastAsia="Arial" w:hAnsi="Arial"/>
          <w:color w:val="444444"/>
          <w:sz w:val="22"/>
          <w:szCs w:val="22"/>
        </w:rPr>
        <w:t xml:space="preserve">Year 0 cash flow is negative (upfront investment)</w:t>
      </w:r>
    </w:p>
    <w:p>
      <w:pPr>
        <w:pStyle w:val="ListParagraph"/>
        <w:numPr>
          <w:ilvl w:val="0"/>
          <w:numId w:val="2"/>
        </w:numPr>
        <w:spacing w:after="40" w:before="40"/>
      </w:pPr>
      <w:r>
        <w:rPr>
          <w:rFonts w:ascii="Arial" w:cs="Arial" w:eastAsia="Arial" w:hAnsi="Arial"/>
          <w:color w:val="444444"/>
          <w:sz w:val="22"/>
          <w:szCs w:val="22"/>
        </w:rPr>
        <w:t xml:space="preserve">A positive NPV means the investment returns more than the cost of capital. This is the minimum bar, not the headline number.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7F7" w:val="clear"/>
            <w:tcMar>
              <w:top w:type="dxa" w:w="100"/>
              <w:left w:type="dxa" w:w="180"/>
              <w:bottom w:type="dxa" w:w="100"/>
              <w:right w:type="dxa" w:w="180"/>
            </w:tcMar>
          </w:tcPr>
          <w:p>
            <w:pPr>
              <w:spacing w:after="0" w:before="0"/>
            </w:pPr>
            <w:r>
              <w:rPr>
                <w:rFonts w:ascii="Arial" w:cs="Arial" w:eastAsia="Arial" w:hAnsi="Arial"/>
                <w:b/>
                <w:bCs/>
                <w:color w:val="666666"/>
                <w:sz w:val="18"/>
                <w:szCs w:val="18"/>
              </w:rPr>
              <w:t xml:space="preserve">Source: </w:t>
            </w:r>
            <w:r>
              <w:rPr>
                <w:rFonts w:ascii="Arial" w:cs="Arial" w:eastAsia="Arial" w:hAnsi="Arial"/>
                <w:i/>
                <w:iCs/>
                <w:color w:val="666666"/>
                <w:sz w:val="18"/>
                <w:szCs w:val="18"/>
              </w:rPr>
              <w:t xml:space="preserve">WACC default (10%): Damodaran, A. (NYU Stern), annual industry WACC estimates (damodaran.com). For U.S. distribution/logistics sector, 5-year average WACC runs 8.5–11.5%. 10% is the midpoint and the most common CFO-accepted hurdle rate for operational technology investments in this sector.</w:t>
            </w:r>
          </w:p>
        </w:tc>
      </w:tr>
    </w:tbl>
    <w:p>
      <w:pPr>
        <w:spacing w:after="0" w:before="200"/>
      </w:pPr>
      <w:r>
        <w:t xml:space="preserve"/>
      </w:r>
    </w:p>
    <w:p>
      <w:pPr>
        <w:pStyle w:val="Heading1"/>
        <w:pBdr>
          <w:bottom w:val="single" w:color="CCCCCC" w:sz="6" w:space="6"/>
        </w:pBdr>
        <w:spacing w:after="160" w:before="360"/>
      </w:pPr>
      <w:r>
        <w:rPr>
          <w:rFonts w:ascii="Arial" w:cs="Arial" w:eastAsia="Arial" w:hAnsi="Arial"/>
          <w:b/>
          <w:bCs/>
          <w:color w:val="111111"/>
          <w:sz w:val="32"/>
          <w:szCs w:val="32"/>
        </w:rPr>
        <w:t xml:space="preserve">Step 8 — Compute MIRR</w:t>
      </w:r>
    </w:p>
    <w:p>
      <w:pPr>
        <w:spacing w:after="60" w:before="60"/>
      </w:pPr>
      <w:r>
        <w:rPr>
          <w:rFonts w:ascii="Arial" w:cs="Arial" w:eastAsia="Arial" w:hAnsi="Arial"/>
          <w:color w:val="444444"/>
          <w:sz w:val="22"/>
          <w:szCs w:val="22"/>
        </w:rPr>
        <w:t xml:space="preserve">Use MIRR, not IRR. IRR assumes all positive cash flows are reinvested at the internal rate — an assumption that routinely overstates returns by 2–5 percentage points on operational technology investments. MIRR uses WACC as the reinvestment rate and a separate finance rate for negative cash flows.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40"/>
              <w:bottom w:type="dxa" w:w="120"/>
              <w:right w:type="dxa" w:w="240"/>
            </w:tcMar>
          </w:tcPr>
          <w:p>
            <w:pPr>
              <w:spacing w:after="0" w:before="0"/>
              <w:jc w:val="center"/>
            </w:pPr>
            <w:r>
              <w:rPr>
                <w:rFonts w:ascii="Courier New" w:cs="Courier New" w:eastAsia="Courier New" w:hAnsi="Courier New"/>
                <w:b/>
                <w:bCs/>
                <w:color w:val="111111"/>
                <w:sz w:val="21"/>
                <w:szCs w:val="21"/>
              </w:rPr>
              <w:t xml:space="preserve">MIRR  =  (FV_positive / PV_negative)^(1/n)  -  1</w:t>
            </w:r>
          </w:p>
        </w:tc>
      </w:tr>
    </w:tbl>
    <w:p>
      <w:pPr>
        <w:spacing w:after="0" w:before="100"/>
      </w:pPr>
      <w:r>
        <w:t xml:space="preserve"/>
      </w:r>
    </w:p>
    <w:p>
      <w:pPr>
        <w:spacing w:after="80" w:before="200"/>
      </w:pPr>
      <w:r>
        <w:rPr>
          <w:rFonts w:ascii="Arial" w:cs="Arial" w:eastAsia="Arial" w:hAnsi="Arial"/>
          <w:b/>
          <w:bCs/>
          <w:color w:val="222222"/>
          <w:sz w:val="22"/>
          <w:szCs w:val="22"/>
        </w:rPr>
        <w:t xml:space="preserve">Steps</w:t>
      </w:r>
    </w:p>
    <w:p>
      <w:pPr>
        <w:pStyle w:val="ListParagraph"/>
        <w:numPr>
          <w:ilvl w:val="0"/>
          <w:numId w:val="2"/>
        </w:numPr>
        <w:spacing w:after="40" w:before="40"/>
      </w:pPr>
      <w:r>
        <w:rPr>
          <w:rFonts w:ascii="Arial" w:cs="Arial" w:eastAsia="Arial" w:hAnsi="Arial"/>
          <w:color w:val="444444"/>
          <w:sz w:val="22"/>
          <w:szCs w:val="22"/>
        </w:rPr>
        <w:t xml:space="preserve">For each positive Net Cash Flow(t): compute FV at WACC to year n  →  CF(t) x (1 + WACC)^(n-t)</w:t>
      </w:r>
    </w:p>
    <w:p>
      <w:pPr>
        <w:pStyle w:val="ListParagraph"/>
        <w:numPr>
          <w:ilvl w:val="0"/>
          <w:numId w:val="2"/>
        </w:numPr>
        <w:spacing w:after="40" w:before="40"/>
      </w:pPr>
      <w:r>
        <w:rPr>
          <w:rFonts w:ascii="Arial" w:cs="Arial" w:eastAsia="Arial" w:hAnsi="Arial"/>
          <w:color w:val="444444"/>
          <w:sz w:val="22"/>
          <w:szCs w:val="22"/>
        </w:rPr>
        <w:t xml:space="preserve">Sum all future values  →  FV_positive</w:t>
      </w:r>
    </w:p>
    <w:p>
      <w:pPr>
        <w:pStyle w:val="ListParagraph"/>
        <w:numPr>
          <w:ilvl w:val="0"/>
          <w:numId w:val="2"/>
        </w:numPr>
        <w:spacing w:after="40" w:before="40"/>
      </w:pPr>
      <w:r>
        <w:rPr>
          <w:rFonts w:ascii="Arial" w:cs="Arial" w:eastAsia="Arial" w:hAnsi="Arial"/>
          <w:color w:val="444444"/>
          <w:sz w:val="22"/>
          <w:szCs w:val="22"/>
        </w:rPr>
        <w:t xml:space="preserve">For each negative Net Cash Flow(t): compute PV at finance rate  →  CF(t) / (1 + finance_rate)^t</w:t>
      </w:r>
    </w:p>
    <w:p>
      <w:pPr>
        <w:pStyle w:val="ListParagraph"/>
        <w:numPr>
          <w:ilvl w:val="0"/>
          <w:numId w:val="2"/>
        </w:numPr>
        <w:spacing w:after="40" w:before="40"/>
      </w:pPr>
      <w:r>
        <w:rPr>
          <w:rFonts w:ascii="Arial" w:cs="Arial" w:eastAsia="Arial" w:hAnsi="Arial"/>
          <w:color w:val="444444"/>
          <w:sz w:val="22"/>
          <w:szCs w:val="22"/>
        </w:rPr>
        <w:t xml:space="preserve">Sum absolute values  →  PV_negative</w:t>
      </w:r>
    </w:p>
    <w:p>
      <w:pPr>
        <w:pStyle w:val="ListParagraph"/>
        <w:numPr>
          <w:ilvl w:val="0"/>
          <w:numId w:val="2"/>
        </w:numPr>
        <w:spacing w:after="40" w:before="40"/>
      </w:pPr>
      <w:r>
        <w:rPr>
          <w:rFonts w:ascii="Arial" w:cs="Arial" w:eastAsia="Arial" w:hAnsi="Arial"/>
          <w:color w:val="444444"/>
          <w:sz w:val="22"/>
          <w:szCs w:val="22"/>
        </w:rPr>
        <w:t xml:space="preserve">MIRR = (FV_positive / PV_negative)^(1/n) - 1</w:t>
      </w:r>
    </w:p>
    <w:p>
      <w:pPr>
        <w:spacing w:after="0" w:before="80"/>
      </w:pPr>
      <w:r>
        <w:t xml:space="preserve"/>
      </w:r>
    </w:p>
    <w:p>
      <w:pPr>
        <w:spacing w:after="60" w:before="60"/>
      </w:pPr>
      <w:r>
        <w:rPr>
          <w:rFonts w:ascii="Arial" w:cs="Arial" w:eastAsia="Arial" w:hAnsi="Arial"/>
          <w:color w:val="444444"/>
          <w:sz w:val="22"/>
          <w:szCs w:val="22"/>
        </w:rPr>
        <w:t xml:space="preserve">Finance rate = cost of debt. Default to WACC if not separately specified.</w:t>
      </w:r>
    </w:p>
    <w:p>
      <w:pPr>
        <w:spacing w:after="0" w:before="80"/>
      </w:pPr>
      <w:r>
        <w:t xml:space="preserve"/>
      </w:r>
    </w:p>
    <w:p>
      <w:pPr>
        <w:spacing w:after="60" w:before="60"/>
      </w:pPr>
      <w:r>
        <w:rPr>
          <w:rFonts w:ascii="Arial" w:cs="Arial" w:eastAsia="Arial" w:hAnsi="Arial"/>
          <w:b/>
          <w:bCs/>
          <w:color w:val="444444"/>
          <w:sz w:val="22"/>
          <w:szCs w:val="22"/>
        </w:rPr>
        <w:t xml:space="preserve">BCR cap: Benefit-Cost Ratio = total undiscounted benefits / total costs. Flag any BCR above 10x for mandatory review before the model leaves your hands. A 47x ROI claim is a credibility killer, not a win.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7F7" w:val="clear"/>
            <w:tcMar>
              <w:top w:type="dxa" w:w="100"/>
              <w:left w:type="dxa" w:w="180"/>
              <w:bottom w:type="dxa" w:w="100"/>
              <w:right w:type="dxa" w:w="180"/>
            </w:tcMar>
          </w:tcPr>
          <w:p>
            <w:pPr>
              <w:spacing w:after="0" w:before="0"/>
            </w:pPr>
            <w:r>
              <w:rPr>
                <w:rFonts w:ascii="Arial" w:cs="Arial" w:eastAsia="Arial" w:hAnsi="Arial"/>
                <w:b/>
                <w:bCs/>
                <w:color w:val="666666"/>
                <w:sz w:val="18"/>
                <w:szCs w:val="18"/>
              </w:rPr>
              <w:t xml:space="preserve">Source: </w:t>
            </w:r>
            <w:r>
              <w:rPr>
                <w:rFonts w:ascii="Arial" w:cs="Arial" w:eastAsia="Arial" w:hAnsi="Arial"/>
                <w:i/>
                <w:iCs/>
                <w:color w:val="666666"/>
                <w:sz w:val="18"/>
                <w:szCs w:val="18"/>
              </w:rPr>
              <w:t xml:space="preserve">IRR vs. MIRR: Brigham, E.F. and Ehrhardt, M.C., "Financial Management: Theory and Practice" (16th ed.) — MIRR resolves IRR's reinvestment rate assumption and multiple IRR problem. In capital budgeting for operational technology, MIRR has been the academically preferred metric since the 1990s and is increasingly required by CFOs who have seen inflated IRR projections from vendors.</w:t>
            </w:r>
          </w:p>
        </w:tc>
      </w:tr>
    </w:tbl>
    <w:p>
      <w:pPr>
        <w:spacing w:after="0" w:before="200"/>
      </w:pPr>
      <w:r>
        <w:t xml:space="preserve"/>
      </w:r>
    </w:p>
    <w:p>
      <w:pPr>
        <w:pStyle w:val="Heading1"/>
        <w:pBdr>
          <w:bottom w:val="single" w:color="CCCCCC" w:sz="6" w:space="6"/>
        </w:pBdr>
        <w:spacing w:after="160" w:before="360"/>
      </w:pPr>
      <w:r>
        <w:rPr>
          <w:rFonts w:ascii="Arial" w:cs="Arial" w:eastAsia="Arial" w:hAnsi="Arial"/>
          <w:b/>
          <w:bCs/>
          <w:color w:val="111111"/>
          <w:sz w:val="32"/>
          <w:szCs w:val="32"/>
        </w:rPr>
        <w:t xml:space="preserve">Step 9 — Compute Payback Period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40"/>
              <w:bottom w:type="dxa" w:w="120"/>
              <w:right w:type="dxa" w:w="240"/>
            </w:tcMar>
          </w:tcPr>
          <w:p>
            <w:pPr>
              <w:spacing w:after="0" w:before="0"/>
              <w:jc w:val="center"/>
            </w:pPr>
            <w:r>
              <w:rPr>
                <w:rFonts w:ascii="Courier New" w:cs="Courier New" w:eastAsia="Courier New" w:hAnsi="Courier New"/>
                <w:b/>
                <w:bCs/>
                <w:color w:val="111111"/>
                <w:sz w:val="21"/>
                <w:szCs w:val="21"/>
              </w:rPr>
              <w:t xml:space="preserve">Payback Period  =  year in which cumulative Net Cash Flow crosses zero</w:t>
            </w:r>
          </w:p>
        </w:tc>
      </w:tr>
    </w:tbl>
    <w:p>
      <w:pPr>
        <w:spacing w:after="0" w:before="100"/>
      </w:pPr>
      <w:r>
        <w:t xml:space="preserve"/>
      </w:r>
    </w:p>
    <w:p>
      <w:pPr>
        <w:pStyle w:val="ListParagraph"/>
        <w:numPr>
          <w:ilvl w:val="0"/>
          <w:numId w:val="2"/>
        </w:numPr>
        <w:spacing w:after="40" w:before="40"/>
      </w:pPr>
      <w:r>
        <w:rPr>
          <w:rFonts w:ascii="Arial" w:cs="Arial" w:eastAsia="Arial" w:hAnsi="Arial"/>
          <w:color w:val="444444"/>
          <w:sz w:val="22"/>
          <w:szCs w:val="22"/>
        </w:rPr>
        <w:t xml:space="preserve">If cumulative NCF never crosses zero within 5 years, state that explicitly.</w:t>
      </w:r>
    </w:p>
    <w:p>
      <w:pPr>
        <w:pStyle w:val="ListParagraph"/>
        <w:numPr>
          <w:ilvl w:val="0"/>
          <w:numId w:val="2"/>
        </w:numPr>
        <w:spacing w:after="40" w:before="40"/>
      </w:pPr>
      <w:r>
        <w:rPr>
          <w:rFonts w:ascii="Arial" w:cs="Arial" w:eastAsia="Arial" w:hAnsi="Arial"/>
          <w:color w:val="444444"/>
          <w:sz w:val="22"/>
          <w:szCs w:val="22"/>
        </w:rPr>
        <w:t xml:space="preserve">Do not extrapolate beyond the 5-year model period to manufacture a payback number.</w:t>
      </w:r>
    </w:p>
    <w:p>
      <w:pPr>
        <w:pStyle w:val="ListParagraph"/>
        <w:numPr>
          <w:ilvl w:val="0"/>
          <w:numId w:val="2"/>
        </w:numPr>
        <w:spacing w:after="40" w:before="40"/>
      </w:pPr>
      <w:r>
        <w:rPr>
          <w:rFonts w:ascii="Arial" w:cs="Arial" w:eastAsia="Arial" w:hAnsi="Arial"/>
          <w:color w:val="444444"/>
          <w:sz w:val="22"/>
          <w:szCs w:val="22"/>
        </w:rPr>
        <w:t xml:space="preserve">Discounted payback (using discounted cash flows) is more conservative and preferred for CFO presentation.</w:t>
      </w:r>
    </w:p>
    <w:p>
      <w:pPr>
        <w:spacing w:after="0" w:before="200"/>
      </w:pPr>
      <w:r>
        <w:t xml:space="preserve"/>
      </w:r>
    </w:p>
    <w:p>
      <w:pPr>
        <w:pStyle w:val="Heading1"/>
        <w:pBdr>
          <w:bottom w:val="single" w:color="CCCCCC" w:sz="6" w:space="6"/>
        </w:pBdr>
        <w:spacing w:after="160" w:before="360"/>
      </w:pPr>
      <w:r>
        <w:rPr>
          <w:rFonts w:ascii="Arial" w:cs="Arial" w:eastAsia="Arial" w:hAnsi="Arial"/>
          <w:b/>
          <w:bCs/>
          <w:color w:val="111111"/>
          <w:sz w:val="32"/>
          <w:szCs w:val="32"/>
        </w:rPr>
        <w:t xml:space="preserve">Step 10 — Run Buyer Challenge Mode</w:t>
      </w:r>
    </w:p>
    <w:p>
      <w:pPr>
        <w:spacing w:after="60" w:before="60"/>
      </w:pPr>
      <w:r>
        <w:rPr>
          <w:rFonts w:ascii="Arial" w:cs="Arial" w:eastAsia="Arial" w:hAnsi="Arial"/>
          <w:color w:val="444444"/>
          <w:sz w:val="22"/>
          <w:szCs w:val="22"/>
        </w:rPr>
        <w:t xml:space="preserve">Before the model reaches a CFO, run it through challenge mode. For every input with high dollar sensitivity — typically the top 3 drivers by value:</w:t>
      </w:r>
    </w:p>
    <w:p>
      <w:pPr>
        <w:spacing w:after="0" w:before="80"/>
      </w:pPr>
      <w:r>
        <w:t xml:space="preserve"/>
      </w:r>
    </w:p>
    <w:p>
      <w:pPr>
        <w:pStyle w:val="ListParagraph"/>
        <w:numPr>
          <w:ilvl w:val="0"/>
          <w:numId w:val="2"/>
        </w:numPr>
        <w:spacing w:after="40" w:before="40"/>
      </w:pPr>
      <w:r>
        <w:rPr>
          <w:rFonts w:ascii="Arial" w:cs="Arial" w:eastAsia="Arial" w:hAnsi="Arial"/>
          <w:color w:val="444444"/>
          <w:sz w:val="22"/>
          <w:szCs w:val="22"/>
        </w:rPr>
        <w:t xml:space="preserve">Identify the assumption most likely to be challenged (usually reduction rate D or event frequency A)</w:t>
      </w:r>
    </w:p>
    <w:p>
      <w:pPr>
        <w:pStyle w:val="ListParagraph"/>
        <w:numPr>
          <w:ilvl w:val="0"/>
          <w:numId w:val="2"/>
        </w:numPr>
        <w:spacing w:after="40" w:before="40"/>
      </w:pPr>
      <w:r>
        <w:rPr>
          <w:rFonts w:ascii="Arial" w:cs="Arial" w:eastAsia="Arial" w:hAnsi="Arial"/>
          <w:color w:val="444444"/>
          <w:sz w:val="22"/>
          <w:szCs w:val="22"/>
        </w:rPr>
        <w:t xml:space="preserve">Run the model at: baseline assumption / -20% conservative / -40% stress</w:t>
      </w:r>
    </w:p>
    <w:p>
      <w:pPr>
        <w:pStyle w:val="ListParagraph"/>
        <w:numPr>
          <w:ilvl w:val="0"/>
          <w:numId w:val="2"/>
        </w:numPr>
        <w:spacing w:after="40" w:before="40"/>
      </w:pPr>
      <w:r>
        <w:rPr>
          <w:rFonts w:ascii="Arial" w:cs="Arial" w:eastAsia="Arial" w:hAnsi="Arial"/>
          <w:color w:val="444444"/>
          <w:sz w:val="22"/>
          <w:szCs w:val="22"/>
        </w:rPr>
        <w:t xml:space="preserve">Document: original value, challenged value, resolution (defended / accepted / revised)</w:t>
      </w:r>
    </w:p>
    <w:p>
      <w:pPr>
        <w:spacing w:after="0" w:before="80"/>
      </w:pPr>
      <w:r>
        <w:t xml:space="preserve"/>
      </w:r>
    </w:p>
    <w:p>
      <w:pPr>
        <w:spacing w:after="60" w:before="60"/>
      </w:pPr>
      <w:r>
        <w:rPr>
          <w:rFonts w:ascii="Arial" w:cs="Arial" w:eastAsia="Arial" w:hAnsi="Arial"/>
          <w:color w:val="444444"/>
          <w:sz w:val="22"/>
          <w:szCs w:val="22"/>
        </w:rPr>
        <w:t xml:space="preserve">If NPV goes negative under the -20% scenario, the model is too sensitive to that input. Either upgrade the input from proxy to customer-provided data, or reduce the driver's value contribution and document why.</w:t>
      </w:r>
    </w:p>
    <w:p>
      <w:pPr>
        <w:spacing w:after="0" w:before="80"/>
      </w:pPr>
      <w:r>
        <w:t xml:space="preserve"/>
      </w:r>
    </w:p>
    <w:p>
      <w:pPr>
        <w:spacing w:after="60" w:before="60"/>
      </w:pPr>
      <w:r>
        <w:rPr>
          <w:rFonts w:ascii="Arial" w:cs="Arial" w:eastAsia="Arial" w:hAnsi="Arial"/>
          <w:color w:val="444444"/>
          <w:sz w:val="22"/>
          <w:szCs w:val="22"/>
        </w:rPr>
        <w:t xml:space="preserve">The challenge log becomes a feedback mechanism. If a number is consistently revised downward across engagements, the default needs to move.</w:t>
      </w:r>
    </w:p>
    <w:p>
      <w:pPr>
        <w:spacing w:after="0" w:before="200"/>
      </w:pPr>
      <w:r>
        <w:t xml:space="preserve"/>
      </w:r>
    </w:p>
    <w:p>
      <w:pPr>
        <w:pStyle w:val="Heading1"/>
        <w:pBdr>
          <w:bottom w:val="single" w:color="CCCCCC" w:sz="6" w:space="6"/>
        </w:pBdr>
        <w:spacing w:after="160" w:before="360"/>
      </w:pPr>
      <w:r>
        <w:rPr>
          <w:rFonts w:ascii="Arial" w:cs="Arial" w:eastAsia="Arial" w:hAnsi="Arial"/>
          <w:b/>
          <w:bCs/>
          <w:color w:val="111111"/>
          <w:sz w:val="32"/>
          <w:szCs w:val="32"/>
        </w:rPr>
        <w:t xml:space="preserve">Step 11 — State What the Number Is and Isn't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40"/>
              <w:bottom w:type="dxa" w:w="120"/>
              <w:right w:type="dxa" w:w="240"/>
            </w:tcMar>
          </w:tcPr>
          <w:p>
            <w:pPr>
              <w:spacing w:after="0" w:before="0"/>
              <w:jc w:val="center"/>
            </w:pPr>
            <w:r>
              <w:rPr>
                <w:rFonts w:ascii="Courier New" w:cs="Courier New" w:eastAsia="Courier New" w:hAnsi="Courier New"/>
                <w:b/>
                <w:bCs/>
                <w:color w:val="111111"/>
                <w:sz w:val="21"/>
                <w:szCs w:val="21"/>
              </w:rPr>
              <w:t xml:space="preserve">NRV  =  NPV of [ ramped x accessibility-adjusted savings + degradation avoided ] - TCO</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40"/>
              <w:bottom w:type="dxa" w:w="120"/>
              <w:right w:type="dxa" w:w="240"/>
            </w:tcMar>
          </w:tcPr>
          <w:p>
            <w:pPr>
              <w:spacing w:after="0" w:before="0"/>
              <w:jc w:val="center"/>
            </w:pPr>
            <w:r>
              <w:rPr>
                <w:rFonts w:ascii="Courier New" w:cs="Courier New" w:eastAsia="Courier New" w:hAnsi="Courier New"/>
                <w:b/>
                <w:bCs/>
                <w:color w:val="111111"/>
                <w:sz w:val="21"/>
                <w:szCs w:val="21"/>
              </w:rPr>
              <w:t xml:space="preserve">     subject to: covariance audit, evidence-backed inputs, BCR cap, buyer challenge resolution</w:t>
            </w:r>
          </w:p>
        </w:tc>
      </w:tr>
    </w:tbl>
    <w:p>
      <w:pPr>
        <w:spacing w:after="0" w:before="100"/>
      </w:pPr>
      <w:r>
        <w:t xml:space="preserve"/>
      </w:r>
    </w:p>
    <w:p>
      <w:pPr>
        <w:spacing w:after="60" w:before="60"/>
      </w:pPr>
      <w:r>
        <w:rPr>
          <w:rFonts w:ascii="Arial" w:cs="Arial" w:eastAsia="Arial" w:hAnsi="Arial"/>
          <w:color w:val="444444"/>
          <w:sz w:val="22"/>
          <w:szCs w:val="22"/>
        </w:rPr>
        <w:t xml:space="preserve">NRV is not a guarantee. It is the most defensible forward estimate that available evidence supports. Every number in it has a chain of custody. That chain of custody is the defensibility.</w:t>
      </w:r>
    </w:p>
    <w:p>
      <w:pPr>
        <w:spacing w:after="0" w:before="80"/>
      </w:pPr>
      <w:r>
        <w:t xml:space="preserve"/>
      </w:r>
    </w:p>
    <w:p>
      <w:pPr>
        <w:spacing w:after="80" w:before="200"/>
      </w:pPr>
      <w:r>
        <w:rPr>
          <w:rFonts w:ascii="Arial" w:cs="Arial" w:eastAsia="Arial" w:hAnsi="Arial"/>
          <w:b/>
          <w:bCs/>
          <w:color w:val="222222"/>
          <w:sz w:val="22"/>
          <w:szCs w:val="22"/>
        </w:rPr>
        <w:t xml:space="preserve">Second-Order Value — Kept Out of Base Case</w:t>
      </w:r>
    </w:p>
    <w:p>
      <w:pPr>
        <w:spacing w:after="60" w:before="60"/>
      </w:pPr>
      <w:r>
        <w:rPr>
          <w:rFonts w:ascii="Arial" w:cs="Arial" w:eastAsia="Arial" w:hAnsi="Arial"/>
          <w:color w:val="444444"/>
          <w:sz w:val="22"/>
          <w:szCs w:val="22"/>
        </w:rPr>
        <w:t xml:space="preserve">The following are real and worth naming — but they are not in NRV until post-deploy data exists to anchor them:</w:t>
      </w:r>
    </w:p>
    <w:p>
      <w:pPr>
        <w:pStyle w:val="ListParagraph"/>
        <w:numPr>
          <w:ilvl w:val="0"/>
          <w:numId w:val="2"/>
        </w:numPr>
        <w:spacing w:after="40" w:before="40"/>
      </w:pPr>
      <w:r>
        <w:rPr>
          <w:rFonts w:ascii="Arial" w:cs="Arial" w:eastAsia="Arial" w:hAnsi="Arial"/>
          <w:color w:val="444444"/>
          <w:sz w:val="22"/>
          <w:szCs w:val="22"/>
        </w:rPr>
        <w:t xml:space="preserve">AI and analytics enablement — new data streams unlock predictive models that had no inputs before</w:t>
      </w:r>
    </w:p>
    <w:p>
      <w:pPr>
        <w:pStyle w:val="ListParagraph"/>
        <w:numPr>
          <w:ilvl w:val="0"/>
          <w:numId w:val="2"/>
        </w:numPr>
        <w:spacing w:after="40" w:before="40"/>
      </w:pPr>
      <w:r>
        <w:rPr>
          <w:rFonts w:ascii="Arial" w:cs="Arial" w:eastAsia="Arial" w:hAnsi="Arial"/>
          <w:color w:val="444444"/>
          <w:sz w:val="22"/>
          <w:szCs w:val="22"/>
        </w:rPr>
        <w:t xml:space="preserve">Optionality value — infrastructure built for one use case enables the next at near-zero marginal cost</w:t>
      </w:r>
    </w:p>
    <w:p>
      <w:pPr>
        <w:pStyle w:val="ListParagraph"/>
        <w:numPr>
          <w:ilvl w:val="0"/>
          <w:numId w:val="2"/>
        </w:numPr>
        <w:spacing w:after="40" w:before="40"/>
      </w:pPr>
      <w:r>
        <w:rPr>
          <w:rFonts w:ascii="Arial" w:cs="Arial" w:eastAsia="Arial" w:hAnsi="Arial"/>
          <w:color w:val="444444"/>
          <w:sz w:val="22"/>
          <w:szCs w:val="22"/>
        </w:rPr>
        <w:t xml:space="preserve">Network and ecosystem effects — visibility data shared upstream/downstream improves partner decisions</w:t>
      </w:r>
    </w:p>
    <w:p>
      <w:pPr>
        <w:pStyle w:val="ListParagraph"/>
        <w:numPr>
          <w:ilvl w:val="0"/>
          <w:numId w:val="2"/>
        </w:numPr>
        <w:spacing w:after="40" w:before="40"/>
      </w:pPr>
      <w:r>
        <w:rPr>
          <w:rFonts w:ascii="Arial" w:cs="Arial" w:eastAsia="Arial" w:hAnsi="Arial"/>
          <w:color w:val="444444"/>
          <w:sz w:val="22"/>
          <w:szCs w:val="22"/>
        </w:rPr>
        <w:t xml:space="preserve">Organizational learning — post-deploy outcomes feed back into planning and procurement leverage</w:t>
      </w:r>
    </w:p>
    <w:p>
      <w:pPr>
        <w:spacing w:after="0" w:before="80"/>
      </w:pPr>
      <w:r>
        <w:t xml:space="preserve"/>
      </w:r>
    </w:p>
    <w:p>
      <w:pPr>
        <w:spacing w:after="60" w:before="60"/>
      </w:pPr>
      <w:r>
        <w:rPr>
          <w:rFonts w:ascii="Arial" w:cs="Arial" w:eastAsia="Arial" w:hAnsi="Arial"/>
          <w:i/>
          <w:iCs/>
          <w:color w:val="444444"/>
          <w:sz w:val="22"/>
          <w:szCs w:val="22"/>
        </w:rPr>
        <w:t xml:space="preserve">When asked about second-order value: name it, describe the mechanism, state that it requires realization data before it can be modeled, and move on. Do not put it in the base case to make the number bigger.</w:t>
      </w:r>
    </w:p>
    <w:p>
      <w:pPr>
        <w:spacing w:after="0" w:before="200"/>
      </w:pPr>
      <w:r>
        <w:t xml:space="preserve"/>
      </w:r>
    </w:p>
    <w:p>
      <w:pPr>
        <w:pStyle w:val="Heading1"/>
        <w:pBdr>
          <w:bottom w:val="single" w:color="CCCCCC" w:sz="6" w:space="6"/>
        </w:pBdr>
        <w:spacing w:after="160" w:before="360"/>
      </w:pPr>
      <w:r>
        <w:rPr>
          <w:rFonts w:ascii="Arial" w:cs="Arial" w:eastAsia="Arial" w:hAnsi="Arial"/>
          <w:b/>
          <w:bCs/>
          <w:color w:val="111111"/>
          <w:sz w:val="32"/>
          <w:szCs w:val="32"/>
        </w:rPr>
        <w:t xml:space="preserve">Conservatism Checklist</w:t>
      </w:r>
    </w:p>
    <w:p>
      <w:pPr>
        <w:spacing w:after="60" w:before="60"/>
      </w:pPr>
      <w:r>
        <w:rPr>
          <w:rFonts w:ascii="Arial" w:cs="Arial" w:eastAsia="Arial" w:hAnsi="Arial"/>
          <w:color w:val="444444"/>
          <w:sz w:val="22"/>
          <w:szCs w:val="22"/>
        </w:rPr>
        <w:t xml:space="preserve">Run this before any model leaves your hands. If you cannot check a box, document why before it goes to a CFO.</w:t>
      </w:r>
    </w:p>
    <w:p>
      <w:pPr>
        <w:spacing w:after="0" w:before="100"/>
      </w:pPr>
      <w:r>
        <w:t xml:space="preserve"/>
      </w:r>
    </w:p>
    <w:p>
      <w:pPr>
        <w:pStyle w:val="ListParagraph"/>
        <w:numPr>
          <w:ilvl w:val="0"/>
          <w:numId w:val="3"/>
        </w:numPr>
        <w:spacing w:after="40" w:before="40"/>
      </w:pPr>
      <w:r>
        <w:rPr>
          <w:rFonts w:ascii="Arial" w:cs="Arial" w:eastAsia="Arial" w:hAnsi="Arial"/>
          <w:color w:val="444444"/>
          <w:sz w:val="22"/>
          <w:szCs w:val="22"/>
        </w:rPr>
        <w:t xml:space="preserve">Every soft input flagged as proxy, not measured data</w:t>
      </w:r>
    </w:p>
    <w:p>
      <w:pPr>
        <w:pStyle w:val="ListParagraph"/>
        <w:numPr>
          <w:ilvl w:val="0"/>
          <w:numId w:val="3"/>
        </w:numPr>
        <w:spacing w:after="40" w:before="40"/>
      </w:pPr>
      <w:r>
        <w:rPr>
          <w:rFonts w:ascii="Arial" w:cs="Arial" w:eastAsia="Arial" w:hAnsi="Arial"/>
          <w:color w:val="444444"/>
          <w:sz w:val="22"/>
          <w:szCs w:val="22"/>
        </w:rPr>
        <w:t xml:space="preserve">Ramp profile assigned using the slower mechanism when mixed</w:t>
      </w:r>
    </w:p>
    <w:p>
      <w:pPr>
        <w:pStyle w:val="ListParagraph"/>
        <w:numPr>
          <w:ilvl w:val="0"/>
          <w:numId w:val="3"/>
        </w:numPr>
        <w:spacing w:after="40" w:before="40"/>
      </w:pPr>
      <w:r>
        <w:rPr>
          <w:rFonts w:ascii="Arial" w:cs="Arial" w:eastAsia="Arial" w:hAnsi="Arial"/>
          <w:color w:val="444444"/>
          <w:sz w:val="22"/>
          <w:szCs w:val="22"/>
        </w:rPr>
        <w:t xml:space="preserve">Accessibility tier assigned — Commodity / Configured / Infrastructure</w:t>
      </w:r>
    </w:p>
    <w:p>
      <w:pPr>
        <w:pStyle w:val="ListParagraph"/>
        <w:numPr>
          <w:ilvl w:val="0"/>
          <w:numId w:val="3"/>
        </w:numPr>
        <w:spacing w:after="40" w:before="40"/>
      </w:pPr>
      <w:r>
        <w:rPr>
          <w:rFonts w:ascii="Arial" w:cs="Arial" w:eastAsia="Arial" w:hAnsi="Arial"/>
          <w:color w:val="444444"/>
          <w:sz w:val="22"/>
          <w:szCs w:val="22"/>
        </w:rPr>
        <w:t xml:space="preserve">Process moat documented if Commodity hardware with Infrastructure-tier modifier applied</w:t>
      </w:r>
    </w:p>
    <w:p>
      <w:pPr>
        <w:pStyle w:val="ListParagraph"/>
        <w:numPr>
          <w:ilvl w:val="0"/>
          <w:numId w:val="3"/>
        </w:numPr>
        <w:spacing w:after="40" w:before="40"/>
      </w:pPr>
      <w:r>
        <w:rPr>
          <w:rFonts w:ascii="Arial" w:cs="Arial" w:eastAsia="Arial" w:hAnsi="Arial"/>
          <w:color w:val="444444"/>
          <w:sz w:val="22"/>
          <w:szCs w:val="22"/>
        </w:rPr>
        <w:t xml:space="preserve">Degradation value included — not omitted to make numbers look cleaner</w:t>
      </w:r>
    </w:p>
    <w:p>
      <w:pPr>
        <w:pStyle w:val="ListParagraph"/>
        <w:numPr>
          <w:ilvl w:val="0"/>
          <w:numId w:val="3"/>
        </w:numPr>
        <w:spacing w:after="40" w:before="40"/>
      </w:pPr>
      <w:r>
        <w:rPr>
          <w:rFonts w:ascii="Arial" w:cs="Arial" w:eastAsia="Arial" w:hAnsi="Arial"/>
          <w:color w:val="444444"/>
          <w:sz w:val="22"/>
          <w:szCs w:val="22"/>
        </w:rPr>
        <w:t xml:space="preserve">All driver pairs checked for covariance — haircuts applied or scope notes documented</w:t>
      </w:r>
    </w:p>
    <w:p>
      <w:pPr>
        <w:pStyle w:val="ListParagraph"/>
        <w:numPr>
          <w:ilvl w:val="0"/>
          <w:numId w:val="3"/>
        </w:numPr>
        <w:spacing w:after="40" w:before="40"/>
      </w:pPr>
      <w:r>
        <w:rPr>
          <w:rFonts w:ascii="Arial" w:cs="Arial" w:eastAsia="Arial" w:hAnsi="Arial"/>
          <w:color w:val="444444"/>
          <w:sz w:val="22"/>
          <w:szCs w:val="22"/>
        </w:rPr>
        <w:t xml:space="preserve">TCO includes device attrition and ongoing training — not just licensing</w:t>
      </w:r>
    </w:p>
    <w:p>
      <w:pPr>
        <w:pStyle w:val="ListParagraph"/>
        <w:numPr>
          <w:ilvl w:val="0"/>
          <w:numId w:val="3"/>
        </w:numPr>
        <w:spacing w:after="40" w:before="40"/>
      </w:pPr>
      <w:r>
        <w:rPr>
          <w:rFonts w:ascii="Arial" w:cs="Arial" w:eastAsia="Arial" w:hAnsi="Arial"/>
          <w:color w:val="444444"/>
          <w:sz w:val="22"/>
          <w:szCs w:val="22"/>
        </w:rPr>
        <w:t xml:space="preserve">MIRR used, not IRR</w:t>
      </w:r>
    </w:p>
    <w:p>
      <w:pPr>
        <w:pStyle w:val="ListParagraph"/>
        <w:numPr>
          <w:ilvl w:val="0"/>
          <w:numId w:val="3"/>
        </w:numPr>
        <w:spacing w:after="40" w:before="40"/>
      </w:pPr>
      <w:r>
        <w:rPr>
          <w:rFonts w:ascii="Arial" w:cs="Arial" w:eastAsia="Arial" w:hAnsi="Arial"/>
          <w:color w:val="444444"/>
          <w:sz w:val="22"/>
          <w:szCs w:val="22"/>
        </w:rPr>
        <w:t xml:space="preserve">Sensitivity run at -20% on top 3 drivers</w:t>
      </w:r>
    </w:p>
    <w:p>
      <w:pPr>
        <w:pStyle w:val="ListParagraph"/>
        <w:numPr>
          <w:ilvl w:val="0"/>
          <w:numId w:val="3"/>
        </w:numPr>
        <w:spacing w:after="40" w:before="40"/>
      </w:pPr>
      <w:r>
        <w:rPr>
          <w:rFonts w:ascii="Arial" w:cs="Arial" w:eastAsia="Arial" w:hAnsi="Arial"/>
          <w:color w:val="444444"/>
          <w:sz w:val="22"/>
          <w:szCs w:val="22"/>
        </w:rPr>
        <w:t xml:space="preserve">BCR checked — anything above 10x flagged</w:t>
      </w:r>
    </w:p>
    <w:p>
      <w:pPr>
        <w:pStyle w:val="ListParagraph"/>
        <w:numPr>
          <w:ilvl w:val="0"/>
          <w:numId w:val="3"/>
        </w:numPr>
        <w:spacing w:after="40" w:before="40"/>
      </w:pPr>
      <w:r>
        <w:rPr>
          <w:rFonts w:ascii="Arial" w:cs="Arial" w:eastAsia="Arial" w:hAnsi="Arial"/>
          <w:color w:val="444444"/>
          <w:sz w:val="22"/>
          <w:szCs w:val="22"/>
        </w:rPr>
        <w:t xml:space="preserve">Payback period stated honestly — not extrapolated beyond model period</w:t>
      </w:r>
    </w:p>
    <w:p>
      <w:pPr>
        <w:pStyle w:val="ListParagraph"/>
        <w:numPr>
          <w:ilvl w:val="0"/>
          <w:numId w:val="3"/>
        </w:numPr>
        <w:spacing w:after="40" w:before="40"/>
      </w:pPr>
      <w:r>
        <w:rPr>
          <w:rFonts w:ascii="Arial" w:cs="Arial" w:eastAsia="Arial" w:hAnsi="Arial"/>
          <w:color w:val="444444"/>
          <w:sz w:val="22"/>
          <w:szCs w:val="22"/>
        </w:rPr>
        <w:t xml:space="preserve">Second-order value kept out of the base case</w:t>
      </w:r>
    </w:p>
    <w:p>
      <w:pPr>
        <w:spacing w:after="0" w:before="200"/>
      </w:pPr>
      <w:r>
        <w:t xml:space="preserve"/>
      </w:r>
    </w:p>
    <w:p>
      <w:pPr>
        <w:pStyle w:val="Heading1"/>
        <w:pBdr>
          <w:bottom w:val="single" w:color="CCCCCC" w:sz="6" w:space="6"/>
        </w:pBdr>
        <w:spacing w:after="160" w:before="360"/>
      </w:pPr>
      <w:r>
        <w:rPr>
          <w:rFonts w:ascii="Arial" w:cs="Arial" w:eastAsia="Arial" w:hAnsi="Arial"/>
          <w:b/>
          <w:bCs/>
          <w:color w:val="111111"/>
          <w:sz w:val="32"/>
          <w:szCs w:val="32"/>
        </w:rPr>
        <w:t xml:space="preserve">Citation Reference</w:t>
      </w:r>
    </w:p>
    <w:p>
      <w:pPr>
        <w:spacing w:after="60" w:before="60"/>
      </w:pPr>
      <w:r>
        <w:rPr>
          <w:rFonts w:ascii="Arial" w:cs="Arial" w:eastAsia="Arial" w:hAnsi="Arial"/>
          <w:color w:val="444444"/>
          <w:sz w:val="22"/>
          <w:szCs w:val="22"/>
        </w:rPr>
        <w:t xml:space="preserve">All default coefficients in this model are anchored to the following sources. When presenting to a CFO or procurement committee, these citations should be available on request.</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spacing w:after="0" w:before="0"/>
            </w:pPr>
            <w:r>
              <w:rPr>
                <w:rFonts w:ascii="Arial" w:cs="Arial" w:eastAsia="Arial" w:hAnsi="Arial"/>
                <w:b/>
                <w:bCs/>
                <w:color w:val="111111"/>
                <w:sz w:val="18"/>
                <w:szCs w:val="18"/>
              </w:rPr>
              <w:t xml:space="preserve">Coefficient / Default</w:t>
            </w:r>
          </w:p>
        </w:tc>
        <w:tc>
          <w:tcPr>
            <w:tcW w:type="dxa" w:w="3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spacing w:after="0" w:before="0"/>
            </w:pPr>
            <w:r>
              <w:rPr>
                <w:rFonts w:ascii="Arial" w:cs="Arial" w:eastAsia="Arial" w:hAnsi="Arial"/>
                <w:b/>
                <w:bCs/>
                <w:color w:val="111111"/>
                <w:sz w:val="18"/>
                <w:szCs w:val="18"/>
              </w:rPr>
              <w:t xml:space="preserve">Source</w:t>
            </w:r>
          </w:p>
        </w:tc>
        <w:tc>
          <w:tcPr>
            <w:tcW w:type="dxa" w:w="39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spacing w:after="0" w:before="0"/>
            </w:pPr>
            <w:r>
              <w:rPr>
                <w:rFonts w:ascii="Arial" w:cs="Arial" w:eastAsia="Arial" w:hAnsi="Arial"/>
                <w:b/>
                <w:bCs/>
                <w:color w:val="111111"/>
                <w:sz w:val="18"/>
                <w:szCs w:val="18"/>
              </w:rPr>
              <w:t xml:space="preserve">Key finding used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18"/>
                <w:szCs w:val="18"/>
              </w:rPr>
              <w:t xml:space="preserve">Labor rate fully-loaded multiplier (1.30–1.35x)</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18"/>
                <w:szCs w:val="18"/>
              </w:rPr>
              <w:t xml:space="preserve">BLS Employer Costs for Employee Compensation (ECEC)</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18"/>
                <w:szCs w:val="18"/>
              </w:rPr>
              <w:t xml:space="preserve">Benefits and overhead add 30–35% to base wage for warehouse workers</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before="0"/>
            </w:pPr>
            <w:r>
              <w:rPr>
                <w:rFonts w:ascii="Arial" w:cs="Arial" w:eastAsia="Arial" w:hAnsi="Arial"/>
                <w:color w:val="444444"/>
                <w:sz w:val="18"/>
                <w:szCs w:val="18"/>
              </w:rPr>
              <w:t xml:space="preserve">Baseline degradation rate (3.5%/yr)</w:t>
            </w:r>
          </w:p>
        </w:tc>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before="0"/>
            </w:pPr>
            <w:r>
              <w:rPr>
                <w:rFonts w:ascii="Arial" w:cs="Arial" w:eastAsia="Arial" w:hAnsi="Arial"/>
                <w:color w:val="444444"/>
                <w:sz w:val="18"/>
                <w:szCs w:val="18"/>
              </w:rPr>
              <w:t xml:space="preserve">BLS Employment Cost Index; McKinsey Global Institute (2019)</w:t>
            </w:r>
          </w:p>
        </w:tc>
        <w:tc>
          <w:tcPr>
            <w:tcW w:type="dxa" w:w="3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before="0"/>
            </w:pPr>
            <w:r>
              <w:rPr>
                <w:rFonts w:ascii="Arial" w:cs="Arial" w:eastAsia="Arial" w:hAnsi="Arial"/>
                <w:color w:val="444444"/>
                <w:sz w:val="18"/>
                <w:szCs w:val="18"/>
              </w:rPr>
              <w:t xml:space="preserve">3.2–4.1% labor cost inflation + 2–4% complexity creep per year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18"/>
                <w:szCs w:val="18"/>
              </w:rPr>
              <w:t xml:space="preserve">Hardware Y1 ramp (0.55)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18"/>
                <w:szCs w:val="18"/>
              </w:rPr>
              <w:t xml:space="preserve">Gartner Supply Chain Technology Adoption (2022)</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18"/>
                <w:szCs w:val="18"/>
              </w:rPr>
              <w:t xml:space="preserve">Median 14–18 months to full RFID/sensor deployment</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before="0"/>
            </w:pPr>
            <w:r>
              <w:rPr>
                <w:rFonts w:ascii="Arial" w:cs="Arial" w:eastAsia="Arial" w:hAnsi="Arial"/>
                <w:color w:val="444444"/>
                <w:sz w:val="18"/>
                <w:szCs w:val="18"/>
              </w:rPr>
              <w:t xml:space="preserve">Behavior J-curve (0.20/0.55/0.85)</w:t>
            </w:r>
          </w:p>
        </w:tc>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before="0"/>
            </w:pPr>
            <w:r>
              <w:rPr>
                <w:rFonts w:ascii="Arial" w:cs="Arial" w:eastAsia="Arial" w:hAnsi="Arial"/>
                <w:color w:val="444444"/>
                <w:sz w:val="18"/>
                <w:szCs w:val="18"/>
              </w:rPr>
              <w:t xml:space="preserve">Prosci Change Management Benchmarking Report (2023)</w:t>
            </w:r>
          </w:p>
        </w:tc>
        <w:tc>
          <w:tcPr>
            <w:tcW w:type="dxa" w:w="3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before="0"/>
            </w:pPr>
            <w:r>
              <w:rPr>
                <w:rFonts w:ascii="Arial" w:cs="Arial" w:eastAsia="Arial" w:hAnsi="Arial"/>
                <w:color w:val="444444"/>
                <w:sz w:val="18"/>
                <w:szCs w:val="18"/>
              </w:rPr>
              <w:t xml:space="preserve">Full adoption at 12–18 months with structured change management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18"/>
                <w:szCs w:val="18"/>
              </w:rPr>
              <w:t xml:space="preserve">Behavior decay (Y4: 0.75, Y5: 0.62)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18"/>
                <w:szCs w:val="18"/>
              </w:rPr>
              <w:t xml:space="preserve">Cascio (turnover); Prosci (reinforcement)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18"/>
                <w:szCs w:val="18"/>
              </w:rPr>
              <w:t xml:space="preserve">35–50% DC turnover rate; 15%/yr erosion without reinforcement</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before="0"/>
            </w:pPr>
            <w:r>
              <w:rPr>
                <w:rFonts w:ascii="Arial" w:cs="Arial" w:eastAsia="Arial" w:hAnsi="Arial"/>
                <w:color w:val="444444"/>
                <w:sz w:val="18"/>
                <w:szCs w:val="18"/>
              </w:rPr>
              <w:t xml:space="preserve">Post-peak tech decay (4–7%/yr)</w:t>
            </w:r>
          </w:p>
        </w:tc>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before="0"/>
            </w:pPr>
            <w:r>
              <w:rPr>
                <w:rFonts w:ascii="Arial" w:cs="Arial" w:eastAsia="Arial" w:hAnsi="Arial"/>
                <w:color w:val="444444"/>
                <w:sz w:val="18"/>
                <w:szCs w:val="18"/>
              </w:rPr>
              <w:t xml:space="preserve">Ma, S. — NBER Working Paper 29350 (2021)</w:t>
            </w:r>
          </w:p>
        </w:tc>
        <w:tc>
          <w:tcPr>
            <w:tcW w:type="dxa" w:w="3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before="0"/>
            </w:pPr>
            <w:r>
              <w:rPr>
                <w:rFonts w:ascii="Arial" w:cs="Arial" w:eastAsia="Arial" w:hAnsi="Arial"/>
                <w:color w:val="444444"/>
                <w:sz w:val="18"/>
                <w:szCs w:val="18"/>
              </w:rPr>
              <w:t xml:space="preserve">Static tech portfolios lose 4–7% relative value/yr as frontier advances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18"/>
                <w:szCs w:val="18"/>
              </w:rPr>
              <w:t xml:space="preserve">Commodity alpha compression (0.60 at Y3)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18"/>
                <w:szCs w:val="18"/>
              </w:rPr>
              <w:t xml:space="preserve">Barnett, Stanford GSB — Red Queen Effect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18"/>
                <w:szCs w:val="18"/>
              </w:rPr>
              <w:t xml:space="preserve">Commodity tech parity reached within 18–24 months in competitive markets</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before="0"/>
            </w:pPr>
            <w:r>
              <w:rPr>
                <w:rFonts w:ascii="Arial" w:cs="Arial" w:eastAsia="Arial" w:hAnsi="Arial"/>
                <w:color w:val="444444"/>
                <w:sz w:val="18"/>
                <w:szCs w:val="18"/>
              </w:rPr>
              <w:t xml:space="preserve">Handheld RFID as commodity</w:t>
            </w:r>
          </w:p>
        </w:tc>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before="0"/>
            </w:pPr>
            <w:r>
              <w:rPr>
                <w:rFonts w:ascii="Arial" w:cs="Arial" w:eastAsia="Arial" w:hAnsi="Arial"/>
                <w:color w:val="444444"/>
                <w:sz w:val="18"/>
                <w:szCs w:val="18"/>
              </w:rPr>
              <w:t xml:space="preserve">GS1 US RFID Adoption Survey (2023)</w:t>
            </w:r>
          </w:p>
        </w:tc>
        <w:tc>
          <w:tcPr>
            <w:tcW w:type="dxa" w:w="3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before="0"/>
            </w:pPr>
            <w:r>
              <w:rPr>
                <w:rFonts w:ascii="Arial" w:cs="Arial" w:eastAsia="Arial" w:hAnsi="Arial"/>
                <w:color w:val="444444"/>
                <w:sz w:val="18"/>
                <w:szCs w:val="18"/>
              </w:rPr>
              <w:t xml:space="preserve">60%+ penetration in mid-market DC/retail confirms commodity status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18"/>
                <w:szCs w:val="18"/>
              </w:rPr>
              <w:t xml:space="preserve">Infrastructure alpha retention (0.90 at Y5)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18"/>
                <w:szCs w:val="18"/>
              </w:rPr>
              <w:t xml:space="preserve">IDC MarketScape: WMS (2023)</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18"/>
                <w:szCs w:val="18"/>
              </w:rPr>
              <w:t xml:space="preserve">3–5 year implementation cycles slow competitive replication</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before="0"/>
            </w:pPr>
            <w:r>
              <w:rPr>
                <w:rFonts w:ascii="Arial" w:cs="Arial" w:eastAsia="Arial" w:hAnsi="Arial"/>
                <w:color w:val="444444"/>
                <w:sz w:val="18"/>
                <w:szCs w:val="18"/>
              </w:rPr>
              <w:t xml:space="preserve">Device attrition rate (20%/yr)</w:t>
            </w:r>
          </w:p>
        </w:tc>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before="0"/>
            </w:pPr>
            <w:r>
              <w:rPr>
                <w:rFonts w:ascii="Arial" w:cs="Arial" w:eastAsia="Arial" w:hAnsi="Arial"/>
                <w:color w:val="444444"/>
                <w:sz w:val="18"/>
                <w:szCs w:val="18"/>
              </w:rPr>
              <w:t xml:space="preserve">VDC Research Enterprise Mobility (2022)</w:t>
            </w:r>
          </w:p>
        </w:tc>
        <w:tc>
          <w:tcPr>
            <w:tcW w:type="dxa" w:w="3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before="0"/>
            </w:pPr>
            <w:r>
              <w:rPr>
                <w:rFonts w:ascii="Arial" w:cs="Arial" w:eastAsia="Arial" w:hAnsi="Arial"/>
                <w:color w:val="444444"/>
                <w:sz w:val="18"/>
                <w:szCs w:val="18"/>
              </w:rPr>
              <w:t xml:space="preserve">15–25% annual failure/loss rate for handhelds in warehouse environments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18"/>
                <w:szCs w:val="18"/>
              </w:rPr>
              <w:t xml:space="preserve">WACC default (10%)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18"/>
                <w:szCs w:val="18"/>
              </w:rPr>
              <w:t xml:space="preserve">Damodaran NYU Stern industry WACC</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18"/>
                <w:szCs w:val="18"/>
              </w:rPr>
              <w:t xml:space="preserve">U.S. distribution/logistics WACC averages 8.5–11.5%</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before="0"/>
            </w:pPr>
            <w:r>
              <w:rPr>
                <w:rFonts w:ascii="Arial" w:cs="Arial" w:eastAsia="Arial" w:hAnsi="Arial"/>
                <w:color w:val="444444"/>
                <w:sz w:val="18"/>
                <w:szCs w:val="18"/>
              </w:rPr>
              <w:t xml:space="preserve">MIRR over IRR</w:t>
            </w:r>
          </w:p>
        </w:tc>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before="0"/>
            </w:pPr>
            <w:r>
              <w:rPr>
                <w:rFonts w:ascii="Arial" w:cs="Arial" w:eastAsia="Arial" w:hAnsi="Arial"/>
                <w:color w:val="444444"/>
                <w:sz w:val="18"/>
                <w:szCs w:val="18"/>
              </w:rPr>
              <w:t xml:space="preserve">Brigham &amp; Ehrhardt, Financial Management (16th ed.)</w:t>
            </w:r>
          </w:p>
        </w:tc>
        <w:tc>
          <w:tcPr>
            <w:tcW w:type="dxa" w:w="3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pPr>
              <w:spacing w:after="0" w:before="0"/>
            </w:pPr>
            <w:r>
              <w:rPr>
                <w:rFonts w:ascii="Arial" w:cs="Arial" w:eastAsia="Arial" w:hAnsi="Arial"/>
                <w:color w:val="444444"/>
                <w:sz w:val="18"/>
                <w:szCs w:val="18"/>
              </w:rPr>
              <w:t xml:space="preserve">MIRR resolves reinvestment rate assumption; preferred for opex tech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18"/>
                <w:szCs w:val="18"/>
              </w:rPr>
              <w:t xml:space="preserve">BCR cap (10x)</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18"/>
                <w:szCs w:val="18"/>
              </w:rPr>
              <w:t xml:space="preserve">Internal — standard value engineering discipline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444444"/>
                <w:sz w:val="18"/>
                <w:szCs w:val="18"/>
              </w:rPr>
              <w:t xml:space="preserve">Claims above 10x consistently lose credibility in CFO review</w:t>
            </w:r>
          </w:p>
        </w:tc>
      </w:tr>
    </w:tbl>
    <w:p>
      <w:pPr>
        <w:spacing w:after="0" w:before="200"/>
      </w:pPr>
      <w:r>
        <w:t xml:space="preserve"/>
      </w:r>
    </w:p>
    <w:p>
      <w:pPr>
        <w:pBdr>
          <w:bottom w:val="single" w:color="CCCCCC" w:sz="4" w:space="1"/>
        </w:pBdr>
        <w:spacing w:after="120" w:before="120"/>
      </w:pPr>
      <w:r>
        <w:t xml:space="preserve"/>
      </w:r>
    </w:p>
    <w:p>
      <w:pPr>
        <w:spacing w:after="0" w:before="120"/>
        <w:jc w:val="center"/>
      </w:pPr>
      <w:r>
        <w:rPr>
          <w:rFonts w:ascii="Arial" w:cs="Arial" w:eastAsia="Arial" w:hAnsi="Arial"/>
          <w:color w:val="666666"/>
          <w:sz w:val="18"/>
          <w:szCs w:val="18"/>
        </w:rPr>
        <w:t xml:space="preserve">NRV SOP  ·  Alt Meridian Value Engineering  ·  </w:t>
      </w:r>
      <w:r>
        <w:rPr>
          <w:rFonts w:ascii="Arial" w:cs="Arial" w:eastAsia="Arial" w:hAnsi="Arial"/>
          <w:i/>
          <w:iCs/>
          <w:color w:val="666666"/>
          <w:sz w:val="18"/>
          <w:szCs w:val="18"/>
        </w:rPr>
        <w:t xml:space="preserve">Every claim has a source. Every assumption is visible. Every overlap is audited.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11111"/>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2222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2026-05-18T19:52:06.053Z</dcterms:created>
  <dcterms:modified xsi:type="dcterms:W3CDTF">2026-05-18T19:52:06.053Z</dcterms:modified>
</cp:coreProperties>
</file>

<file path=docProps/custom.xml><?xml version="1.0" encoding="utf-8"?>
<Properties xmlns="http://schemas.openxmlformats.org/officeDocument/2006/custom-properties" xmlns:vt="http://schemas.openxmlformats.org/officeDocument/2006/docPropsVTypes"/>
</file>