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 утилизируемого </w:t>
      </w:r>
      <w:proofErr w:type="spellStart"/>
      <w:r>
        <w:t>лактата</w:t>
      </w:r>
      <w:proofErr w:type="spellEnd"/>
      <w:r>
        <w:t xml:space="preserve"> окисляется непосредственно, а 20–30 %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0,75–0,91). Для второго порога HRVT2 </w:t>
      </w:r>
      <w:proofErr w:type="spellStart"/>
      <w:r>
        <w:t>vs</w:t>
      </w:r>
      <w:proofErr w:type="spellEnd"/>
      <w:r>
        <w:t xml:space="preserve"> LT2/VT2 величины оказались соизмеримыми: SMD=−0,06 (незначимо), r=0,85 (95 %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w:t>
      </w:r>
      <w:r>
        <w:lastRenderedPageBreak/>
        <w:t xml:space="preserve">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r>
        <w:rPr>
          <w:lang w:val="ru-RU"/>
        </w:rPr>
        <w:t xml:space="preserve"> Полный состав оконных признаков по всем модальностям приведён в приложении А.</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pPr>
        <w:widowControl w:val="0"/>
        <w:spacing w:after="0"/>
      </w:pPr>
      <w:r>
        <w:rPr>
          <w:lang w:val="ru-RU"/>
        </w:rPr>
        <w:t xml:space="preserve">где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rPr>
          <w:lang w:val="ru-RU"/>
        </w:rPr>
        <w:t xml:space="preserve">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rPr>
          <w:lang w:val="ru-RU"/>
        </w:rPr>
        <w:t xml:space="preserve"> — вектор признаков, вычисленных по каузальному окну, завершающемуся в момент t;</w:t>
      </w:r>
      <w:r>
        <w:br/>
      </w:r>
      <m:oMath>
        <m:r>
          <w:rPr>
            <w:rFonts w:ascii="Cambria Math" w:hAnsi="Cambria Math"/>
          </w:rPr>
          <m:t>θ</m:t>
        </m:r>
      </m:oMath>
      <w:r>
        <w:rPr>
          <w:lang w:val="ru-RU"/>
        </w:rPr>
        <w:t xml:space="preserve"> — параметры модели, оцениваемые на обучающей выборке.</w:t>
      </w:r>
    </w:p>
    <w:p w14:paraId="61A7C447" w14:textId="77777777" w:rsidR="00570893" w:rsidRDefault="00570893" w:rsidP="00570893">
      <w:r>
        <w:t xml:space="preserve">Функция обобщается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pPr>
        <w:widowControl w:val="0"/>
        <w:spacing w:after="0"/>
      </w:pPr>
      <w:r>
        <w:rPr>
          <w:lang w:val="ru-RU"/>
        </w:rP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lang w:val="ru-RU"/>
        </w:rPr>
        <w:t xml:space="preserve"> — истинное время до порога для i-го наблюдения;</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oMath>
      <w:r>
        <w:rPr>
          <w:lang w:val="ru-RU"/>
        </w:rPr>
        <w:t xml:space="preserve"> — предсказанное моделью значение;</w:t>
      </w:r>
      <w:r>
        <w:br/>
      </w:r>
      <m:oMath>
        <m:acc>
          <m:accPr>
            <m:chr m:val="̄"/>
            <m:ctrlPr>
              <w:rPr>
                <w:rFonts w:ascii="Cambria Math" w:hAnsi="Cambria Math"/>
              </w:rPr>
            </m:ctrlPr>
          </m:accPr>
          <m:e>
            <m:r>
              <w:rPr>
                <w:rFonts w:ascii="Cambria Math" w:hAnsi="Cambria Math"/>
              </w:rPr>
              <m:t>y</m:t>
            </m:r>
          </m:e>
        </m:acc>
      </m:oMath>
      <w:r>
        <w:rPr>
          <w:lang w:val="ru-RU"/>
        </w:rPr>
        <w:t xml:space="preserve"> — среднее истинных значений по выборке.</w:t>
      </w:r>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pPr>
        <w:widowControl w:val="0"/>
        <w:spacing w:after="0"/>
      </w:pPr>
      <w:r>
        <w:rPr>
          <w:lang w:val="ru-RU"/>
        </w:rPr>
        <w:t xml:space="preserve">где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oMath>
      <w:r>
        <w:rPr>
          <w:lang w:val="ru-RU"/>
        </w:rPr>
        <w:t xml:space="preserve">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rPr>
          <w:lang w:val="ru-RU"/>
        </w:rPr>
        <w:t xml:space="preserve"> — момент окончания окна;</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rPr>
          <w:lang w:val="ru-RU"/>
        </w:rPr>
        <w:t xml:space="preserve"> — предсказанное остаточное время до порога.</w:t>
      </w:r>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r>
        <w:rPr>
          <w:lang w:val="ru-RU"/>
        </w:rPr>
        <w:t xml:space="preserve"> Подробная оценка неопределённости точечных предсказаний вынесена в приложение Б.</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