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r>
        <w:rPr>
          <w:lang w:val="ru-RU"/>
        </w:rPr>
        <w:t xml:space="preserve"> Полный состав оконных признаков по всем модальностям приведён в приложении А.</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61A7C447"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r>
        <w:rPr>
          <w:lang w:val="ru-RU"/>
        </w:rPr>
        <w:t xml:space="preserve"> Подробная оценка неопределённости точечных предсказаний вынесена в приложение Б.</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