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онлайн-классификации зоны интенсивности,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lastRenderedPageBreak/>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4B4D49B" w14:textId="4D3A4C00"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531199B0" w14:textId="41B00C28"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718194F8" w14:textId="072E0A27" w:rsidR="004A25E7" w:rsidRDefault="004A25E7" w:rsidP="004A25E7">
      <w:pPr>
        <w:ind w:firstLine="709"/>
      </w:pPr>
      <w:r>
        <w:t>Лактатный порог (LT) – и</w:t>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20A34CFC" w14:textId="1C5B4CE5"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а оставленном; обеспечивает оценку обобщаемости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4FC109FA" w14:textId="5B7C090E"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АДФ – аденозиндифосфат</w:t>
      </w:r>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(-ая, -ое)</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ЭМГ – электромиография; электромиограмма</w:t>
      </w:r>
    </w:p>
    <w:p w14:paraId="64F69067" w14:textId="710F4B36" w:rsidR="00983AF2" w:rsidRDefault="00983AF2" w:rsidP="00983AF2">
      <w:pPr>
        <w:ind w:firstLine="709"/>
      </w:pPr>
      <w:r>
        <w:t>ANT+ – Adaptive Network Topology – беспроводной протокол передачи данных</w:t>
      </w:r>
    </w:p>
    <w:p w14:paraId="2CDBE9A6" w14:textId="14EEA714" w:rsidR="00983AF2" w:rsidRDefault="00983AF2" w:rsidP="00983AF2">
      <w:pPr>
        <w:ind w:firstLine="709"/>
      </w:pPr>
      <w:r>
        <w:t>ATA – naerobic Threshold – анаэробный порог</w:t>
      </w:r>
    </w:p>
    <w:p w14:paraId="2C4F5596" w14:textId="7DB016CC" w:rsidR="00983AF2" w:rsidRDefault="00983AF2" w:rsidP="00983AF2">
      <w:pPr>
        <w:ind w:firstLine="709"/>
      </w:pPr>
      <w:r>
        <w:lastRenderedPageBreak/>
        <w:t>ATT – Adipose Tissue Thickness – толщина подкожной жировой клетчатки</w:t>
      </w:r>
    </w:p>
    <w:p w14:paraId="786BDB1A" w14:textId="0899FB86" w:rsidR="00983AF2" w:rsidRDefault="00983AF2" w:rsidP="00983AF2">
      <w:pPr>
        <w:ind w:firstLine="709"/>
      </w:pPr>
      <w:r>
        <w:t>BLE – Bluetooth Low Energy – протокол беспроводной связи малой мощности</w:t>
      </w:r>
    </w:p>
    <w:p w14:paraId="58D780DA" w14:textId="07FA6A0B" w:rsidR="00983AF2" w:rsidRDefault="00983AF2" w:rsidP="00983AF2">
      <w:pPr>
        <w:ind w:firstLine="709"/>
      </w:pPr>
      <w:r>
        <w:t>CI – Confidence Interval – доверительный интервал</w:t>
      </w:r>
    </w:p>
    <w:p w14:paraId="718FC81D" w14:textId="4A8A2135" w:rsidR="00983AF2" w:rsidRDefault="00983AF2" w:rsidP="00983AF2">
      <w:pPr>
        <w:ind w:firstLine="709"/>
      </w:pPr>
      <w:r>
        <w:t>CNN – Convolutional Neural Network – свёрточная нейронная сеть</w:t>
      </w:r>
    </w:p>
    <w:p w14:paraId="37A00340" w14:textId="26747F32" w:rsidR="00983AF2" w:rsidRDefault="00983AF2" w:rsidP="00983AF2">
      <w:pPr>
        <w:ind w:firstLine="709"/>
      </w:pPr>
      <w:r>
        <w:t>CPET – Cardiopulmonary Exercise Testing – кардиопульмональное нагрузочное тестирование</w:t>
      </w:r>
    </w:p>
    <w:p w14:paraId="79050285" w14:textId="6890DFFE" w:rsidR="00983AF2" w:rsidRDefault="00983AF2" w:rsidP="00983AF2">
      <w:pPr>
        <w:ind w:firstLine="709"/>
      </w:pPr>
      <w:r>
        <w:t>CWT – Continuous Wavelet Transform – непрерывное вейвлетное преобразование</w:t>
      </w:r>
    </w:p>
    <w:p w14:paraId="40209BF8" w14:textId="7ED2F37B"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3319349C" w14:textId="3FF82023" w:rsidR="00983AF2" w:rsidRDefault="00983AF2" w:rsidP="00983AF2">
      <w:pPr>
        <w:ind w:firstLine="709"/>
      </w:pPr>
      <w:r>
        <w:t>DWT – Discrete Wavelet Transform – дискретное вейвлетное преобразование</w:t>
      </w:r>
    </w:p>
    <w:p w14:paraId="75F53E87" w14:textId="6A6DE8FB" w:rsidR="00983AF2" w:rsidRDefault="00983AF2" w:rsidP="00983AF2">
      <w:pPr>
        <w:ind w:firstLine="709"/>
      </w:pPr>
      <w:r>
        <w:t>FFT – Fast Fourier Transform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r>
        <w:t>лактатное</w:t>
      </w:r>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FMean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r>
        <w:t>лактата</w:t>
      </w:r>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r>
        <w:rPr>
          <w:lang w:val="en-US"/>
        </w:rPr>
        <w:t xml:space="preserve">O₂Hb – Oxyhaemoglobin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r>
        <w:rPr>
          <w:lang w:val="en-US"/>
        </w:rPr>
        <w:t>Hapley</w:t>
      </w:r>
      <w:r>
        <w:t xml:space="preserve"> </w:t>
      </w:r>
      <w:r>
        <w:rPr>
          <w:lang w:val="en-US"/>
        </w:rPr>
        <w:t>Additive</w:t>
      </w:r>
      <w:r>
        <w:t xml:space="preserve"> </w:t>
      </w:r>
      <w:r>
        <w:rPr>
          <w:lang w:val="en-US"/>
        </w:rPr>
        <w:t>exPlanations</w:t>
      </w:r>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579E8442" w14:textId="79E0CE76"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B2FCC61" w14:textId="5CCCEC0C"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instrText xml:space="preserve"> TOC \o "1-3" \h \z \u </w:instrText>
            <w:fldChar w:fldCharType="separate"/>
          </w:r>
          <w:hyperlink w:anchor="_Toc228326027" w:history="1">
            <w:r>
              <w:rPr>
                <w:rStyle w:val="a4"/>
                <w:noProof/>
              </w:rPr>
              <w:t>Введение</w:t>
            </w:r>
            <w:r>
              <w:rPr>
                <w:noProof/>
                <w:webHidden/>
              </w:rPr>
              <w:tab/>
              <w:fldChar w:fldCharType="begin"/>
              <w:instrText xml:space="preserve"> PAGEREF _Toc228326027 \h </w:instrText>
              <w:fldChar w:fldCharType="separate"/>
              <w:t>16</w:t>
              <w:fldChar w:fldCharType="end"/>
            </w:r>
          </w:hyperlink>
        </w:p>
        <w:p w14:paraId="04FD2758" w14:textId="477FB5A8" w:rsidR="00741998" w:rsidRDefault="00A444D4">
          <w:pPr>
            <w:pStyle w:val="11"/>
            <w:tabs>
              <w:tab w:val="right" w:leader="dot" w:pos="9345"/>
            </w:tabs>
            <w:rPr>
              <w:rFonts w:asciiTheme="minorHAnsi" w:eastAsiaTheme="minorEastAsia" w:hAnsiTheme="minorHAnsi"/>
              <w:noProof/>
              <w:sz w:val="24"/>
              <w:szCs w:val="24"/>
              <w:lang w:eastAsia="ru-RU"/>
            </w:rPr>
          </w:pPr>
          <w:hyperlink w:anchor="_Toc228326028" w:history="1">
            <w:r>
              <w:rPr>
                <w:rStyle w:val="a4"/>
                <w:noProof/>
              </w:rPr>
              <w:t>1 Обзор литературы</w:t>
            </w:r>
            <w:r>
              <w:rPr>
                <w:noProof/>
                <w:webHidden/>
              </w:rPr>
              <w:tab/>
              <w:fldChar w:fldCharType="begin"/>
              <w:instrText xml:space="preserve"> PAGEREF _Toc228326028 \h </w:instrText>
              <w:fldChar w:fldCharType="separate"/>
              <w:t>19</w:t>
              <w:fldChar w:fldCharType="end"/>
            </w:r>
          </w:hyperlink>
        </w:p>
        <w:p w14:paraId="7EDB0A8B" w14:textId="1227BA70" w:rsidR="00741998" w:rsidRDefault="00A444D4">
          <w:pPr>
            <w:pStyle w:val="23"/>
            <w:rPr>
              <w:rFonts w:asciiTheme="minorHAnsi" w:eastAsiaTheme="minorEastAsia" w:hAnsiTheme="minorHAnsi"/>
              <w:noProof/>
              <w:sz w:val="24"/>
              <w:szCs w:val="24"/>
              <w:lang w:eastAsia="ru-RU"/>
            </w:rPr>
          </w:pPr>
          <w:hyperlink w:anchor="_Toc228326029" w:history="1">
            <w:r>
              <w:rPr>
                <w:rStyle w:val="a4"/>
                <w:noProof/>
              </w:rPr>
              <w:t>1.1 Аэробно-анаэробный переход: физиологические механизмы</w:t>
            </w:r>
            <w:r>
              <w:rPr>
                <w:noProof/>
                <w:webHidden/>
              </w:rPr>
              <w:tab/>
              <w:fldChar w:fldCharType="begin"/>
              <w:instrText xml:space="preserve"> PAGEREF _Toc228326029 \h </w:instrText>
              <w:fldChar w:fldCharType="separate"/>
              <w:t>19</w:t>
              <w:fldChar w:fldCharType="end"/>
            </w:r>
          </w:hyperlink>
        </w:p>
        <w:p w14:paraId="343083D0" w14:textId="33F2ED8E" w:rsidR="00741998" w:rsidRDefault="00A444D4">
          <w:pPr>
            <w:pStyle w:val="23"/>
            <w:rPr>
              <w:rFonts w:asciiTheme="minorHAnsi" w:eastAsiaTheme="minorEastAsia" w:hAnsiTheme="minorHAnsi"/>
              <w:noProof/>
              <w:sz w:val="24"/>
              <w:szCs w:val="24"/>
              <w:lang w:eastAsia="ru-RU"/>
            </w:rPr>
          </w:pPr>
          <w:hyperlink w:anchor="_Toc228326030" w:history="1">
            <w:r>
              <w:rPr>
                <w:rStyle w:val="a4"/>
                <w:noProof/>
              </w:rPr>
              <w:t>1.2 Электромиография как неинвазивный маркер порога при велоэргометрии</w:t>
            </w:r>
            <w:r>
              <w:rPr>
                <w:noProof/>
                <w:webHidden/>
              </w:rPr>
              <w:tab/>
              <w:fldChar w:fldCharType="begin"/>
              <w:instrText xml:space="preserve"> PAGEREF _Toc228326030 \h </w:instrText>
              <w:fldChar w:fldCharType="separate"/>
              <w:t>22</w:t>
              <w:fldChar w:fldCharType="end"/>
            </w:r>
          </w:hyperlink>
        </w:p>
        <w:p w14:paraId="443D8C38" w14:textId="7CCADD04"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1" w:history="1">
            <w:r>
              <w:rPr>
                <w:rStyle w:val="a4"/>
                <w:noProof/>
              </w:rPr>
              <w:t>1.2.1 Классические признаки: RMS, MDF и ЭМГ-порог</w:t>
            </w:r>
            <w:r>
              <w:rPr>
                <w:noProof/>
                <w:webHidden/>
              </w:rPr>
              <w:tab/>
              <w:fldChar w:fldCharType="begin"/>
              <w:instrText xml:space="preserve"> PAGEREF _Toc228326031 \h </w:instrText>
              <w:fldChar w:fldCharType="separate"/>
              <w:t>22</w:t>
              <w:fldChar w:fldCharType="end"/>
            </w:r>
          </w:hyperlink>
        </w:p>
        <w:p w14:paraId="08390907" w14:textId="17D571DA"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2" w:history="1">
            <w:r>
              <w:rPr>
                <w:rStyle w:val="a4"/>
                <w:noProof/>
              </w:rPr>
              <w:t>1.2.2 Вейвлетный анализ ЭМГ</w:t>
            </w:r>
            <w:r>
              <w:rPr>
                <w:noProof/>
                <w:webHidden/>
              </w:rPr>
              <w:tab/>
              <w:fldChar w:fldCharType="begin"/>
              <w:instrText xml:space="preserve"> PAGEREF _Toc228326032 \h </w:instrText>
              <w:fldChar w:fldCharType="separate"/>
              <w:t>25</w:t>
              <w:fldChar w:fldCharType="end"/>
            </w:r>
          </w:hyperlink>
        </w:p>
        <w:p w14:paraId="0F1C0C5D" w14:textId="524A83A1" w:rsidR="00741998" w:rsidRDefault="00A444D4">
          <w:pPr>
            <w:pStyle w:val="23"/>
            <w:rPr>
              <w:rFonts w:asciiTheme="minorHAnsi" w:eastAsiaTheme="minorEastAsia" w:hAnsiTheme="minorHAnsi"/>
              <w:noProof/>
              <w:sz w:val="24"/>
              <w:szCs w:val="24"/>
              <w:lang w:eastAsia="ru-RU"/>
            </w:rPr>
          </w:pPr>
          <w:hyperlink w:anchor="_Toc228326033" w:history="1">
            <w:r>
              <w:rPr>
                <w:rStyle w:val="a4"/>
                <w:noProof/>
              </w:rPr>
              <w:t>1.3 Ближняя инфракрасная спектроскопия и локальная мышечная оксигенация</w:t>
            </w:r>
            <w:r>
              <w:rPr>
                <w:noProof/>
                <w:webHidden/>
              </w:rPr>
              <w:tab/>
              <w:fldChar w:fldCharType="begin"/>
              <w:instrText xml:space="preserve"> PAGEREF _Toc228326033 \h </w:instrText>
              <w:fldChar w:fldCharType="separate"/>
              <w:t>29</w:t>
              <w:fldChar w:fldCharType="end"/>
            </w:r>
          </w:hyperlink>
        </w:p>
        <w:p w14:paraId="421315D1" w14:textId="4F88E473" w:rsidR="00741998" w:rsidRDefault="00A444D4">
          <w:pPr>
            <w:pStyle w:val="23"/>
            <w:rPr>
              <w:rFonts w:asciiTheme="minorHAnsi" w:eastAsiaTheme="minorEastAsia" w:hAnsiTheme="minorHAnsi"/>
              <w:noProof/>
              <w:sz w:val="24"/>
              <w:szCs w:val="24"/>
              <w:lang w:eastAsia="ru-RU"/>
            </w:rPr>
          </w:pPr>
          <w:hyperlink w:anchor="_Toc228326034" w:history="1">
            <w:r>
              <w:rPr>
                <w:rStyle w:val="a4"/>
                <w:noProof/>
              </w:rPr>
              <w:t>1.4 Вариабельность сердечного ритма и DFA-α1 как онлайн-маркер первого порога</w:t>
            </w:r>
            <w:r>
              <w:rPr>
                <w:noProof/>
                <w:webHidden/>
              </w:rPr>
              <w:tab/>
              <w:fldChar w:fldCharType="begin"/>
              <w:instrText xml:space="preserve"> PAGEREF _Toc228326034 \h </w:instrText>
              <w:fldChar w:fldCharType="separate"/>
              <w:t>33</w:t>
              <w:fldChar w:fldCharType="end"/>
            </w:r>
          </w:hyperlink>
        </w:p>
        <w:p w14:paraId="7138B815" w14:textId="0910BA51" w:rsidR="00741998" w:rsidRDefault="00A444D4">
          <w:pPr>
            <w:pStyle w:val="23"/>
            <w:rPr>
              <w:rFonts w:asciiTheme="minorHAnsi" w:eastAsiaTheme="minorEastAsia" w:hAnsiTheme="minorHAnsi"/>
              <w:noProof/>
              <w:sz w:val="24"/>
              <w:szCs w:val="24"/>
              <w:lang w:eastAsia="ru-RU"/>
            </w:rPr>
          </w:pPr>
          <w:hyperlink w:anchor="_Toc228326035" w:history="1">
            <w:r>
              <w:rPr>
                <w:rStyle w:val="a4"/>
                <w:noProof/>
              </w:rPr>
              <w:t>1.5 Кинетика лактата: задержка системного сигнала относительно локального</w:t>
            </w:r>
            <w:r>
              <w:rPr>
                <w:noProof/>
                <w:webHidden/>
              </w:rPr>
              <w:tab/>
              <w:fldChar w:fldCharType="begin"/>
              <w:instrText xml:space="preserve"> PAGEREF _Toc228326035 \h </w:instrText>
              <w:fldChar w:fldCharType="separate"/>
              <w:t>36</w:t>
              <w:fldChar w:fldCharType="end"/>
            </w:r>
          </w:hyperlink>
        </w:p>
        <w:p w14:paraId="27FAF092" w14:textId="631958CF" w:rsidR="00741998" w:rsidRDefault="00A444D4">
          <w:pPr>
            <w:pStyle w:val="23"/>
            <w:rPr>
              <w:rFonts w:asciiTheme="minorHAnsi" w:eastAsiaTheme="minorEastAsia" w:hAnsiTheme="minorHAnsi"/>
              <w:noProof/>
              <w:sz w:val="24"/>
              <w:szCs w:val="24"/>
              <w:lang w:eastAsia="ru-RU"/>
            </w:rPr>
          </w:pPr>
          <w:hyperlink w:anchor="_Toc228326036" w:history="1">
            <w:r>
              <w:rPr>
                <w:rStyle w:val="a4"/>
                <w:noProof/>
              </w:rPr>
              <w:t>1.6 Машинное обучение и алгоритмы онлайн-детекции аэробно-анаэробного перехода</w:t>
            </w:r>
            <w:r>
              <w:rPr>
                <w:noProof/>
                <w:webHidden/>
              </w:rPr>
              <w:tab/>
              <w:fldChar w:fldCharType="begin"/>
              <w:instrText xml:space="preserve"> PAGEREF _Toc228326036 \h </w:instrText>
              <w:fldChar w:fldCharType="separate"/>
              <w:t>40</w:t>
              <w:fldChar w:fldCharType="end"/>
            </w:r>
          </w:hyperlink>
        </w:p>
        <w:p w14:paraId="60EBDD17" w14:textId="2C63505F"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7" w:history="1">
            <w:r>
              <w:rPr>
                <w:rStyle w:val="a4"/>
                <w:noProof/>
                <w:lang w:val="en-US"/>
              </w:rPr>
              <w:t>1</w:t>
            </w:r>
            <w:r>
              <w:rPr>
                <w:rStyle w:val="a4"/>
                <w:noProof/>
              </w:rPr>
              <w:t>.6.1 Классический ML на ручных признаках</w:t>
            </w:r>
            <w:r>
              <w:rPr>
                <w:noProof/>
                <w:webHidden/>
              </w:rPr>
              <w:tab/>
              <w:fldChar w:fldCharType="begin"/>
              <w:instrText xml:space="preserve"> PAGEREF _Toc228326037 \h </w:instrText>
              <w:fldChar w:fldCharType="separate"/>
              <w:t>40</w:t>
              <w:fldChar w:fldCharType="end"/>
            </w:r>
          </w:hyperlink>
        </w:p>
        <w:p w14:paraId="538DA335" w14:textId="5402EA98"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8" w:history="1">
            <w:r>
              <w:rPr>
                <w:rStyle w:val="a4"/>
                <w:noProof/>
              </w:rPr>
              <w:t>1.6.2 ML для временных рядов: LSTM, TCN и вейвлетные сети</w:t>
            </w:r>
            <w:r>
              <w:rPr>
                <w:noProof/>
                <w:webHidden/>
              </w:rPr>
              <w:tab/>
              <w:fldChar w:fldCharType="begin"/>
              <w:instrText xml:space="preserve"> PAGEREF _Toc228326038 \h </w:instrText>
              <w:fldChar w:fldCharType="separate"/>
              <w:t>43</w:t>
              <w:fldChar w:fldCharType="end"/>
            </w:r>
          </w:hyperlink>
        </w:p>
        <w:p w14:paraId="7BBAF8A6" w14:textId="72D2D50D"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39" w:history="1">
            <w:r>
              <w:rPr>
                <w:rStyle w:val="a4"/>
                <w:noProof/>
              </w:rPr>
              <w:t>1.6.3 Обучение при малых датасетах и стратегии валидации</w:t>
            </w:r>
            <w:r>
              <w:rPr>
                <w:noProof/>
                <w:webHidden/>
              </w:rPr>
              <w:tab/>
              <w:fldChar w:fldCharType="begin"/>
              <w:instrText xml:space="preserve"> PAGEREF _Toc228326039 \h </w:instrText>
              <w:fldChar w:fldCharType="separate"/>
              <w:t>46</w:t>
              <w:fldChar w:fldCharType="end"/>
            </w:r>
          </w:hyperlink>
        </w:p>
        <w:p w14:paraId="4EE1F4AF" w14:textId="5FC7CEB1"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0" w:history="1">
            <w:r>
              <w:rPr>
                <w:rStyle w:val="a4"/>
                <w:noProof/>
                <w:lang w:val="en-US"/>
              </w:rPr>
              <w:t>1</w:t>
            </w:r>
            <w:r>
              <w:rPr>
                <w:rStyle w:val="a4"/>
                <w:noProof/>
              </w:rPr>
              <w:t>.6.4 Gap: мультимодальные онлайн-системы</w:t>
            </w:r>
            <w:r>
              <w:rPr>
                <w:noProof/>
                <w:webHidden/>
              </w:rPr>
              <w:tab/>
              <w:fldChar w:fldCharType="begin"/>
              <w:instrText xml:space="preserve"> PAGEREF _Toc228326040 \h </w:instrText>
              <w:fldChar w:fldCharType="separate"/>
              <w:t>49</w:t>
              <w:fldChar w:fldCharType="end"/>
            </w:r>
          </w:hyperlink>
        </w:p>
        <w:p w14:paraId="4D74CB7E" w14:textId="398E3523" w:rsidR="00741998" w:rsidRDefault="00A444D4">
          <w:pPr>
            <w:pStyle w:val="23"/>
            <w:rPr>
              <w:rFonts w:asciiTheme="minorHAnsi" w:eastAsiaTheme="minorEastAsia" w:hAnsiTheme="minorHAnsi"/>
              <w:noProof/>
              <w:sz w:val="24"/>
              <w:szCs w:val="24"/>
              <w:lang w:eastAsia="ru-RU"/>
            </w:rPr>
          </w:pPr>
          <w:hyperlink w:anchor="_Toc228326041" w:history="1">
            <w:r>
              <w:rPr>
                <w:rStyle w:val="a4"/>
                <w:noProof/>
              </w:rPr>
              <w:t>1.7 Физиологические особенности триатлонистов при велоэргометрическом тестировании</w:t>
            </w:r>
            <w:r>
              <w:rPr>
                <w:noProof/>
                <w:webHidden/>
              </w:rPr>
              <w:tab/>
              <w:fldChar w:fldCharType="begin"/>
              <w:instrText xml:space="preserve"> PAGEREF _Toc228326041 \h </w:instrText>
              <w:fldChar w:fldCharType="separate"/>
              <w:t>49</w:t>
              <w:fldChar w:fldCharType="end"/>
            </w:r>
          </w:hyperlink>
        </w:p>
        <w:p w14:paraId="14AF8C86" w14:textId="5AD679B2"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2" w:history="1">
            <w:r>
              <w:rPr>
                <w:rStyle w:val="a4"/>
                <w:noProof/>
                <w:lang w:val="en-US"/>
              </w:rPr>
              <w:t>1</w:t>
            </w:r>
            <w:r>
              <w:rPr>
                <w:rStyle w:val="a4"/>
                <w:noProof/>
              </w:rPr>
              <w:t>.8 Заключение по обзору литературы</w:t>
            </w:r>
            <w:r>
              <w:rPr>
                <w:noProof/>
                <w:webHidden/>
              </w:rPr>
              <w:tab/>
              <w:fldChar w:fldCharType="begin"/>
              <w:instrText xml:space="preserve"> PAGEREF _Toc228326042 \h </w:instrText>
              <w:fldChar w:fldCharType="separate"/>
              <w:t>51</w:t>
              <w:fldChar w:fldCharType="end"/>
            </w:r>
          </w:hyperlink>
        </w:p>
        <w:p w14:paraId="2DAEABCD" w14:textId="4692BB9D" w:rsidR="00741998" w:rsidRDefault="00A444D4">
          <w:pPr>
            <w:pStyle w:val="11"/>
            <w:tabs>
              <w:tab w:val="right" w:leader="dot" w:pos="9345"/>
            </w:tabs>
            <w:rPr>
              <w:rFonts w:asciiTheme="minorHAnsi" w:eastAsiaTheme="minorEastAsia" w:hAnsiTheme="minorHAnsi"/>
              <w:noProof/>
              <w:sz w:val="24"/>
              <w:szCs w:val="24"/>
              <w:lang w:eastAsia="ru-RU"/>
            </w:rPr>
          </w:pPr>
          <w:hyperlink w:anchor="_Toc228326043" w:history="1">
            <w:r>
              <w:rPr>
                <w:rStyle w:val="a4"/>
                <w:noProof/>
              </w:rPr>
              <w:t>2 Материалы и методы</w:t>
            </w:r>
            <w:r>
              <w:rPr>
                <w:noProof/>
                <w:webHidden/>
              </w:rPr>
              <w:tab/>
              <w:fldChar w:fldCharType="begin"/>
              <w:instrText xml:space="preserve"> PAGEREF _Toc228326043 \h </w:instrText>
              <w:fldChar w:fldCharType="separate"/>
              <w:t>54</w:t>
              <w:fldChar w:fldCharType="end"/>
            </w:r>
          </w:hyperlink>
        </w:p>
        <w:p w14:paraId="21019704" w14:textId="20229376" w:rsidR="00741998" w:rsidRDefault="00A444D4">
          <w:pPr>
            <w:pStyle w:val="23"/>
            <w:rPr>
              <w:rFonts w:asciiTheme="minorHAnsi" w:eastAsiaTheme="minorEastAsia" w:hAnsiTheme="minorHAnsi"/>
              <w:noProof/>
              <w:sz w:val="24"/>
              <w:szCs w:val="24"/>
              <w:lang w:eastAsia="ru-RU"/>
            </w:rPr>
          </w:pPr>
          <w:hyperlink w:anchor="_Toc228326044" w:history="1">
            <w:r>
              <w:rPr>
                <w:rStyle w:val="a4"/>
                <w:noProof/>
              </w:rPr>
              <w:t>2.1 Участники исследования</w:t>
            </w:r>
            <w:r>
              <w:rPr>
                <w:noProof/>
                <w:webHidden/>
              </w:rPr>
              <w:tab/>
              <w:fldChar w:fldCharType="begin"/>
              <w:instrText xml:space="preserve"> PAGEREF _Toc228326044 \h </w:instrText>
              <w:fldChar w:fldCharType="separate"/>
              <w:t>54</w:t>
              <w:fldChar w:fldCharType="end"/>
            </w:r>
          </w:hyperlink>
        </w:p>
        <w:p w14:paraId="550B2920" w14:textId="6B300F07" w:rsidR="00741998" w:rsidRDefault="00A444D4">
          <w:pPr>
            <w:pStyle w:val="23"/>
            <w:rPr>
              <w:rFonts w:asciiTheme="minorHAnsi" w:eastAsiaTheme="minorEastAsia" w:hAnsiTheme="minorHAnsi"/>
              <w:noProof/>
              <w:sz w:val="24"/>
              <w:szCs w:val="24"/>
              <w:lang w:eastAsia="ru-RU"/>
            </w:rPr>
          </w:pPr>
          <w:hyperlink w:anchor="_Toc228326045" w:history="1">
            <w:r>
              <w:rPr>
                <w:rStyle w:val="a4"/>
                <w:noProof/>
              </w:rPr>
              <w:t>2.2 Протокол нагрузочного тестирования</w:t>
            </w:r>
            <w:r>
              <w:rPr>
                <w:noProof/>
                <w:webHidden/>
              </w:rPr>
              <w:tab/>
              <w:fldChar w:fldCharType="begin"/>
              <w:instrText xml:space="preserve"> PAGEREF _Toc228326045 \h </w:instrText>
              <w:fldChar w:fldCharType="separate"/>
              <w:t>54</w:t>
              <w:fldChar w:fldCharType="end"/>
            </w:r>
          </w:hyperlink>
        </w:p>
        <w:p w14:paraId="2835A511" w14:textId="58AFA195" w:rsidR="00741998" w:rsidRDefault="00A444D4">
          <w:pPr>
            <w:pStyle w:val="23"/>
            <w:rPr>
              <w:rFonts w:asciiTheme="minorHAnsi" w:eastAsiaTheme="minorEastAsia" w:hAnsiTheme="minorHAnsi"/>
              <w:noProof/>
              <w:sz w:val="24"/>
              <w:szCs w:val="24"/>
              <w:lang w:eastAsia="ru-RU"/>
            </w:rPr>
          </w:pPr>
          <w:hyperlink w:anchor="_Toc228326046" w:history="1">
            <w:r>
              <w:rPr>
                <w:rStyle w:val="a4"/>
                <w:noProof/>
              </w:rPr>
              <w:t>2.3 Аппаратный комплекс регистрации</w:t>
            </w:r>
            <w:r>
              <w:rPr>
                <w:noProof/>
                <w:webHidden/>
              </w:rPr>
              <w:tab/>
              <w:fldChar w:fldCharType="begin"/>
              <w:instrText xml:space="preserve"> PAGEREF _Toc228326046 \h </w:instrText>
              <w:fldChar w:fldCharType="separate"/>
              <w:t>55</w:t>
              <w:fldChar w:fldCharType="end"/>
            </w:r>
          </w:hyperlink>
        </w:p>
        <w:p w14:paraId="2D0A3AFE" w14:textId="1C60C723"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7" w:history="1">
            <w:r>
              <w:rPr>
                <w:rStyle w:val="a4"/>
                <w:noProof/>
              </w:rPr>
              <w:t>2.3.1 Электромиография и инерционные измерения</w:t>
            </w:r>
            <w:r>
              <w:rPr>
                <w:noProof/>
                <w:webHidden/>
              </w:rPr>
              <w:tab/>
              <w:fldChar w:fldCharType="begin"/>
              <w:instrText xml:space="preserve"> PAGEREF _Toc228326047 \h </w:instrText>
              <w:fldChar w:fldCharType="separate"/>
              <w:t>55</w:t>
              <w:fldChar w:fldCharType="end"/>
            </w:r>
          </w:hyperlink>
        </w:p>
        <w:p w14:paraId="7C85F67D" w14:textId="4F8325ED"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8" w:history="1">
            <w:r>
              <w:rPr>
                <w:rStyle w:val="a4"/>
                <w:noProof/>
              </w:rPr>
              <w:t>2.3.2 Ближняя инфракрасная спектроскопия</w:t>
            </w:r>
            <w:r>
              <w:rPr>
                <w:noProof/>
                <w:webHidden/>
              </w:rPr>
              <w:tab/>
              <w:fldChar w:fldCharType="begin"/>
              <w:instrText xml:space="preserve"> PAGEREF _Toc228326048 \h </w:instrText>
              <w:fldChar w:fldCharType="separate"/>
              <w:t>55</w:t>
              <w:fldChar w:fldCharType="end"/>
            </w:r>
          </w:hyperlink>
        </w:p>
        <w:p w14:paraId="3A4E1FE8" w14:textId="081E193B"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49" w:history="1">
            <w:r>
              <w:rPr>
                <w:rStyle w:val="a4"/>
                <w:noProof/>
              </w:rPr>
              <w:t>2.3.3 Сердечный ритм</w:t>
            </w:r>
            <w:r>
              <w:rPr>
                <w:noProof/>
                <w:webHidden/>
              </w:rPr>
              <w:tab/>
              <w:fldChar w:fldCharType="begin"/>
              <w:instrText xml:space="preserve"> PAGEREF _Toc228326049 \h </w:instrText>
              <w:fldChar w:fldCharType="separate"/>
              <w:t>56</w:t>
              <w:fldChar w:fldCharType="end"/>
            </w:r>
          </w:hyperlink>
        </w:p>
        <w:p w14:paraId="622AE2EB" w14:textId="6208D129" w:rsidR="00741998" w:rsidRDefault="00A444D4">
          <w:pPr>
            <w:pStyle w:val="23"/>
            <w:rPr>
              <w:rFonts w:asciiTheme="minorHAnsi" w:eastAsiaTheme="minorEastAsia" w:hAnsiTheme="minorHAnsi"/>
              <w:noProof/>
              <w:sz w:val="24"/>
              <w:szCs w:val="24"/>
              <w:lang w:eastAsia="ru-RU"/>
            </w:rPr>
          </w:pPr>
          <w:hyperlink w:anchor="_Toc228326050" w:history="1">
            <w:r>
              <w:rPr>
                <w:rStyle w:val="a4"/>
                <w:noProof/>
              </w:rPr>
              <w:t>2.4 Система синхронного сбора данных Sensync</w:t>
            </w:r>
            <w:r>
              <w:rPr>
                <w:noProof/>
                <w:webHidden/>
              </w:rPr>
              <w:tab/>
              <w:fldChar w:fldCharType="begin"/>
              <w:instrText xml:space="preserve"> PAGEREF _Toc228326050 \h </w:instrText>
              <w:fldChar w:fldCharType="separate"/>
              <w:t>56</w:t>
              <w:fldChar w:fldCharType="end"/>
            </w:r>
          </w:hyperlink>
        </w:p>
        <w:p w14:paraId="225030D5" w14:textId="31A8272C"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1" w:history="1">
            <w:r>
              <w:rPr>
                <w:rStyle w:val="a4"/>
                <w:noProof/>
              </w:rPr>
              <w:t>2.4.1 Архитектура и мотивация</w:t>
            </w:r>
            <w:r>
              <w:rPr>
                <w:noProof/>
                <w:webHidden/>
              </w:rPr>
              <w:tab/>
              <w:fldChar w:fldCharType="begin"/>
              <w:instrText xml:space="preserve"> PAGEREF _Toc228326051 \h </w:instrText>
              <w:fldChar w:fldCharType="separate"/>
              <w:t>56</w:t>
              <w:fldChar w:fldCharType="end"/>
            </w:r>
          </w:hyperlink>
        </w:p>
        <w:p w14:paraId="796E1E96" w14:textId="0ACF0AA0"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2" w:history="1">
            <w:r>
              <w:rPr>
                <w:rStyle w:val="a4"/>
                <w:noProof/>
              </w:rPr>
              <w:t>2.4.2 Реализация</w:t>
            </w:r>
            <w:r>
              <w:rPr>
                <w:noProof/>
                <w:webHidden/>
              </w:rPr>
              <w:tab/>
              <w:fldChar w:fldCharType="begin"/>
              <w:instrText xml:space="preserve"> PAGEREF _Toc228326052 \h </w:instrText>
              <w:fldChar w:fldCharType="separate"/>
              <w:t>57</w:t>
              <w:fldChar w:fldCharType="end"/>
            </w:r>
          </w:hyperlink>
        </w:p>
        <w:p w14:paraId="10985E13" w14:textId="38A4FB22"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3" w:history="1">
            <w:r>
              <w:rPr>
                <w:rStyle w:val="a4"/>
                <w:noProof/>
              </w:rPr>
              <w:t>2.4.3 Технологический стек</w:t>
            </w:r>
            <w:r>
              <w:rPr>
                <w:noProof/>
                <w:webHidden/>
              </w:rPr>
              <w:tab/>
              <w:fldChar w:fldCharType="begin"/>
              <w:instrText xml:space="preserve"> PAGEREF _Toc228326053 \h </w:instrText>
              <w:fldChar w:fldCharType="separate"/>
              <w:t>58</w:t>
              <w:fldChar w:fldCharType="end"/>
            </w:r>
          </w:hyperlink>
        </w:p>
        <w:p w14:paraId="405DC2DD" w14:textId="237787D7" w:rsidR="00741998" w:rsidRDefault="00A444D4">
          <w:pPr>
            <w:pStyle w:val="23"/>
            <w:rPr>
              <w:rFonts w:asciiTheme="minorHAnsi" w:eastAsiaTheme="minorEastAsia" w:hAnsiTheme="minorHAnsi"/>
              <w:noProof/>
              <w:sz w:val="24"/>
              <w:szCs w:val="24"/>
              <w:lang w:eastAsia="ru-RU"/>
            </w:rPr>
          </w:pPr>
          <w:hyperlink w:anchor="_Toc228326054" w:history="1">
            <w:r>
              <w:rPr>
                <w:rStyle w:val="a4"/>
                <w:noProof/>
              </w:rPr>
              <w:t>2.5 Предобработка сигналов</w:t>
            </w:r>
            <w:r>
              <w:rPr>
                <w:noProof/>
                <w:webHidden/>
              </w:rPr>
              <w:tab/>
              <w:fldChar w:fldCharType="begin"/>
              <w:instrText xml:space="preserve"> PAGEREF _Toc228326054 \h </w:instrText>
              <w:fldChar w:fldCharType="separate"/>
              <w:t>58</w:t>
              <w:fldChar w:fldCharType="end"/>
            </w:r>
          </w:hyperlink>
        </w:p>
        <w:p w14:paraId="68096875" w14:textId="79E5553D"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5" w:history="1">
            <w:r>
              <w:rPr>
                <w:rStyle w:val="a4"/>
                <w:noProof/>
              </w:rPr>
              <w:t>2.5.1 Электромиография</w:t>
            </w:r>
            <w:r>
              <w:rPr>
                <w:noProof/>
                <w:webHidden/>
              </w:rPr>
              <w:tab/>
              <w:fldChar w:fldCharType="begin"/>
              <w:instrText xml:space="preserve"> PAGEREF _Toc228326055 \h </w:instrText>
              <w:fldChar w:fldCharType="separate"/>
              <w:t>58</w:t>
              <w:fldChar w:fldCharType="end"/>
            </w:r>
          </w:hyperlink>
        </w:p>
        <w:p w14:paraId="4BF937FB" w14:textId="2D203D95"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6" w:history="1">
            <w:r>
              <w:rPr>
                <w:rStyle w:val="a4"/>
                <w:noProof/>
              </w:rPr>
              <w:t>2.5.2 Мышечная оксигенация</w:t>
            </w:r>
            <w:r>
              <w:rPr>
                <w:noProof/>
                <w:webHidden/>
              </w:rPr>
              <w:tab/>
              <w:fldChar w:fldCharType="begin"/>
              <w:instrText xml:space="preserve"> PAGEREF _Toc228326056 \h </w:instrText>
              <w:fldChar w:fldCharType="separate"/>
              <w:t>59</w:t>
              <w:fldChar w:fldCharType="end"/>
            </w:r>
          </w:hyperlink>
        </w:p>
        <w:p w14:paraId="32E56C1B" w14:textId="6CAD0906"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57" w:history="1">
            <w:r>
              <w:rPr>
                <w:rStyle w:val="a4"/>
                <w:noProof/>
              </w:rPr>
              <w:t>2.5.2 RR-интервалы и HRV</w:t>
            </w:r>
            <w:r>
              <w:rPr>
                <w:noProof/>
                <w:webHidden/>
              </w:rPr>
              <w:tab/>
              <w:fldChar w:fldCharType="begin"/>
              <w:instrText xml:space="preserve"> PAGEREF _Toc228326057 \h </w:instrText>
              <w:fldChar w:fldCharType="separate"/>
              <w:t>59</w:t>
              <w:fldChar w:fldCharType="end"/>
            </w:r>
          </w:hyperlink>
        </w:p>
        <w:p w14:paraId="26710C12" w14:textId="47DEB698" w:rsidR="00741998" w:rsidRDefault="00A444D4">
          <w:pPr>
            <w:pStyle w:val="23"/>
            <w:rPr>
              <w:rFonts w:asciiTheme="minorHAnsi" w:eastAsiaTheme="minorEastAsia" w:hAnsiTheme="minorHAnsi"/>
              <w:noProof/>
              <w:sz w:val="24"/>
              <w:szCs w:val="24"/>
              <w:lang w:eastAsia="ru-RU"/>
            </w:rPr>
          </w:pPr>
          <w:hyperlink w:anchor="_Toc228326058" w:history="1">
            <w:r>
              <w:rPr>
                <w:rStyle w:val="a4"/>
                <w:noProof/>
              </w:rPr>
              <w:t>2.6 Определение лактатных порогов (ground truth)</w:t>
            </w:r>
            <w:r>
              <w:rPr>
                <w:noProof/>
                <w:webHidden/>
              </w:rPr>
              <w:tab/>
              <w:fldChar w:fldCharType="begin"/>
              <w:instrText xml:space="preserve"> PAGEREF _Toc228326058 \h </w:instrText>
              <w:fldChar w:fldCharType="separate"/>
              <w:t>59</w:t>
              <w:fldChar w:fldCharType="end"/>
            </w:r>
          </w:hyperlink>
        </w:p>
        <w:p w14:paraId="59E8D439" w14:textId="63192B87" w:rsidR="00741998" w:rsidRDefault="00A444D4">
          <w:pPr>
            <w:pStyle w:val="23"/>
            <w:rPr>
              <w:rFonts w:asciiTheme="minorHAnsi" w:eastAsiaTheme="minorEastAsia" w:hAnsiTheme="minorHAnsi"/>
              <w:noProof/>
              <w:sz w:val="24"/>
              <w:szCs w:val="24"/>
              <w:lang w:eastAsia="ru-RU"/>
            </w:rPr>
          </w:pPr>
          <w:hyperlink w:anchor="_Toc228326059" w:history="1">
            <w:r>
              <w:rPr>
                <w:rStyle w:val="a4"/>
                <w:noProof/>
              </w:rPr>
              <w:t>2.7 Признаковое пространство</w:t>
            </w:r>
            <w:r>
              <w:rPr>
                <w:noProof/>
                <w:webHidden/>
              </w:rPr>
              <w:tab/>
              <w:fldChar w:fldCharType="begin"/>
              <w:instrText xml:space="preserve"> PAGEREF _Toc228326059 \h </w:instrText>
              <w:fldChar w:fldCharType="separate"/>
              <w:t>60</w:t>
              <w:fldChar w:fldCharType="end"/>
            </w:r>
          </w:hyperlink>
        </w:p>
        <w:p w14:paraId="542265B3" w14:textId="5A27FA31" w:rsidR="00741998" w:rsidRDefault="00A444D4">
          <w:pPr>
            <w:pStyle w:val="23"/>
            <w:rPr>
              <w:rFonts w:asciiTheme="minorHAnsi" w:eastAsiaTheme="minorEastAsia" w:hAnsiTheme="minorHAnsi"/>
              <w:noProof/>
              <w:sz w:val="24"/>
              <w:szCs w:val="24"/>
              <w:lang w:eastAsia="ru-RU"/>
            </w:rPr>
          </w:pPr>
          <w:hyperlink w:anchor="_Toc228326060" w:history="1">
            <w:r>
              <w:rPr>
                <w:rStyle w:val="a4"/>
                <w:noProof/>
              </w:rPr>
              <w:t>2.8 Модели машинного обучения</w:t>
            </w:r>
            <w:r>
              <w:rPr>
                <w:noProof/>
                <w:webHidden/>
              </w:rPr>
              <w:tab/>
              <w:fldChar w:fldCharType="begin"/>
              <w:instrText xml:space="preserve"> PAGEREF _Toc228326060 \h </w:instrText>
              <w:fldChar w:fldCharType="separate"/>
              <w:t>61</w:t>
              <w:fldChar w:fldCharType="end"/>
            </w:r>
          </w:hyperlink>
        </w:p>
        <w:p w14:paraId="46A45972" w14:textId="45238BD3"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1" w:history="1">
            <w:r>
              <w:rPr>
                <w:rStyle w:val="a4"/>
                <w:noProof/>
              </w:rPr>
              <w:t>2.8.1 Постановка задачи</w:t>
            </w:r>
            <w:r>
              <w:rPr>
                <w:noProof/>
                <w:webHidden/>
              </w:rPr>
              <w:tab/>
              <w:fldChar w:fldCharType="begin"/>
              <w:instrText xml:space="preserve"> PAGEREF _Toc228326061 \h </w:instrText>
              <w:fldChar w:fldCharType="separate"/>
              <w:t>61</w:t>
              <w:fldChar w:fldCharType="end"/>
            </w:r>
          </w:hyperlink>
        </w:p>
        <w:p w14:paraId="2A0846F4" w14:textId="519B378E"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2" w:history="1">
            <w:r>
              <w:rPr>
                <w:rStyle w:val="a4"/>
                <w:noProof/>
              </w:rPr>
              <w:t>2.8.2 Baseline-модель</w:t>
            </w:r>
            <w:r>
              <w:rPr>
                <w:noProof/>
                <w:webHidden/>
              </w:rPr>
              <w:tab/>
              <w:fldChar w:fldCharType="begin"/>
              <w:instrText xml:space="preserve"> PAGEREF _Toc228326062 \h </w:instrText>
              <w:fldChar w:fldCharType="separate"/>
              <w:t>61</w:t>
              <w:fldChar w:fldCharType="end"/>
            </w:r>
          </w:hyperlink>
        </w:p>
        <w:p w14:paraId="1A96BEA2" w14:textId="3ABFD4D2"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3" w:history="1">
            <w:r>
              <w:rPr>
                <w:rStyle w:val="a4"/>
                <w:noProof/>
              </w:rPr>
              <w:t>2.8.3 Расширенная модель</w:t>
            </w:r>
            <w:r>
              <w:rPr>
                <w:noProof/>
                <w:webHidden/>
              </w:rPr>
              <w:tab/>
              <w:fldChar w:fldCharType="begin"/>
              <w:instrText xml:space="preserve"> PAGEREF _Toc228326063 \h </w:instrText>
              <w:fldChar w:fldCharType="separate"/>
              <w:t>61</w:t>
              <w:fldChar w:fldCharType="end"/>
            </w:r>
          </w:hyperlink>
        </w:p>
        <w:p w14:paraId="241C04FA" w14:textId="7C112F4B" w:rsidR="00741998" w:rsidRDefault="00A444D4">
          <w:pPr>
            <w:pStyle w:val="33"/>
            <w:tabs>
              <w:tab w:val="right" w:leader="dot" w:pos="9345"/>
            </w:tabs>
            <w:rPr>
              <w:rFonts w:asciiTheme="minorHAnsi" w:eastAsiaTheme="minorEastAsia" w:hAnsiTheme="minorHAnsi"/>
              <w:noProof/>
              <w:sz w:val="24"/>
              <w:szCs w:val="24"/>
              <w:lang w:eastAsia="ru-RU"/>
            </w:rPr>
          </w:pPr>
          <w:hyperlink w:anchor="_Toc228326064" w:history="1">
            <w:r>
              <w:rPr>
                <w:rStyle w:val="a4"/>
                <w:noProof/>
              </w:rPr>
              <w:t>2.8.4 Валидация и метрики</w:t>
            </w:r>
            <w:r>
              <w:rPr>
                <w:noProof/>
                <w:webHidden/>
              </w:rPr>
              <w:tab/>
              <w:fldChar w:fldCharType="begin"/>
              <w:instrText xml:space="preserve"> PAGEREF _Toc228326064 \h </w:instrText>
              <w:fldChar w:fldCharType="separate"/>
              <w:t>61</w:t>
              <w:fldChar w:fldCharType="end"/>
            </w:r>
          </w:hyperlink>
        </w:p>
        <w:p w14:paraId="61F7A02B" w14:textId="34A42F1D" w:rsidR="00741998" w:rsidRDefault="00A444D4">
          <w:pPr>
            <w:pStyle w:val="23"/>
            <w:rPr>
              <w:rFonts w:asciiTheme="minorHAnsi" w:eastAsiaTheme="minorEastAsia" w:hAnsiTheme="minorHAnsi"/>
              <w:noProof/>
              <w:sz w:val="24"/>
              <w:szCs w:val="24"/>
              <w:lang w:eastAsia="ru-RU"/>
            </w:rPr>
          </w:pPr>
          <w:hyperlink w:anchor="_Toc228326065" w:history="1">
            <w:r>
              <w:rPr>
                <w:rStyle w:val="a4"/>
                <w:noProof/>
              </w:rPr>
              <w:t>2.9 Статистическая обработка данных</w:t>
            </w:r>
            <w:r>
              <w:rPr>
                <w:noProof/>
                <w:webHidden/>
              </w:rPr>
              <w:tab/>
              <w:fldChar w:fldCharType="begin"/>
              <w:instrText xml:space="preserve"> PAGEREF _Toc228326065 \h </w:instrText>
              <w:fldChar w:fldCharType="separate"/>
              <w:t>61</w:t>
              <w:fldChar w:fldCharType="end"/>
            </w:r>
          </w:hyperlink>
        </w:p>
        <w:p w14:paraId="73C8780C" w14:textId="191D742A" w:rsidR="00741998" w:rsidRDefault="00A444D4">
          <w:pPr>
            <w:pStyle w:val="11"/>
            <w:tabs>
              <w:tab w:val="right" w:leader="dot" w:pos="9345"/>
            </w:tabs>
            <w:rPr>
              <w:rFonts w:asciiTheme="minorHAnsi" w:eastAsiaTheme="minorEastAsia" w:hAnsiTheme="minorHAnsi"/>
              <w:noProof/>
              <w:sz w:val="24"/>
              <w:szCs w:val="24"/>
              <w:lang w:eastAsia="ru-RU"/>
            </w:rPr>
          </w:pPr>
          <w:hyperlink w:anchor="_Toc228326066" w:history="1">
            <w:r>
              <w:rPr>
                <w:rStyle w:val="a4"/>
                <w:noProof/>
              </w:rPr>
              <w:t>3 Результаты и обсуждения</w:t>
            </w:r>
            <w:r>
              <w:rPr>
                <w:noProof/>
                <w:webHidden/>
              </w:rPr>
              <w:tab/>
              <w:fldChar w:fldCharType="begin"/>
              <w:instrText xml:space="preserve"> PAGEREF _Toc228326066 \h </w:instrText>
              <w:fldChar w:fldCharType="separate"/>
              <w:t>62</w:t>
              <w:fldChar w:fldCharType="end"/>
            </w:r>
          </w:hyperlink>
        </w:p>
        <w:p w14:paraId="6CB249CF" w14:textId="46422F90" w:rsidR="00741998" w:rsidRDefault="00A444D4">
          <w:pPr>
            <w:pStyle w:val="23"/>
            <w:rPr>
              <w:rFonts w:asciiTheme="minorHAnsi" w:eastAsiaTheme="minorEastAsia" w:hAnsiTheme="minorHAnsi"/>
              <w:noProof/>
              <w:sz w:val="24"/>
              <w:szCs w:val="24"/>
              <w:lang w:eastAsia="ru-RU"/>
            </w:rPr>
          </w:pPr>
          <w:hyperlink w:anchor="_Toc228326067" w:history="1">
            <w:r>
              <w:rPr>
                <w:rStyle w:val="a4"/>
                <w:noProof/>
              </w:rPr>
              <w:t>Заключение</w:t>
            </w:r>
            <w:r>
              <w:rPr>
                <w:noProof/>
                <w:webHidden/>
              </w:rPr>
              <w:tab/>
              <w:fldChar w:fldCharType="begin"/>
              <w:instrText xml:space="preserve"> PAGEREF _Toc228326067 \h </w:instrText>
              <w:fldChar w:fldCharType="separate"/>
              <w:t>63</w:t>
              <w:fldChar w:fldCharType="end"/>
            </w:r>
          </w:hyperlink>
        </w:p>
        <w:p w14:paraId="0EC6884F" w14:textId="2A9B2674" w:rsidR="00741998" w:rsidRDefault="00A444D4">
          <w:pPr>
            <w:pStyle w:val="23"/>
            <w:rPr>
              <w:rFonts w:asciiTheme="minorHAnsi" w:eastAsiaTheme="minorEastAsia" w:hAnsiTheme="minorHAnsi"/>
              <w:noProof/>
              <w:sz w:val="24"/>
              <w:szCs w:val="24"/>
              <w:lang w:eastAsia="ru-RU"/>
            </w:rPr>
          </w:pPr>
          <w:hyperlink w:anchor="_Toc228326068" w:history="1">
            <w:r>
              <w:rPr>
                <w:rStyle w:val="a4"/>
                <w:noProof/>
              </w:rPr>
              <w:t>Список использованных источников</w:t>
            </w:r>
            <w:r>
              <w:rPr>
                <w:noProof/>
                <w:webHidden/>
              </w:rPr>
              <w:tab/>
              <w:fldChar w:fldCharType="begin"/>
              <w:instrText xml:space="preserve"> PAGEREF _Toc228326068 \h </w:instrText>
              <w:fldChar w:fldCharType="separate"/>
              <w:t>64</w:t>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выборке триатлонистов (n ≥ 20) с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 В-пятых, 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lastRenderedPageBreak/>
        <w:t>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фотоплетизмографии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[Wackerhage, Gehlert, 2022; Fiedler, Woll,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[Messonnier, Emhoff, 2013] в серии экспериментов с изотопными метками показали, что лактатный порог </w:t>
        <w:lastRenderedPageBreak/>
        <w:t>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[Messonnier, Emhoff, 2013].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лактата из мышечного волокна в венозную кровь [Bonen, McCullagh, 1998].</w:t>
      </w:r>
    </w:p>
    <w:p w14:paraId="65494EC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[Wackerhage, Gehlert, 2022; Brooks, 2023]. Количественно этот сдвиг можно описать через модель Мадера, детально рассмотренную Wackerhage и Gehlert [2022]: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[Lin, Huang,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[Lin, Huang, 2020]. При медленных рамп-протоколах тестирования лактатный порог может выявляться существенно раньше вентиляционного – Kominami и Nishijima [2015] показали, что у части испытуемых LT наступает уже при ~30% VO₂peak, 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w:t>
        <w:lastRenderedPageBreak/>
        <w:t xml:space="preserve">плотность и ёмкость окислительного фосфорилирования смещают узкое горлышко в сторону доставки кислорода к работающей мышце [Messonnier, Emhoff, 2013]: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softHyphen/>
        <w:t xml:space="preserve">– скорость гликолитического синтеза пирувата превышает способность митохондрий его окислять при ещё адекватной доставке кислорода [Wackerhage, Gehlert, 2022],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1.2 Электромиография как неинвазивный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r>
        <w:rPr>
          <w:i/>
        </w:rPr>
        <w:t>sEMG</w:t>
      </w:r>
      <w:r>
        <w:t xml:space="preserve">)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lastRenderedPageBreak/>
        <w:t>Nagata и соавторов [Nagata, Moritani, 1981],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[Nagata, Moritani, 1981]. – вследствие снижения скорости проведения потенциала действия по мышечным волокнам при накоплении лактата и падении внутримышечного pH [Nagata, Moritani, 1981]. Совместная регистрация NIRS и </w:t>
      </w:r>
      <w:r>
        <w:rPr>
          <w:i/>
        </w:rPr>
        <w:t>sEMG</w:t>
      </w:r>
      <w:r>
        <w:t xml:space="preserve"> позволяет верифицировать этот механизм напрямую: Şayli и Akin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w:t>
      </w:r>
      <w:r>
        <w:t xml:space="preserve"> Метод ATHHb-ЭМГ, разработанный и валидированный Поповым с соавторами [Popov, Vinogradova, 2019; Попов, Кузнецов, 2019],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ЭМГ-пороговых методов [Popov, Vinogradova, 2019].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оксигенации служит исследование Racinais с соавторами [Racinais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w:t>
        <w:lastRenderedPageBreak/>
        <w:t>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[Popov, Vinogradova, 2019]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w:t>
        <w:lastRenderedPageBreak/>
        <w:t>расстройствами ЭМГ-пороги значимо смещены и имеют более низкую воспроизводимость [Voet, Janssen, 2022], однако для популяции тренированных триатлонистов данное ограничение нерелевантно.</w:t>
      </w:r>
    </w:p>
    <w:p w14:paraId="03E3C88E" w14:textId="36EB3088" w:rsidR="00300F39" w:rsidRDefault="00300F39" w:rsidP="00300F39">
      <w:pPr>
        <w:ind w:firstLine="708"/>
      </w:pPr>
      <w:r>
        <w:rPr>
          <w:i/>
          <w:iCs/>
        </w:rPr>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5491A648" w14:textId="5BC20472" w:rsidR="00300F39" w:rsidRDefault="00E62A0E" w:rsidP="00C44D81">
      <w:pPr>
        <w:pStyle w:val="31"/>
      </w:pPr>
      <w:bookmarkStart w:id="6" w:name="_Toc228326032"/>
      <w:r>
        <w:t>1.2.2 Вейвлетный анализ ЭМГ</w:t>
      </w:r>
      <w:bookmarkEnd w:id="6"/>
    </w:p>
    <w:p w14:paraId="72A508EC" w14:textId="6C843926" w:rsidR="00300F39" w:rsidRDefault="00300F39" w:rsidP="00300F39">
      <w:pPr>
        <w:ind w:firstLine="708"/>
      </w:pPr>
      <w:r>
        <w:t>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[Graham и др., 2015]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w:t>
        <w:lastRenderedPageBreak/>
        <w:t xml:space="preserve">определённому поддиапазону частот. Для ЭМГ с частотой дискретизации 2000 Гц при использовании вейвлета Daubechies 6-го порядка (db6) уровни d1–d2 (~500–1000 Гц) преимущественно содержат высокочастотный шум, уровни 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[Wang и др., 2018] провели сопоставление ЭМГ-индексов на VL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педалировании. Jamaluddin и соавторы [Jamaluddin и др., 2023] ввели семейство Wavelet Index (WI) признаков (WIRM1551, WIRE51 и др.), отражающих распределение энергии по шкалам и частотным диапазонам, и применили их к задаче неинвазивной идентификации затяжной мышечной усталости (prolonged fatigue) у 20 участников по 5-дневному протоколу. Классификатор Naive Bayes на наборе WI и классических признаков достиг точности 98% на </w:t>
      </w:r>
      <w:r>
        <w:rPr>
          <w:i/>
        </w:rPr>
        <w:t>m. rectus femoris</w:t>
      </w:r>
      <w:r>
        <w:t xml:space="preserve">, 97% на </w:t>
      </w:r>
      <w:r>
        <w:rPr>
          <w:i/>
        </w:rPr>
        <w:t>m. vastus medialis</w:t>
      </w:r>
      <w:r>
        <w:t xml:space="preserve"> и 94% на </w:t>
      </w:r>
      <w:r>
        <w:rPr>
          <w:i/>
        </w:rPr>
        <w:t>m. biceps femoris</w:t>
      </w:r>
      <w:r>
        <w:t xml:space="preserve">. Принципиально важным для настоящей работы является то, что на </w:t>
      </w:r>
      <w:r>
        <w:rPr>
          <w:i/>
        </w:rPr>
        <w:t>m. vastus lateralis</w:t>
      </w:r>
      <w:r>
        <w:t xml:space="preserve"> точность того же классификатора составила лишь 9% – на порядки ниже, чем на других мышцах квадрицепса, и изменения классических индексов (ΔFmed, ΔRMS, ΔMAV) между нормальным состоянием и состоянием prolonged fatigue были статистически незначимыми именно на VL. Этот результат свидетельствует о специфической вариабельности ЭМГ VL при длительной утомляемости и </w:t>
        <w:lastRenderedPageBreak/>
        <w:t>требует осторожной интерпретации вейвлетных признаков на этой мышце в контексте задачи детекции лактатного порога.</w:t>
      </w:r>
    </w:p>
    <w:p w14:paraId="786B63A1" w14:textId="72310728" w:rsidR="00300F39" w:rsidRDefault="00300F39" w:rsidP="00300F39">
      <w:pPr>
        <w:ind w:firstLine="708"/>
      </w:pPr>
      <w:r>
        <w:t>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[Graham и др., 2015]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[Wang G. и др., 2014]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w:t>
        <w:lastRenderedPageBreak/>
        <w:t>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Помимо извлечения признаков, вейвлетное преобразование применимо как метод аугментации обучающих данных. Tsinganos и соавторы [Tsinganos и др., 2020]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w:t>
        <w:lastRenderedPageBreak/>
        <w:t>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[Jamaluddin и др., 2023], что требует дополнительной валидации в физиологическом контексте задачи настоящей диссертации.</w:t>
      </w:r>
    </w:p>
    <w:p w14:paraId="4B635D31" w14:textId="7275D38F" w:rsidR="00300F39" w:rsidRDefault="00E62A0E" w:rsidP="00C44D81">
      <w:pPr>
        <w:pStyle w:val="21"/>
      </w:pPr>
      <w:bookmarkStart w:id="7" w:name="_Toc228326033"/>
      <w:r>
        <w:t>1.3 Ближняя инфракрасная спектроскопия и локальная мышечная оксигенация</w:t>
      </w:r>
      <w:bookmarkEnd w:id="7"/>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62E97AAB" w14:textId="72F7D9BF"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[Wang, Yoshikawa, 2006]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w:t>
        <w:lastRenderedPageBreak/>
        <w:t>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[2020]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CI. Coquart и Mucci [2017]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3DF17D9D" w14:textId="7260A1F8" w:rsidR="00300F39" w:rsidRDefault="00300F39" w:rsidP="00300F39">
      <w:pPr>
        <w:ind w:firstLine="708"/>
      </w:pPr>
      <w:r>
        <w:t xml:space="preserve">Двустороннее измерение SmO₂ повышает точность детекции порогов. Reinpõld и Rannama [2024]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w:t>
        <w:lastRenderedPageBreak/>
        <w:t>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[2018] продемонстрировали, что портативная CW-NIRS (Humon Beta) коррелирует с лабораторной системой MetaOx по SmO₂ (r=0,86, RMSE=3,4%), а Driller и Borges [2016]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[2016]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[2019] указывают, что при толщине жирового слоя более 10 мм мышечный сигнал может быть существенно замаскирован. Farzam и соавторы [2018] подчёркивают, что простой порог SmO₂ недостаточен для надёжного определения LT: необходимы алгоритмы, </w:t>
        <w:lastRenderedPageBreak/>
        <w:t>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[2021]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позволяет оценить фрактальные свойства RR-ряда через показатель краткосрочного масштабирования DFA-α1, который обладает широким динамическим </w:t>
        <w:lastRenderedPageBreak/>
        <w:t>диапазоном на протяжении всего инкрементального теста [Rogers, Gronwald, 2022].</w:t>
      </w:r>
    </w:p>
    <w:p w14:paraId="3293EC06" w14:textId="77777777" w:rsidR="00300F39" w:rsidRDefault="00300F39" w:rsidP="00300F39">
      <w:pPr>
        <w:ind w:firstLine="708"/>
      </w:pPr>
      <w:r>
        <w:t>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Rogers и Gronwald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[Rogers, Gronwald,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[Rogers, Gronwald, 2022].</w:t>
      </w:r>
    </w:p>
    <w:p w14:paraId="6FD271D3" w14:textId="77777777" w:rsidR="00300F39" w:rsidRDefault="00300F39" w:rsidP="00300F39">
      <w:pPr>
        <w:ind w:firstLine="708"/>
      </w:pPr>
      <w:r>
        <w:t xml:space="preserve">Валидность метода DFA-α1 подтверждена в нескольких независимых исследованиях. Schaffarczyk и Gronwald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w:t>
        <w:lastRenderedPageBreak/>
        <w:t>изученной в контексте DFA-α1. Schaffarczyk и соавторы [Schaffarczyk, Rogers, 2022]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Отдельного внимания заслуживает влияние биологического пола на кинетику DFA-α1 при нагрузке. Schaffarczyk и Gronwald [2022]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[Schaffarczyk, Gronwald,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w:t>
        <w:lastRenderedPageBreak/>
        <w:t>же прирост нагрузки может вызывать существенно разную реакцию DFA-α1 у разных спортсменов, что требует индивидуальной калибровки [Schaffarczyk, Rogers, 2022].</w:t>
      </w:r>
    </w:p>
    <w:p w14:paraId="29C7B3F1" w14:textId="057ADB36" w:rsidR="00300F39" w:rsidRDefault="00300F39" w:rsidP="00300F39">
      <w:pPr>
        <w:ind w:firstLine="708"/>
      </w:pPr>
      <w:r>
        <w:t>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[Tanner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6D4EDB3F"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lastRenderedPageBreak/>
        <w:t>1.5 Кинетика лактата: задержка системного сигнала относительно локального</w:t>
      </w:r>
      <w:bookmarkEnd w:id="9"/>
    </w:p>
    <w:p w14:paraId="34461EBF" w14:textId="662E9265" w:rsidR="00300F39" w:rsidRDefault="00300F39" w:rsidP="00300F39">
      <w:pPr>
        <w:ind w:firstLine="708"/>
      </w:pPr>
      <w:r>
        <w:t>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[1993]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[Bangsbo, Johansen, 1993].</w:t>
      </w:r>
    </w:p>
    <w:p w14:paraId="01164455" w14:textId="3904EB7D" w:rsidR="00300F39" w:rsidRDefault="00300F39" w:rsidP="00300F39">
      <w:pPr>
        <w:ind w:firstLine="708"/>
      </w:pPr>
      <w:r>
        <w:t xml:space="preserve">MacLean и Bangsbo [1999]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[MacLean, Bangsbo, </w:t>
        <w:lastRenderedPageBreak/>
        <w:t>1999].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[2021] и Wackerhage с Gehlert [2022]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[Ji, Sommer,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[2003]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w:t>
        <w:lastRenderedPageBreak/>
        <w:t>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[Brooks, 2023].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6ACBFA67" w14:textId="0A41A7CC" w:rsidR="00300F39" w:rsidRDefault="00300F39" w:rsidP="00300F39">
      <w:pPr>
        <w:ind w:firstLine="708"/>
      </w:pPr>
      <w:r>
        <w:t>Неработающие мышцы вносят существенный вклад в клиренс лактата из системного кровотока. Bangsbo и Aagaard [1995]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[1998]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E5229CB" w14:textId="77777777" w:rsidR="00300F39" w:rsidRDefault="00300F39" w:rsidP="00300F39">
      <w:pPr>
        <w:ind w:firstLine="708"/>
      </w:pPr>
      <w:r>
        <w:t xml:space="preserve">Концепция лактатного шаттла, развитая Brooks [2023],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w:t>
        <w:lastRenderedPageBreak/>
        <w:t xml:space="preserve">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0408CC5C" w14:textId="3A426CD3" w:rsidR="00300F39" w:rsidRDefault="00E62A0E" w:rsidP="00E56E6F">
      <w:pPr>
        <w:pStyle w:val="21"/>
      </w:pPr>
      <w:bookmarkStart w:id="10" w:name="_Toc228326036"/>
      <w:r>
        <w:t>1.6 Машинное обучение и алгоритмы онлайн-детекции аэробно-анаэробного перехода</w:t>
      </w:r>
      <w:bookmarkEnd w:id="10"/>
    </w:p>
    <w:p w14:paraId="6094851D" w14:textId="6B8A4F5F"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lastRenderedPageBreak/>
        <w:t>1.6.1 Классический ML на ручных признаках</w:t>
      </w:r>
      <w:bookmarkEnd w:id="11"/>
    </w:p>
    <w:p w14:paraId="385F3453" w14:textId="6A671DA1" w:rsidR="00300F39" w:rsidRDefault="00300F39" w:rsidP="00300F39">
      <w:pPr>
        <w:ind w:firstLine="708"/>
      </w:pPr>
      <w:r>
        <w:t>Среди существующих ML-подходов к классификации зон интенсивности и предсказанию порогов наиболее системный анализ был проведён Tomaszewski и Majorczyk [2024]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[2025]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[2021]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w:t>
        <w:lastRenderedPageBreak/>
        <w:t>критериями разметки порога по полной лактатной кривой; поэтому сопоставимость с ними не решает задачу детекции по ходу теста.</w:t>
      </w:r>
    </w:p>
    <w:p w14:paraId="0D0B930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[2020]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[Popov, Vinogradova, 2019]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Dmax/mDmax по StO₂ показывает ICC&lt;0,40 при тест-ретесте [Cayot, Robinson, 2021], тогда как полиномиальный метод по O₂Hb/HHb воспроизводим и точен [Lin, Huang, 2020]. Для ЭМГ: V-slope по nHHb–nEMG достигает r=0,89 с LT4 [Popov, Vinogradova, 2019], но не предназначен для онлайн-применения. Для HRV: DFA-α1=0,75 детектирует VT1 с ICC=0,77–0,87 [Schaffarczyk, Gronwald, 2022],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w:t>
        <w:lastRenderedPageBreak/>
        <w:t>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Критический анализ применения ML в спортивной науке, проведённый Rodu и соавторами [Rodu и др., 2024],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1.6.2 ML для временных рядов: LSTM, TCN и вейвлетные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w:t>
        <w:lastRenderedPageBreak/>
        <w:t>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[Zeng и др., 2022]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(feature selection) совместно с RNN-архитектурами, что особенно актуально при ограниченных размерах датасета. – показывает перспективность совместного применения feature selection и RNN-архитектур, что особенно актуально при ограниченных размерах датасета.</w:t>
      </w:r>
    </w:p>
    <w:p w14:paraId="4C54A0A1" w14:textId="2EA04082" w:rsidR="00300F39" w:rsidRDefault="00300F39" w:rsidP="00300F39">
      <w:pPr>
        <w:ind w:firstLine="708"/>
      </w:pPr>
      <w:r>
        <w:lastRenderedPageBreak/>
        <w:t>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[Miura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[Amelard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w:t>
        <w:lastRenderedPageBreak/>
        <w:t>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Классификация интенсивности по предсказанному VO₂ непосредственно параллельна задаче 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[Tsinganos и др., 2020]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w:t>
        <w:lastRenderedPageBreak/>
        <w:t>ручных признаках; Amelard и соавторы [Amelard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baseline-моделей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1.6.3 Обучение при малых датасетах и стратегии валидации</w:t>
      </w:r>
      <w:bookmarkEnd w:id="13"/>
    </w:p>
    <w:p w14:paraId="4A3C2B99"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01615EEF" w14:textId="7C751809"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w:t>
        <w:lastRenderedPageBreak/>
        <w:t>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[Rodu и др., 2024]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w:t>
      </w:r>
    </w:p>
    <w:p w14:paraId="0F839BD8" w14:textId="7273410F"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[Tsinganos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w:t>
        <w:lastRenderedPageBreak/>
        <w:t>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[2024]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[Tomaszewski, Majorczyk, 2024]. Параллельно Zeng и соавторы [Zeng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[Rodu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baseline.</w:t>
      </w:r>
    </w:p>
    <w:p w14:paraId="264D52F0"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7F737C14" w14:textId="5B3F25BD" w:rsidR="00300F39" w:rsidRDefault="00E62A0E" w:rsidP="00E56E6F">
      <w:pPr>
        <w:pStyle w:val="31"/>
      </w:pPr>
      <w:bookmarkStart w:id="14" w:name="_Toc228326040"/>
      <w:r>
        <w:t>1.6.4 Gap: мультимодальные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w:t>
        <w:lastRenderedPageBreak/>
        <w:t xml:space="preserve">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Kimoto и соавторов [Kimoto и др., 2023],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1.7 Физиологические особенности триатлонистов при велоэргометрическом тестировании</w:t>
      </w:r>
      <w:bookmarkEnd w:id="15"/>
    </w:p>
    <w:p w14:paraId="6D3736DD"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 xml:space="preserve">Согласно доменным характеристикам популяции данного исследования, для любителей-триатлонистов типичны значения VT1 в диапазоне 150–220 Вт 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[2025] на базе репрезентативного немецкого исследования DEGS1, подтверждают выраженную зависимость порога от тренировочного статуса и пола. </w:t>
        <w:lastRenderedPageBreak/>
        <w:t>Метаболическая модель Fischer и Hävecker [2025]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лактатный порог в сторону завышения [Kominami, Nishijima, 2015]. В протоколе данной диссертации используются ступени +30 Вт / 3 мин, начиная с 60 Вт, с забором лактата за 15 секунд до начала каждой новой ступени. Schaffarczyk и Rogers [2022] применяли эквивалентный протокол для DFA-α1 в популяции триатлонистов, что делает данные работы непосредственно применимыми к нашей выборке.</w:t>
      </w:r>
    </w:p>
    <w:p w14:paraId="20DF9375"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w:t>
        <w:lastRenderedPageBreak/>
        <w:t>ЭМГ, NIRS и RR применялась бы для изучения неинвазивных маркеров порога именно у триатлонистов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[Tanner и др., 2024], что делает их одним из наиболее обоснованных неинвазивных суррогатов лактатных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[Kimoto и др., 2023].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w:t>
        <w:lastRenderedPageBreak/>
        <w:t>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[Tsinganos и др., 2020] и LOSO-валидации систематически не применялись в задаче детекции порогов.</w:t>
      </w:r>
    </w:p>
    <w:p w14:paraId="70C2AFDD" w14:textId="500AA406"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вероятностей P(LT1) и P(LT2) в режиме реального времени. Верификация проводится на выборке из 19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1EC7C1CB" w14:textId="428ABF1B" w:rsidR="00DF758A" w:rsidRDefault="00887DF9" w:rsidP="007A32C5">
      <w:pPr>
        <w:widowControl w:val="0"/>
        <w:spacing w:after="0"/>
        <w:ind w:firstLine="709"/>
      </w:pPr>
      <w:r>
        <w:t>В исследование включены 19 испытуемых с различным уровнем физической подготовки. Критерии включения: регулярные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предварительно ознакомились с протоколом исследования и подписали форму добровольного информированного согласия. Антропометрические характеристики выборки (возраст, пол, масса тела, рост) фиксировались в метаданных файла записи.</w:t>
      </w: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7AB6C31D" w:rsidR="00887DF9" w:rsidRDefault="00887DF9" w:rsidP="00887DF9">
      <w:pPr>
        <w:widowControl w:val="0"/>
        <w:spacing w:after="0"/>
        <w:ind w:firstLine="709"/>
      </w:pPr>
      <w:r>
        <w:t>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Критерием остановки служила невозможность поддерживать каденс в пределах 80-90 об/мин. После отказа следовал период восстановления 2–4 мин при половине от максимальной мощности,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w:t>
        <w:lastRenderedPageBreak/>
        <w:t>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6ABD1634" w:rsidR="00887DF9" w:rsidRDefault="00BD5D7E" w:rsidP="007A32C5">
      <w:pPr>
        <w:widowControl w:val="0"/>
        <w:spacing w:after="0"/>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Avant</w:t>
      </w:r>
      <w:r>
        <w:rPr>
          <w:lang w:val="en-US"/>
        </w:rPr>
        <w:t>i</w:t>
      </w:r>
      <w:r>
        <w:t>.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Перед установкой кожа обрабатывалась абразивной пастой и спиртом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15CA6B19" w:rsidR="00887DF9" w:rsidRDefault="00BD5D7E" w:rsidP="00887DF9">
      <w:pPr>
        <w:widowControl w:val="0"/>
        <w:spacing w:after="0"/>
        <w:ind w:firstLine="709"/>
      </w:pPr>
      <w:r>
        <w:t xml:space="preserve">Мышечная оксигенация регистрировалась датчиком Moxy Monitor,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адгезивного крепления поверх компрессионного рукава, исключающего смещение при педалировании. Устройство передавало данные по протоколу ANT+ с </w:t>
        <w:lastRenderedPageBreak/>
        <w:t>частотой 3–4 Гц. Регистрируемые переменные: насыщение мышечного гемоглобина кислородом (SmO₂, %) и суммарная концентрация гемоглобина (THb, г/дл). Временные метки каждого пакета соответствовали времени его прихода на шину по внутренним часам системы; пропущенные пакеты не интерполировались на этапе сбора и фиксировались как отсутствие точки в временном ряду.</w:t>
      </w:r>
    </w:p>
    <w:p w14:paraId="45A3D348" w14:textId="3571234C" w:rsidR="00BD5D7E" w:rsidRDefault="00BD5D7E" w:rsidP="00BD5D7E">
      <w:pPr>
        <w:pStyle w:val="31"/>
      </w:pPr>
      <w:bookmarkStart w:id="23" w:name="_Toc228326049"/>
      <w:r>
        <w:t>2.3.3 Сердечный ритм</w:t>
      </w:r>
      <w:bookmarkEnd w:id="23"/>
    </w:p>
    <w:p w14:paraId="5C33ADEA" w14:textId="7B204238" w:rsidR="00BD5D7E" w:rsidRDefault="00BD5D7E" w:rsidP="00887DF9">
      <w:pPr>
        <w:widowControl w:val="0"/>
        <w:spacing w:after="0"/>
        <w:ind w:firstLine="709"/>
      </w:pPr>
      <w:r>
        <w:t>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0390BCBC" w14:textId="77777777" w:rsidR="00BD5D7E" w:rsidRDefault="00BD5D7E" w:rsidP="00887DF9">
      <w:pPr>
        <w:widowControl w:val="0"/>
        <w:spacing w:after="0"/>
        <w:ind w:firstLine="709"/>
      </w:pPr>
    </w:p>
    <w:p w14:paraId="525027A2" w14:textId="206B0AD1" w:rsidR="00887DF9" w:rsidRDefault="00887DF9" w:rsidP="00887DF9">
      <w:pPr>
        <w:pStyle w:val="21"/>
      </w:pPr>
      <w:bookmarkStart w:id="24" w:name="_Toc228326050"/>
      <w:r>
        <w:t>2.4 Система синхронного сбора данных Sensync</w:t>
      </w:r>
      <w:bookmarkEnd w:id="24"/>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Python с управляющим циклом трёх фаз (сбор с </w:t>
        <w:lastRenderedPageBreak/>
        <w:t>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00F64176" w14:textId="3DFD9FB6" w:rsidR="0006323E" w:rsidRDefault="0006323E" w:rsidP="0006323E">
      <w:pPr>
        <w:pStyle w:val="31"/>
      </w:pPr>
      <w:bookmarkStart w:id="26" w:name="_Toc228326052"/>
      <w:r>
        <w:t>2.4.2 Реализация</w:t>
      </w:r>
      <w:bookmarkEnd w:id="26"/>
    </w:p>
    <w:p w14:paraId="16A4D7D1" w14:textId="73CD88B0" w:rsidR="0006323E" w:rsidRDefault="0006323E" w:rsidP="0006323E">
      <w:pPr>
        <w:widowControl w:val="0"/>
        <w:spacing w:after="0"/>
        <w:ind w:firstLine="709"/>
      </w:pPr>
      <w:r>
        <w:t>Sensync реализована как модульное десктопное приложение на платформе Electron (Node.js, TypeScript, React 19).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CF82D5D" w14:textId="70FACF2C" w:rsidR="0006323E" w:rsidRDefault="0006323E" w:rsidP="0006323E">
      <w:pPr>
        <w:widowControl w:val="0"/>
        <w:spacing w:after="0"/>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67F12AB7" w14:textId="60EABD06" w:rsidR="0006323E" w:rsidRDefault="0006323E" w:rsidP="0006323E">
      <w:pPr>
        <w:widowControl w:val="0"/>
        <w:spacing w:after="0"/>
        <w:ind w:firstLine="709"/>
      </w:pPr>
      <w:r>
        <w:t xml:space="preserve">Данные всех каналов записываются в единый файл формата HDF5 (Hierarchical Data Format version 5): каждый источник формирует отдельный набор данных (dataset) в иерархической структуре файла и буферизирует </w:t>
        <w:lastRenderedPageBreak/>
        <w:t>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(возраст, пол, масса тела, рост, время начала протокола) непосредственно в том же файле. Данные лактата вносятся в тот же файл отдельным каналом по завершении теста.</w:t>
      </w:r>
    </w:p>
    <w:p w14:paraId="023A0E1C" w14:textId="4F4650FF" w:rsidR="0006323E" w:rsidRDefault="0006323E" w:rsidP="0006323E">
      <w:pPr>
        <w:widowControl w:val="0"/>
        <w:spacing w:after="0"/>
        <w:ind w:firstLine="709"/>
      </w:pPr>
      <w:r>
        <w:t>Для верификации целостности потоков все пакеты (кроме Delsys) снабжаются порядковыми номерами; система отслеживает разрывы последовательности и применяет канал-специфичные стратегии восстановления временной оси, описанные в разделе 2.3.</w:t>
      </w:r>
    </w:p>
    <w:p w14:paraId="083BEB2B" w14:textId="7D1900E8" w:rsidR="0006323E" w:rsidRDefault="0006323E" w:rsidP="0006323E">
      <w:pPr>
        <w:pStyle w:val="31"/>
      </w:pPr>
      <w:bookmarkStart w:id="27" w:name="_Toc228326053"/>
      <w:r>
        <w:t>2.4.3 Технологический стек</w:t>
      </w:r>
      <w:bookmarkEnd w:id="27"/>
    </w:p>
    <w:tbl>
      <w:tblPr>
        <w:tblW w:w="93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31"/>
        <w:gridCol w:w="4708"/>
      </w:tblGrid>
      <w:tr w:rsidR="00092273" w:rsidRPr="00C522F1" w14:paraId="5D0BFBC0" w14:textId="77777777" w:rsidTr="00092273">
        <w:trPr>
          <w:trHeight w:val="313"/>
          <w:tblHeader/>
          <w:tblCellSpacing w:w="15" w:type="dxa"/>
        </w:trPr>
        <w:tc>
          <w:tcPr>
            <w:tcW w:w="0" w:type="auto"/>
            <w:vAlign w:val="center"/>
            <w:hideMark/>
          </w:tcPr>
          <w:p w14:paraId="3353110A" w14:textId="77777777" w:rsidR="00C522F1" w:rsidRPr="00092273" w:rsidRDefault="00C522F1" w:rsidP="00092273">
            <w:pPr>
              <w:pStyle w:val="aa"/>
              <w:jc w:val="center"/>
              <w:rPr>
                <w:b/>
                <w:bCs/>
              </w:rPr>
            </w:pPr>
            <w:r>
              <w:rPr>
                <w:b/>
                <w:bCs/>
              </w:rPr>
              <w:t>Компонент</w:t>
            </w:r>
          </w:p>
        </w:tc>
        <w:tc>
          <w:tcPr>
            <w:tcW w:w="0" w:type="auto"/>
            <w:vAlign w:val="center"/>
            <w:hideMark/>
          </w:tcPr>
          <w:p w14:paraId="14C17757" w14:textId="77777777" w:rsidR="00C522F1" w:rsidRPr="00092273" w:rsidRDefault="00C522F1" w:rsidP="00092273">
            <w:pPr>
              <w:pStyle w:val="aa"/>
              <w:jc w:val="center"/>
              <w:rPr>
                <w:b/>
                <w:bCs/>
              </w:rPr>
            </w:pPr>
            <w:r>
              <w:rPr>
                <w:b/>
                <w:bCs/>
              </w:rPr>
              <w:t>Технология</w:t>
            </w:r>
          </w:p>
        </w:tc>
      </w:tr>
      <w:tr w:rsidR="00092273" w:rsidRPr="00C522F1" w14:paraId="1823D5F3" w14:textId="77777777" w:rsidTr="00092273">
        <w:trPr>
          <w:trHeight w:val="313"/>
          <w:tblCellSpacing w:w="15" w:type="dxa"/>
        </w:trPr>
        <w:tc>
          <w:tcPr>
            <w:tcW w:w="0" w:type="auto"/>
            <w:vAlign w:val="center"/>
            <w:hideMark/>
          </w:tcPr>
          <w:p w14:paraId="2FC5E8F7" w14:textId="77777777" w:rsidR="00C522F1" w:rsidRPr="00C522F1" w:rsidRDefault="00C522F1" w:rsidP="00092273">
            <w:pPr>
              <w:pStyle w:val="aa"/>
            </w:pPr>
            <w:r>
              <w:t>Платформа</w:t>
            </w:r>
          </w:p>
        </w:tc>
        <w:tc>
          <w:tcPr>
            <w:tcW w:w="0" w:type="auto"/>
            <w:vAlign w:val="center"/>
            <w:hideMark/>
          </w:tcPr>
          <w:p w14:paraId="56871B01" w14:textId="77777777" w:rsidR="00C522F1" w:rsidRPr="00C522F1" w:rsidRDefault="00C522F1" w:rsidP="00092273">
            <w:pPr>
              <w:pStyle w:val="aa"/>
            </w:pPr>
            <w:r>
              <w:t>Electron (Node.js 20, TypeScript)</w:t>
            </w:r>
          </w:p>
        </w:tc>
      </w:tr>
      <w:tr w:rsidR="00092273" w:rsidRPr="00C522F1" w14:paraId="297119DE" w14:textId="77777777" w:rsidTr="00092273">
        <w:trPr>
          <w:trHeight w:val="334"/>
          <w:tblCellSpacing w:w="15" w:type="dxa"/>
        </w:trPr>
        <w:tc>
          <w:tcPr>
            <w:tcW w:w="0" w:type="auto"/>
            <w:vAlign w:val="center"/>
            <w:hideMark/>
          </w:tcPr>
          <w:p w14:paraId="31D383ED" w14:textId="77777777" w:rsidR="00C522F1" w:rsidRPr="00C522F1" w:rsidRDefault="00C522F1" w:rsidP="00092273">
            <w:pPr>
              <w:pStyle w:val="aa"/>
            </w:pPr>
            <w:r>
              <w:t>Пользовательский интерфейс</w:t>
            </w:r>
          </w:p>
        </w:tc>
        <w:tc>
          <w:tcPr>
            <w:tcW w:w="0" w:type="auto"/>
            <w:vAlign w:val="center"/>
            <w:hideMark/>
          </w:tcPr>
          <w:p w14:paraId="1A78DADD" w14:textId="77777777" w:rsidR="00C522F1" w:rsidRPr="00C522F1" w:rsidRDefault="00C522F1" w:rsidP="00092273">
            <w:pPr>
              <w:pStyle w:val="aa"/>
            </w:pPr>
            <w:r>
              <w:t>React 19, ECharts</w:t>
            </w:r>
          </w:p>
        </w:tc>
      </w:tr>
      <w:tr w:rsidR="00092273" w:rsidRPr="00C522F1" w14:paraId="7AFC1239" w14:textId="77777777" w:rsidTr="00092273">
        <w:trPr>
          <w:trHeight w:val="313"/>
          <w:tblCellSpacing w:w="15" w:type="dxa"/>
        </w:trPr>
        <w:tc>
          <w:tcPr>
            <w:tcW w:w="0" w:type="auto"/>
            <w:vAlign w:val="center"/>
            <w:hideMark/>
          </w:tcPr>
          <w:p w14:paraId="72FA1B5C" w14:textId="77777777" w:rsidR="00C522F1" w:rsidRPr="00C522F1" w:rsidRDefault="00C522F1" w:rsidP="00092273">
            <w:pPr>
              <w:pStyle w:val="aa"/>
            </w:pPr>
            <w:r>
              <w:t>Многопоточность</w:t>
            </w:r>
          </w:p>
        </w:tc>
        <w:tc>
          <w:tcPr>
            <w:tcW w:w="0" w:type="auto"/>
            <w:vAlign w:val="center"/>
            <w:hideMark/>
          </w:tcPr>
          <w:p w14:paraId="7FF87DB9" w14:textId="77777777" w:rsidR="00C522F1" w:rsidRPr="00C522F1" w:rsidRDefault="00C522F1" w:rsidP="00092273">
            <w:pPr>
              <w:pStyle w:val="aa"/>
            </w:pPr>
            <w:r>
              <w:t>worker_threads (Node.js)</w:t>
            </w:r>
          </w:p>
        </w:tc>
      </w:tr>
      <w:tr w:rsidR="00092273" w:rsidRPr="00C522F1" w14:paraId="266C8D9E" w14:textId="77777777" w:rsidTr="00092273">
        <w:trPr>
          <w:trHeight w:val="334"/>
          <w:tblCellSpacing w:w="15" w:type="dxa"/>
        </w:trPr>
        <w:tc>
          <w:tcPr>
            <w:tcW w:w="0" w:type="auto"/>
            <w:vAlign w:val="center"/>
            <w:hideMark/>
          </w:tcPr>
          <w:p w14:paraId="335403D4" w14:textId="77777777" w:rsidR="00C522F1" w:rsidRPr="00C522F1" w:rsidRDefault="00C522F1" w:rsidP="00092273">
            <w:pPr>
              <w:pStyle w:val="aa"/>
            </w:pPr>
            <w:r>
              <w:t>Формат хранения данных</w:t>
            </w:r>
          </w:p>
        </w:tc>
        <w:tc>
          <w:tcPr>
            <w:tcW w:w="0" w:type="auto"/>
            <w:vAlign w:val="center"/>
            <w:hideMark/>
          </w:tcPr>
          <w:p w14:paraId="39239DE1" w14:textId="77777777" w:rsidR="00C522F1" w:rsidRPr="00C522F1" w:rsidRDefault="00C522F1" w:rsidP="00092273">
            <w:pPr>
              <w:pStyle w:val="aa"/>
            </w:pPr>
            <w:r>
              <w:t>HDF5 (библиотека h5wasm)</w:t>
            </w:r>
          </w:p>
        </w:tc>
      </w:tr>
      <w:tr w:rsidR="00092273" w:rsidRPr="00FD1F6C" w14:paraId="0C79AD6A" w14:textId="77777777" w:rsidTr="00092273">
        <w:trPr>
          <w:trHeight w:val="334"/>
          <w:tblCellSpacing w:w="15" w:type="dxa"/>
        </w:trPr>
        <w:tc>
          <w:tcPr>
            <w:tcW w:w="0" w:type="auto"/>
            <w:vAlign w:val="center"/>
            <w:hideMark/>
          </w:tcPr>
          <w:p w14:paraId="2D81A7D0" w14:textId="77777777" w:rsidR="00C522F1" w:rsidRPr="00C522F1" w:rsidRDefault="00C522F1" w:rsidP="00092273">
            <w:pPr>
              <w:pStyle w:val="aa"/>
            </w:pPr>
            <w:r>
              <w:t>Подключение Delsys Trigno</w:t>
            </w:r>
          </w:p>
        </w:tc>
        <w:tc>
          <w:tcPr>
            <w:tcW w:w="0" w:type="auto"/>
            <w:vAlign w:val="center"/>
            <w:hideMark/>
          </w:tcPr>
          <w:p w14:paraId="620F9FFE" w14:textId="77777777" w:rsidR="00C522F1" w:rsidRPr="00C522F1" w:rsidRDefault="00C522F1" w:rsidP="00092273">
            <w:pPr>
              <w:pStyle w:val="aa"/>
            </w:pPr>
            <w:r>
              <w:t>TCP-сокет к Trigno Control Utility</w:t>
            </w:r>
          </w:p>
        </w:tc>
      </w:tr>
      <w:tr w:rsidR="00092273" w:rsidRPr="00C522F1" w14:paraId="3BE485FA" w14:textId="77777777" w:rsidTr="00092273">
        <w:trPr>
          <w:trHeight w:val="313"/>
          <w:tblCellSpacing w:w="15" w:type="dxa"/>
        </w:trPr>
        <w:tc>
          <w:tcPr>
            <w:tcW w:w="0" w:type="auto"/>
            <w:vAlign w:val="center"/>
            <w:hideMark/>
          </w:tcPr>
          <w:p w14:paraId="32FE82B1" w14:textId="77777777" w:rsidR="00C522F1" w:rsidRPr="00C522F1" w:rsidRDefault="00C522F1" w:rsidP="00092273">
            <w:pPr>
              <w:pStyle w:val="aa"/>
            </w:pPr>
            <w:r>
              <w:t>Подключение Moxy Monitor</w:t>
            </w:r>
          </w:p>
        </w:tc>
        <w:tc>
          <w:tcPr>
            <w:tcW w:w="0" w:type="auto"/>
            <w:vAlign w:val="center"/>
            <w:hideMark/>
          </w:tcPr>
          <w:p w14:paraId="68E88934" w14:textId="77777777" w:rsidR="00C522F1" w:rsidRPr="00C522F1" w:rsidRDefault="00C522F1" w:rsidP="00092273">
            <w:pPr>
              <w:pStyle w:val="aa"/>
            </w:pPr>
            <w:r>
              <w:t>ANT+ (библиотека ant-plus)</w:t>
            </w:r>
          </w:p>
        </w:tc>
      </w:tr>
      <w:tr w:rsidR="00092273" w:rsidRPr="00C522F1" w14:paraId="38C080B2" w14:textId="77777777" w:rsidTr="00092273">
        <w:trPr>
          <w:trHeight w:val="334"/>
          <w:tblCellSpacing w:w="15" w:type="dxa"/>
        </w:trPr>
        <w:tc>
          <w:tcPr>
            <w:tcW w:w="0" w:type="auto"/>
            <w:vAlign w:val="center"/>
            <w:hideMark/>
          </w:tcPr>
          <w:p w14:paraId="48F4ABD9" w14:textId="77777777" w:rsidR="00C522F1" w:rsidRPr="00C522F1" w:rsidRDefault="00C522F1" w:rsidP="00092273">
            <w:pPr>
              <w:pStyle w:val="aa"/>
            </w:pPr>
            <w:r>
              <w:t>Подключение Zephyr BioHarness</w:t>
            </w:r>
          </w:p>
        </w:tc>
        <w:tc>
          <w:tcPr>
            <w:tcW w:w="0" w:type="auto"/>
            <w:vAlign w:val="center"/>
            <w:hideMark/>
          </w:tcPr>
          <w:p w14:paraId="6D71907A" w14:textId="77777777" w:rsidR="00C522F1" w:rsidRPr="00C522F1" w:rsidRDefault="00C522F1" w:rsidP="00092273">
            <w:pPr>
              <w:pStyle w:val="aa"/>
            </w:pPr>
            <w:r>
              <w:t>BLE (библиотека @abandonware/noble)</w:t>
            </w:r>
          </w:p>
        </w:tc>
      </w:tr>
      <w:tr w:rsidR="00092273" w:rsidRPr="00C522F1" w14:paraId="3D05AFA1" w14:textId="77777777" w:rsidTr="00092273">
        <w:trPr>
          <w:trHeight w:val="313"/>
          <w:tblCellSpacing w:w="15" w:type="dxa"/>
        </w:trPr>
        <w:tc>
          <w:tcPr>
            <w:tcW w:w="0" w:type="auto"/>
            <w:vAlign w:val="center"/>
            <w:hideMark/>
          </w:tcPr>
          <w:p w14:paraId="4C16078D" w14:textId="77777777" w:rsidR="00C522F1" w:rsidRPr="00C522F1" w:rsidRDefault="00C522F1" w:rsidP="00092273">
            <w:pPr>
              <w:pStyle w:val="aa"/>
            </w:pPr>
            <w:r>
              <w:t>Обмен с вычислительными воркерами</w:t>
            </w:r>
          </w:p>
        </w:tc>
        <w:tc>
          <w:tcPr>
            <w:tcW w:w="0" w:type="auto"/>
            <w:vAlign w:val="center"/>
            <w:hideMark/>
          </w:tcPr>
          <w:p w14:paraId="042C92BB" w14:textId="77777777" w:rsidR="00C522F1" w:rsidRPr="00C522F1" w:rsidRDefault="00C522F1" w:rsidP="00092273">
            <w:pPr>
              <w:pStyle w:val="aa"/>
            </w:pPr>
            <w:r>
              <w:t>Protocol Buffers</w:t>
            </w:r>
          </w:p>
        </w:tc>
      </w:tr>
      <w:tr w:rsidR="00092273" w:rsidRPr="00C522F1" w14:paraId="1CCC5F20" w14:textId="77777777" w:rsidTr="00092273">
        <w:trPr>
          <w:trHeight w:val="313"/>
          <w:tblCellSpacing w:w="15" w:type="dxa"/>
        </w:trPr>
        <w:tc>
          <w:tcPr>
            <w:tcW w:w="0" w:type="auto"/>
            <w:vAlign w:val="center"/>
            <w:hideMark/>
          </w:tcPr>
          <w:p w14:paraId="1E2F86F6" w14:textId="77777777" w:rsidR="00C522F1" w:rsidRPr="00C522F1" w:rsidRDefault="00C522F1" w:rsidP="00092273">
            <w:pPr>
              <w:pStyle w:val="aa"/>
            </w:pPr>
            <w:r>
              <w:t>Вычислительные алгоритмы (ЭМГ)</w:t>
            </w:r>
          </w:p>
        </w:tc>
        <w:tc>
          <w:tcPr>
            <w:tcW w:w="0" w:type="auto"/>
            <w:vAlign w:val="center"/>
            <w:hideMark/>
          </w:tcPr>
          <w:p w14:paraId="20594C2F" w14:textId="77777777" w:rsidR="00C522F1" w:rsidRPr="00C522F1" w:rsidRDefault="00C522F1" w:rsidP="00092273">
            <w:pPr>
              <w:pStyle w:val="aa"/>
            </w:pPr>
            <w:r>
              <w:t>Python compute-worker</w:t>
            </w:r>
          </w:p>
        </w:tc>
      </w:tr>
    </w:tbl>
    <w:p w14:paraId="7DB988ED" w14:textId="77777777" w:rsidR="0006323E" w:rsidRDefault="0006323E" w:rsidP="0006323E">
      <w:pPr>
        <w:widowControl w:val="0"/>
        <w:spacing w:after="0"/>
        <w:ind w:firstLine="709"/>
      </w:pPr>
    </w:p>
    <w:p w14:paraId="116D53FD" w14:textId="63D2A144" w:rsidR="00887DF9" w:rsidRDefault="00C522F1" w:rsidP="00887DF9">
      <w:pPr>
        <w:pStyle w:val="21"/>
      </w:pPr>
      <w:bookmarkStart w:id="28" w:name="_Toc228326054"/>
      <w:r>
        <w:t>2.5 Предобработка сигналов</w:t>
      </w:r>
      <w:bookmarkEnd w:id="28"/>
    </w:p>
    <w:p w14:paraId="16D110CC" w14:textId="375A3885" w:rsidR="00C522F1" w:rsidRDefault="00C522F1" w:rsidP="00C522F1">
      <w:pPr>
        <w:pStyle w:val="31"/>
      </w:pPr>
      <w:bookmarkStart w:id="29" w:name="_Toc228326055"/>
      <w:r>
        <w:t>2.5.1 Электромиография</w:t>
      </w:r>
      <w:bookmarkEnd w:id="29"/>
    </w:p>
    <w:p w14:paraId="4E4169D9" w14:textId="70F5323C" w:rsidR="003D629E" w:rsidRDefault="003D629E" w:rsidP="003D629E">
      <w:pPr>
        <w:widowControl w:val="0"/>
        <w:spacing w:after="0"/>
        <w:ind w:firstLine="709"/>
      </w:pPr>
      <w:r>
        <w:t>Сырой ЭМГ-сигнал (1926 Гц) подвергался следующей предобработке. 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90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педалирования выполнялось на основе гироскопических данных (148 Гц): load-фаза (~0°–180° цикла)</w:t>
        <w:lastRenderedPageBreak/>
        <w:t xml:space="preserve"> и rest-фаза (~180°–360°) определялись по пиковой угловой скорости гироскопа с использованием алгоритма детекции пиков.</w:t>
      </w:r>
    </w:p>
    <w:p w14:paraId="26C3EEC4" w14:textId="58E6D353" w:rsidR="00C522F1" w:rsidRDefault="00C522F1" w:rsidP="00C522F1">
      <w:pPr>
        <w:pStyle w:val="31"/>
      </w:pPr>
      <w:bookmarkStart w:id="30" w:name="_Toc228326056"/>
      <w:r>
        <w:t>2.5.2 Мышечная оксигенация</w:t>
      </w:r>
      <w:bookmarkEnd w:id="30"/>
    </w:p>
    <w:p w14:paraId="2A45ED9F" w14:textId="640D7E54" w:rsidR="00092273" w:rsidRDefault="00092273" w:rsidP="00092273">
      <w:r>
        <w:t>Сигналы SmO₂ и THb (3–4 Гц) сглаживались скользящим средним в окне 10 сек для подавления артефактов движения. Производная скорости десатурации ΔSmO₂/Δt вычислялась как разность соседних значений SmO₂, делённая на соответствующий временной интервал. Пропущенные точки (единичные выпавшие ANT+-пакеты) не интерполировались; признаки на соответствующих сегментах помечались как невалидные.</w:t>
      </w:r>
    </w:p>
    <w:p w14:paraId="6CB3889F" w14:textId="058CF6F0" w:rsidR="00092273" w:rsidRDefault="00092273" w:rsidP="00092273">
      <w:pPr>
        <w:pStyle w:val="31"/>
      </w:pPr>
      <w:bookmarkStart w:id="31" w:name="_Toc228326057"/>
      <w:r>
        <w:t>2.5.2 RR-интервалы и HRV</w:t>
      </w:r>
      <w:bookmarkEnd w:id="31"/>
    </w:p>
    <w:p w14:paraId="4B94E043" w14:textId="01AE854B" w:rsidR="00092273" w:rsidRDefault="005E1B64" w:rsidP="00092273">
      <w:r>
        <w:t>Перед вычислением HRV-признаков выполнялась детекция артефактов RR: интервалы, отклоняющиеся более чем на 20%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RMSSD. Показатель DFA-α1 вычислялся в скользящем окне 4–16 кардиоциклов по методу детрендированного флуктуационного анализа.</w:t>
      </w:r>
    </w:p>
    <w:p w14:paraId="70B65FD5" w14:textId="3BBDC119" w:rsidR="005E1B64" w:rsidRDefault="005E1B64" w:rsidP="005E1B64">
      <w:pPr>
        <w:pStyle w:val="21"/>
      </w:pPr>
      <w:bookmarkStart w:id="32" w:name="_Toc228326058"/>
      <w:r>
        <w:t>2.6 Определение лактатных порогов (ground truth)</w:t>
      </w:r>
      <w:bookmarkEnd w:id="32"/>
    </w:p>
    <w:p w14:paraId="61097307" w14:textId="77777777" w:rsidR="000D7F4C" w:rsidRDefault="000D7F4C" w:rsidP="000D7F4C">
      <w:r>
        <w:t>Лактатный порог LT1 определялся как первый достоверный рост концентрации лактата относительно базального уровня покоя (прирост ≥ 0,5 ммоль/л). Лактатный порог LT2 определялся методом ModDmax: из точки первого достоверного роста лактата (LT1) проводилась прямая до последней точки кривой лактат–мощность; LT2 соответствует точке максимального перпендикулярного расстояния от этой прямой до кривой. Метод ModDmax выбран как более устойчивый к вариациям исходного уровня лактата по сравнению с классическим методом Dmax.</w:t>
      </w:r>
    </w:p>
    <w:p w14:paraId="271F240A" w14:textId="430EA46C" w:rsidR="005E1B64" w:rsidRDefault="000D7F4C" w:rsidP="00092273">
      <w:r>
        <w:t xml:space="preserve">Разметка временных рядов для обучения модели: тайминг забора лактата (за 15 сек до начала новой ступени) учитывался при присвоении меток – метка порога относилась к началу ступени, на которой концентрация превысила </w:t>
        <w:lastRenderedPageBreak/>
        <w:t>пороговое значение. Ступень 30 Вт (продолжительностью 1 мин) исключалась из обучающей выборки ввиду недостаточной длительности для формирования 30-секундного скользящего окна. Из оставшихся ступеней скользящее окно применялось непрерывно на протяжении всей их длительности, включая переходные участки между ступенями. Такой подход соответствует условиям онлайн-применения модели, при котором предсказание должно быть доступно в любой момент нагрузочного теста, а не только в установившемся режиме.</w:t>
      </w:r>
    </w:p>
    <w:p w14:paraId="0C12EB0F" w14:textId="2B4F4E12" w:rsidR="000D7F4C" w:rsidRDefault="000D7F4C" w:rsidP="000D7F4C">
      <w:pPr>
        <w:pStyle w:val="21"/>
      </w:pPr>
      <w:bookmarkStart w:id="33" w:name="_Toc228326059"/>
      <w:r>
        <w:t>2.7 Признаковое пространство</w:t>
      </w:r>
      <w:bookmarkEnd w:id="33"/>
    </w:p>
    <w:p w14:paraId="09FE3BAF" w14:textId="77777777" w:rsidR="00CE3246" w:rsidRDefault="00CE3246" w:rsidP="00CE3246">
      <w:pPr>
        <w:spacing w:line="259" w:lineRule="auto"/>
        <w:jc w:val="left"/>
      </w:pPr>
      <w:r>
        <w:t>Признаки извлекались в скользящем окне 30 сек с шагом 5 сек. Для каждого окна вычислялся следующий набор признаков.</w:t>
      </w:r>
    </w:p>
    <w:p w14:paraId="79446B68" w14:textId="77777777" w:rsidR="00CE3246" w:rsidRDefault="00CE3246" w:rsidP="00CE3246">
      <w:pPr>
        <w:spacing w:line="259" w:lineRule="auto"/>
        <w:jc w:val="left"/>
      </w:pPr>
      <w:r>
        <w:t>ЭМГ-признаки (раздельно для VL дист и VL прокс, раздельно для load- и rest-фазы):</w:t>
      </w:r>
    </w:p>
    <w:p w14:paraId="3666D675" w14:textId="77777777" w:rsidR="00CE3246" w:rsidRDefault="00CE3246" w:rsidP="00CE3246">
      <w:pPr>
        <w:pStyle w:val="a5"/>
        <w:numPr>
          <w:ilvl w:val="0"/>
          <w:numId w:val="26"/>
        </w:numPr>
        <w:spacing w:line="259" w:lineRule="auto"/>
        <w:jc w:val="left"/>
      </w:pPr>
      <w:r>
        <w:t>среднеквадратичная амплитуда (RMS);</w:t>
      </w:r>
    </w:p>
    <w:p w14:paraId="5CAD72F8" w14:textId="77777777" w:rsidR="00CE3246" w:rsidRDefault="00CE3246" w:rsidP="00CE3246">
      <w:pPr>
        <w:pStyle w:val="a5"/>
        <w:numPr>
          <w:ilvl w:val="0"/>
          <w:numId w:val="26"/>
        </w:numPr>
        <w:spacing w:line="259" w:lineRule="auto"/>
        <w:jc w:val="left"/>
      </w:pPr>
      <w:r>
        <w:t>медианная частота (MDF) по результатам FFT;</w:t>
      </w:r>
    </w:p>
    <w:p w14:paraId="43935317" w14:textId="77777777" w:rsidR="00CE3246" w:rsidRDefault="00CE3246" w:rsidP="00CE3246">
      <w:pPr>
        <w:pStyle w:val="a5"/>
        <w:numPr>
          <w:ilvl w:val="0"/>
          <w:numId w:val="26"/>
        </w:numPr>
        <w:spacing w:line="259" w:lineRule="auto"/>
        <w:jc w:val="left"/>
      </w:pPr>
      <w:r>
        <w:t>энергия на уровнях вейвлетной декомпозиции DWT (вейвлет Daubechies db4, 6 уровней: d1–d6);</w:t>
      </w:r>
    </w:p>
    <w:p w14:paraId="534A4C8C" w14:textId="2D2D4F37" w:rsidR="00CE3246" w:rsidRDefault="00CE3246" w:rsidP="00CE3246">
      <w:pPr>
        <w:pStyle w:val="a5"/>
        <w:numPr>
          <w:ilvl w:val="0"/>
          <w:numId w:val="26"/>
        </w:numPr>
        <w:spacing w:line="259" w:lineRule="auto"/>
        <w:jc w:val="left"/>
      </w:pPr>
      <w:r>
        <w:t>вейвлет-энтропия (нормированная энтропия Шеннона по распределению энергии уровней).</w:t>
      </w:r>
    </w:p>
    <w:p w14:paraId="6467799D" w14:textId="77777777" w:rsidR="00CE3246" w:rsidRDefault="00CE3246" w:rsidP="00CE3246">
      <w:pPr>
        <w:spacing w:line="259" w:lineRule="auto"/>
        <w:jc w:val="left"/>
      </w:pPr>
      <w:r>
        <w:t>NIRS-признаки:</w:t>
      </w:r>
    </w:p>
    <w:p w14:paraId="2C05C370" w14:textId="77777777" w:rsidR="00CE3246" w:rsidRDefault="00CE3246" w:rsidP="00CE3246">
      <w:pPr>
        <w:pStyle w:val="a5"/>
        <w:numPr>
          <w:ilvl w:val="0"/>
          <w:numId w:val="27"/>
        </w:numPr>
        <w:spacing w:line="259" w:lineRule="auto"/>
        <w:jc w:val="left"/>
      </w:pPr>
      <w:r>
        <w:t>SmO₂ (абсолютное значение, %);</w:t>
      </w:r>
    </w:p>
    <w:p w14:paraId="66BAD6BE" w14:textId="77777777" w:rsidR="00CE3246" w:rsidRDefault="00CE3246" w:rsidP="00CE3246">
      <w:pPr>
        <w:pStyle w:val="a5"/>
        <w:numPr>
          <w:ilvl w:val="0"/>
          <w:numId w:val="27"/>
        </w:numPr>
        <w:spacing w:line="259" w:lineRule="auto"/>
        <w:jc w:val="left"/>
      </w:pPr>
      <w:r>
        <w:t>ΔSmO₂/Δt (скорость изменения);</w:t>
      </w:r>
    </w:p>
    <w:p w14:paraId="7C15D8BC" w14:textId="2EAB9726" w:rsidR="00CE3246" w:rsidRDefault="00CE3246" w:rsidP="00CE3246">
      <w:pPr>
        <w:pStyle w:val="a5"/>
        <w:numPr>
          <w:ilvl w:val="0"/>
          <w:numId w:val="27"/>
        </w:numPr>
        <w:spacing w:line="259" w:lineRule="auto"/>
        <w:jc w:val="left"/>
      </w:pPr>
      <w:r>
        <w:t>THb (суммарный гемоглобин, г/дл).</w:t>
      </w:r>
    </w:p>
    <w:p w14:paraId="6D288BD8" w14:textId="77777777" w:rsidR="00CE3246" w:rsidRDefault="00CE3246" w:rsidP="00CE3246">
      <w:pPr>
        <w:spacing w:line="259" w:lineRule="auto"/>
        <w:jc w:val="left"/>
      </w:pPr>
      <w:r>
        <w:t>HRV-признаки:</w:t>
      </w:r>
    </w:p>
    <w:p w14:paraId="0FC5D1E5" w14:textId="77777777" w:rsidR="00CE3246" w:rsidRDefault="00CE3246" w:rsidP="00CE3246">
      <w:pPr>
        <w:pStyle w:val="a5"/>
        <w:numPr>
          <w:ilvl w:val="0"/>
          <w:numId w:val="28"/>
        </w:numPr>
        <w:spacing w:line="259" w:lineRule="auto"/>
        <w:jc w:val="left"/>
      </w:pPr>
      <w:r>
        <w:t>RMSSD;</w:t>
      </w:r>
    </w:p>
    <w:p w14:paraId="58DC5D18" w14:textId="18811BBE" w:rsidR="00CE3246" w:rsidRDefault="00CE3246" w:rsidP="00CE3246">
      <w:pPr>
        <w:pStyle w:val="a5"/>
        <w:numPr>
          <w:ilvl w:val="0"/>
          <w:numId w:val="28"/>
        </w:numPr>
        <w:spacing w:line="259" w:lineRule="auto"/>
        <w:jc w:val="left"/>
      </w:pPr>
      <w:r>
        <w:t>DFA-α1 (краткосрочный показатель флуктуационного анализа, окно 4–16 кардиоциклов).</w:t>
      </w:r>
    </w:p>
    <w:p w14:paraId="3AB862FB" w14:textId="2C1208FD" w:rsidR="00CE3246" w:rsidRDefault="00CE3246" w:rsidP="00CE3246">
      <w:pPr>
        <w:spacing w:line="259" w:lineRule="auto"/>
        <w:jc w:val="left"/>
      </w:pPr>
      <w:r>
        <w:t>Кинематические признаки (из гироскопа):</w:t>
      </w:r>
    </w:p>
    <w:p w14:paraId="37FE666E" w14:textId="77777777" w:rsidR="00CE3246" w:rsidRDefault="00CE3246" w:rsidP="00CE3246">
      <w:pPr>
        <w:pStyle w:val="a5"/>
        <w:numPr>
          <w:ilvl w:val="0"/>
          <w:numId w:val="29"/>
        </w:numPr>
        <w:spacing w:line="259" w:lineRule="auto"/>
        <w:jc w:val="left"/>
      </w:pPr>
      <w:r>
        <w:t>каденс (об/мин);</w:t>
      </w:r>
    </w:p>
    <w:p w14:paraId="1FB3B3E9" w14:textId="77777777" w:rsidR="00CE3246" w:rsidRDefault="00CE3246" w:rsidP="00CE3246">
      <w:pPr>
        <w:pStyle w:val="a5"/>
        <w:numPr>
          <w:ilvl w:val="0"/>
          <w:numId w:val="29"/>
        </w:numPr>
        <w:spacing w:line="259" w:lineRule="auto"/>
        <w:jc w:val="left"/>
      </w:pPr>
      <w:r>
        <w:t>длительность push-фазы (мс);</w:t>
      </w:r>
    </w:p>
    <w:p w14:paraId="7B132EA6" w14:textId="1B802FBA" w:rsidR="00CE3246" w:rsidRDefault="00CE3246" w:rsidP="00CE3246">
      <w:pPr>
        <w:pStyle w:val="a5"/>
        <w:numPr>
          <w:ilvl w:val="0"/>
          <w:numId w:val="29"/>
        </w:numPr>
        <w:spacing w:line="259" w:lineRule="auto"/>
        <w:jc w:val="left"/>
      </w:pPr>
      <w:r>
        <w:t>коэффициент симметрии фаз.</w:t>
      </w:r>
    </w:p>
    <w:p w14:paraId="0182DC12" w14:textId="77777777" w:rsidR="00CE3246" w:rsidRDefault="00CE3246" w:rsidP="00CE3246">
      <w:pPr>
        <w:spacing w:line="259" w:lineRule="auto"/>
        <w:jc w:val="left"/>
      </w:pPr>
      <w:r>
        <w:t xml:space="preserve">Итоговый вектор признаков для одного окна: ~40 значений. </w:t>
      </w:r>
    </w:p>
    <w:p w14:paraId="1441570A" w14:textId="698F05C2" w:rsidR="00CE3246" w:rsidRDefault="00CE3246" w:rsidP="00CE3246">
      <w:pPr>
        <w:pStyle w:val="21"/>
      </w:pPr>
      <w:bookmarkStart w:id="34" w:name="_Toc228326060"/>
      <w:r>
        <w:lastRenderedPageBreak/>
        <w:t>2.8 Модели машинного обучения</w:t>
      </w:r>
      <w:bookmarkEnd w:id="34"/>
    </w:p>
    <w:p w14:paraId="2EDCDDC3" w14:textId="0C915434" w:rsidR="00CE3246" w:rsidRDefault="00CE3246" w:rsidP="00CE3246">
      <w:pPr>
        <w:pStyle w:val="31"/>
      </w:pPr>
      <w:bookmarkStart w:id="35" w:name="_Toc228326061"/>
      <w:r>
        <w:t>2.8.1 Постановка задачи</w:t>
      </w:r>
      <w:bookmarkEnd w:id="35"/>
    </w:p>
    <w:p w14:paraId="4BADB9D2" w14:textId="0A566433" w:rsidR="00CE3246" w:rsidRDefault="00CE3246" w:rsidP="00CE3246">
      <w:pPr>
        <w:spacing w:line="259" w:lineRule="auto"/>
        <w:jc w:val="left"/>
      </w:pPr>
      <w:r>
        <w:t>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 ступени до LT2, 1 – ступени после LT2; ступени в переходной зоне LT1–LT2 исключались из обучения.</w:t>
      </w:r>
    </w:p>
    <w:p w14:paraId="17F26B22" w14:textId="252AA3AA" w:rsidR="00CE3246" w:rsidRDefault="00CE3246" w:rsidP="00CE3246">
      <w:pPr>
        <w:pStyle w:val="31"/>
      </w:pPr>
      <w:bookmarkStart w:id="36" w:name="_Toc228326062"/>
      <w:r>
        <w:t>2.8.2 Baseline-модель</w:t>
      </w:r>
      <w:bookmarkEnd w:id="36"/>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7" w:name="_Toc228326063"/>
      <w:r>
        <w:t>2.8.3 Расширенная модель</w:t>
      </w:r>
      <w:bookmarkEnd w:id="37"/>
    </w:p>
    <w:p w14:paraId="6FBE463C" w14:textId="6F2472D4" w:rsidR="00CE3246" w:rsidRDefault="0017764E" w:rsidP="00CE3246">
      <w:pPr>
        <w:spacing w:line="259" w:lineRule="auto"/>
        <w:jc w:val="left"/>
      </w:pPr>
      <w:r>
        <w:t>Дописать, после обработки</w:t>
      </w:r>
    </w:p>
    <w:p w14:paraId="265BDE7C" w14:textId="34E915D1" w:rsidR="00CE3246" w:rsidRDefault="00CE3246" w:rsidP="00CE3246">
      <w:pPr>
        <w:pStyle w:val="31"/>
      </w:pPr>
      <w:bookmarkStart w:id="38" w:name="_Toc228326064"/>
      <w:r>
        <w:t>2.8.4 Валидация и метрики</w:t>
      </w:r>
      <w:bookmarkEnd w:id="38"/>
    </w:p>
    <w:p w14:paraId="16F73FEB" w14:textId="3FCC86E7" w:rsidR="00CE3246" w:rsidRDefault="00CE3246" w:rsidP="00CE3246">
      <w:pPr>
        <w:spacing w:line="259" w:lineRule="auto"/>
        <w:jc w:val="left"/>
      </w:pPr>
      <w:r>
        <w:t>Дописать, после обработки</w:t>
      </w:r>
    </w:p>
    <w:p w14:paraId="3918D51C" w14:textId="75CE6DEC" w:rsidR="0017764E" w:rsidRDefault="0017764E" w:rsidP="0017764E">
      <w:pPr>
        <w:pStyle w:val="21"/>
      </w:pPr>
      <w:bookmarkStart w:id="39" w:name="_Toc228326065"/>
      <w:r>
        <w:t>2.9 Статистическая обработка данных</w:t>
      </w:r>
      <w:bookmarkEnd w:id="39"/>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br w:type="page"/>
      </w:r>
    </w:p>
    <w:p w14:paraId="70624283" w14:textId="7D615FC1" w:rsidR="00DF758A" w:rsidRDefault="002246F6" w:rsidP="007A32C5">
      <w:pPr>
        <w:pStyle w:val="1"/>
        <w:keepNext w:val="0"/>
        <w:keepLines w:val="0"/>
        <w:widowControl w:val="0"/>
        <w:spacing w:before="0"/>
      </w:pPr>
      <w:bookmarkStart w:id="40" w:name="_Toc228326066"/>
      <w:r>
        <w:lastRenderedPageBreak/>
        <w:t>3 Результаты и обсуждения</w:t>
      </w:r>
      <w:bookmarkEnd w:id="40"/>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1" w:name="_Toc228326067"/>
      <w:r>
        <w:lastRenderedPageBreak/>
        <w:t>Заключение</w:t>
      </w:r>
      <w:bookmarkEnd w:id="41"/>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2" w:name="_Toc228326068"/>
      <w:r>
        <w:lastRenderedPageBreak/>
        <w:t>Список использованных источников</w:t>
      </w:r>
      <w:bookmarkEnd w:id="42"/>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Pr>
              <w:color w:val="000000"/>
              <w:lang w:val="en-US"/>
            </w:rPr>
            <w:t xml:space="preserve">1. Nagata A., Muro M., Moritani T., Yoshida T.. Anaerobic Threshold Determination by Blood Lactate and Myoelectric Signals // Japanese Journal of Physiology. – 1981. – </w:t>
          </w:r>
          <w:r>
            <w:rPr>
              <w:color w:val="000000"/>
            </w:rPr>
            <w:t>Т</w:t>
          </w:r>
          <w:r>
            <w:rPr>
              <w:color w:val="000000"/>
              <w:lang w:val="en-US"/>
            </w:rPr>
            <w:t xml:space="preserve">. 31. – </w:t>
          </w:r>
          <w:r>
            <w:rPr>
              <w:color w:val="000000"/>
            </w:rPr>
            <w:t>С</w:t>
          </w:r>
          <w:r>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Bangsbo J., Johansen L., Graham T., Saltin B..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Bonen A., McCullagh K.J.A., Putman C.T. </w:t>
          </w:r>
          <w:r>
            <w:rPr>
              <w:color w:val="000000"/>
            </w:rPr>
            <w:t>и</w:t>
          </w:r>
          <w:r>
            <w:rPr>
              <w:color w:val="000000"/>
              <w:lang w:val="en-US"/>
            </w:rPr>
            <w:t xml:space="preserve"> </w:t>
          </w:r>
          <w:r>
            <w:rPr>
              <w:color w:val="000000"/>
            </w:rPr>
            <w:t>др</w:t>
          </w:r>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Bangsbo J., Saltin B.. Muscle interstitial glucose and lactate levels during dynamic exercise in humans determined by microdialysis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 xml:space="preserve">5. van Hall G., Jensen-Urstad M., Rosdahl H. </w:t>
          </w:r>
          <w:r>
            <w:rPr>
              <w:color w:val="000000"/>
            </w:rPr>
            <w:t>и</w:t>
          </w:r>
          <w:r>
            <w:rPr>
              <w:color w:val="000000"/>
              <w:lang w:val="en-US"/>
            </w:rPr>
            <w:t xml:space="preserve"> </w:t>
          </w:r>
          <w:r>
            <w:rPr>
              <w:color w:val="000000"/>
            </w:rPr>
            <w:t>др</w:t>
          </w:r>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r>
            <w:rPr>
              <w:color w:val="000000"/>
            </w:rPr>
            <w:t>др</w:t>
          </w:r>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Messonnier L.A., Emhoff C.-A.W., Fattor J.A. </w:t>
          </w:r>
          <w:r>
            <w:rPr>
              <w:color w:val="000000"/>
            </w:rPr>
            <w:t>и</w:t>
          </w:r>
          <w:r>
            <w:rPr>
              <w:color w:val="000000"/>
              <w:lang w:val="en-US"/>
            </w:rPr>
            <w:t xml:space="preserve"> </w:t>
          </w:r>
          <w:r>
            <w:rPr>
              <w:color w:val="000000"/>
            </w:rPr>
            <w:t>др</w:t>
          </w:r>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Racinais S., Buchheit M., Girard O.. Breakpoints in ventilation, cerebral and muscle oxygenation, and muscle activity during an incremental cycling exercise </w:t>
            <w:lastRenderedPageBreak/>
            <w:t xml:space="preserve">//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t xml:space="preserve">9. Wang G., Zhang Y., Wang Y..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Wachowiak M.P., Gurd B.J..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Kominami K., Nishijima T., Okamoto T. </w:t>
          </w:r>
          <w:r>
            <w:rPr>
              <w:color w:val="000000"/>
            </w:rPr>
            <w:t>и</w:t>
          </w:r>
          <w:r>
            <w:rPr>
              <w:color w:val="000000"/>
              <w:lang w:val="en-US"/>
            </w:rPr>
            <w:t xml:space="preserve"> </w:t>
          </w:r>
          <w:r>
            <w:rPr>
              <w:color w:val="000000"/>
            </w:rPr>
            <w:t>др</w:t>
          </w:r>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C..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Zwaard S., Jaspers R.T., Blokland I.J. </w:t>
          </w:r>
          <w:r>
            <w:rPr>
              <w:color w:val="000000"/>
            </w:rPr>
            <w:t>и</w:t>
          </w:r>
          <w:r>
            <w:rPr>
              <w:color w:val="000000"/>
              <w:lang w:val="en-US"/>
            </w:rPr>
            <w:t xml:space="preserve"> </w:t>
          </w:r>
          <w:r>
            <w:rPr>
              <w:color w:val="000000"/>
            </w:rPr>
            <w:t>др</w:t>
          </w:r>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Coquart J.B., Dufour R., Groslambert A., Mucci P..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Farzam P., Starkweather Z., Cheng X. </w:t>
          </w:r>
          <w:r>
            <w:rPr>
              <w:color w:val="000000"/>
            </w:rPr>
            <w:t>и</w:t>
          </w:r>
          <w:r>
            <w:rPr>
              <w:color w:val="000000"/>
              <w:lang w:val="en-US"/>
            </w:rPr>
            <w:t xml:space="preserve"> </w:t>
          </w:r>
          <w:r>
            <w:rPr>
              <w:color w:val="000000"/>
            </w:rPr>
            <w:t>др</w:t>
          </w:r>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16. Wang L., Liu X.. A Comparative Study of EMG Indices in Muscle Fatigue Evaluation Based on Grey Relational Analysis during All-Out Cycling Exercise // 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Vinogradova O.L..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 Попов Д.В., Кузнецов С.С.. Валидация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Rinnerhofer S., Philipp W., Bauer R..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r>
            <w:rPr>
              <w:color w:val="000000"/>
            </w:rPr>
            <w:t>др</w:t>
          </w:r>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R.. Feasibility of the deep learning method for estimating the ventilatory threshold with electrocardiography data // npj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Tsinganos P., Cornelis B., Cornelis J. </w:t>
          </w:r>
          <w:r>
            <w:rPr>
              <w:color w:val="000000"/>
            </w:rPr>
            <w:t>и</w:t>
          </w:r>
          <w:r>
            <w:rPr>
              <w:color w:val="000000"/>
              <w:lang w:val="en-US"/>
            </w:rPr>
            <w:t xml:space="preserve"> </w:t>
          </w:r>
          <w:r>
            <w:rPr>
              <w:color w:val="000000"/>
            </w:rPr>
            <w:t>др</w:t>
          </w:r>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Amelard R., Sless T.Y., Maki K.A. </w:t>
          </w:r>
          <w:r>
            <w:rPr>
              <w:color w:val="000000"/>
            </w:rPr>
            <w:t>и</w:t>
          </w:r>
          <w:r>
            <w:rPr>
              <w:color w:val="000000"/>
              <w:lang w:val="en-US"/>
            </w:rPr>
            <w:t xml:space="preserve"> </w:t>
          </w:r>
          <w:r>
            <w:rPr>
              <w:color w:val="000000"/>
            </w:rPr>
            <w:t>др</w:t>
          </w:r>
          <w:r>
            <w:rPr>
              <w:color w:val="000000"/>
              <w:lang w:val="en-US"/>
            </w:rPr>
            <w:t xml:space="preserve">.. Temporal convolutional networks predict dynamic oxygen uptake response from wearable sensors across exercise intensity transitions // npj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Cayot T.E., Robinson S.J., Fahs C.A.. Estimating the Lactate Threshold Using Wireless Near-Infrared Spectroscopy and Threshold Detection Algorithms // </w:t>
            <w:lastRenderedPageBreak/>
            <w:t xml:space="preserve">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P.. Comparison and Performance Validation of Calculated and Established Anaerobic Lactate Thresholds in Running // Medicina.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Gronwald T..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Schaffarczyk M., Rogers B., Reer R., Gronwald T..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Schaffarczyk M., Rogers B., Reer R., Gronwald T..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Voet N.B.M., Bleijenberg G., Padberg G.W. </w:t>
          </w:r>
          <w:r>
            <w:rPr>
              <w:color w:val="000000"/>
            </w:rPr>
            <w:t>и</w:t>
          </w:r>
          <w:r>
            <w:rPr>
              <w:color w:val="000000"/>
              <w:lang w:val="en-US"/>
            </w:rPr>
            <w:t xml:space="preserve"> </w:t>
          </w:r>
          <w:r>
            <w:rPr>
              <w:color w:val="000000"/>
            </w:rPr>
            <w:t>др</w:t>
          </w:r>
          <w:r>
            <w:rPr>
              <w:color w:val="000000"/>
              <w:lang w:val="en-US"/>
            </w:rPr>
            <w:t xml:space="preserve">.. Surface Electromyography Thresholds As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Wackerhage H., Gehlert S..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r>
            <w:rPr>
              <w:color w:val="000000"/>
            </w:rPr>
            <w:t>др</w:t>
          </w:r>
          <w:r>
            <w:rPr>
              <w:color w:val="000000"/>
              <w:lang w:val="en-US"/>
            </w:rPr>
            <w:t xml:space="preserve">.. Interpretable recurrent neural network models for dynamic prediction of the extubation failure risk in patients with invasive mechanical ventilation // BioData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G.A.. What the Lactate Shuttle Means for Sports Nutrition // </w:t>
            <w:lastRenderedPageBreak/>
            <w:t xml:space="preserve">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r>
            <w:rPr>
              <w:color w:val="000000"/>
            </w:rPr>
            <w:t>др</w:t>
          </w:r>
          <w:r>
            <w:rPr>
              <w:color w:val="000000"/>
              <w:lang w:val="en-US"/>
            </w:rPr>
            <w:t xml:space="preserve">.. A New Approach to 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M..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Reinpõld K., Rannama I., Port K..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Rodu J., Kaufman S., Peel J.L. </w:t>
          </w:r>
          <w:r>
            <w:rPr>
              <w:color w:val="000000"/>
            </w:rPr>
            <w:t>и</w:t>
          </w:r>
          <w:r>
            <w:rPr>
              <w:color w:val="000000"/>
              <w:lang w:val="en-US"/>
            </w:rPr>
            <w:t xml:space="preserve"> </w:t>
          </w:r>
          <w:r>
            <w:rPr>
              <w:color w:val="000000"/>
            </w:rPr>
            <w:t>др</w:t>
          </w:r>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Oranchuk D.J..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Lukanova-Jakubowska A., Majorczyk 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39. Fiedler J., Woll A..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Pr>
              <w:color w:val="000000"/>
              <w:lang w:val="en-US"/>
            </w:rPr>
            <w:t xml:space="preserve">40. Fischer J., Wolfarth B., Hävecker E.R. </w:t>
          </w:r>
          <w:r>
            <w:rPr>
              <w:color w:val="000000"/>
            </w:rPr>
            <w:t>и</w:t>
          </w:r>
          <w:r>
            <w:rPr>
              <w:color w:val="000000"/>
              <w:lang w:val="en-US"/>
            </w:rPr>
            <w:t xml:space="preserve"> </w:t>
          </w:r>
          <w:r>
            <w:rPr>
              <w:color w:val="000000"/>
            </w:rPr>
            <w:t>др</w:t>
          </w:r>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A221B" w14:textId="77777777" w:rsidR="00A444D4" w:rsidRDefault="00A444D4" w:rsidP="00822088">
      <w:pPr>
        <w:spacing w:after="0" w:line="240" w:lineRule="auto"/>
      </w:pPr>
      <w:r>
        <w:separator/>
      </w:r>
    </w:p>
  </w:endnote>
  <w:endnote w:type="continuationSeparator" w:id="0">
    <w:p w14:paraId="32E83EF0" w14:textId="77777777" w:rsidR="00A444D4" w:rsidRDefault="00A444D4"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33D044" w14:textId="77777777" w:rsidR="00A444D4" w:rsidRDefault="00A444D4" w:rsidP="00822088">
      <w:pPr>
        <w:spacing w:after="0" w:line="240" w:lineRule="auto"/>
      </w:pPr>
      <w:r>
        <w:separator/>
      </w:r>
    </w:p>
  </w:footnote>
  <w:footnote w:type="continuationSeparator" w:id="0">
    <w:p w14:paraId="6B55250B" w14:textId="77777777" w:rsidR="00A444D4" w:rsidRDefault="00A444D4"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629F8"/>
    <w:rsid w:val="0006323E"/>
    <w:rsid w:val="00081748"/>
    <w:rsid w:val="00091F02"/>
    <w:rsid w:val="00092273"/>
    <w:rsid w:val="000C06E0"/>
    <w:rsid w:val="000C631D"/>
    <w:rsid w:val="000C6922"/>
    <w:rsid w:val="000D7F4C"/>
    <w:rsid w:val="00123E88"/>
    <w:rsid w:val="00124BDC"/>
    <w:rsid w:val="001549ED"/>
    <w:rsid w:val="0017764E"/>
    <w:rsid w:val="001B0FFE"/>
    <w:rsid w:val="001B448C"/>
    <w:rsid w:val="00211BD3"/>
    <w:rsid w:val="002246F6"/>
    <w:rsid w:val="00233A13"/>
    <w:rsid w:val="00252A91"/>
    <w:rsid w:val="00295B3B"/>
    <w:rsid w:val="002C0BB8"/>
    <w:rsid w:val="002D62B9"/>
    <w:rsid w:val="00300F39"/>
    <w:rsid w:val="00346A60"/>
    <w:rsid w:val="00355044"/>
    <w:rsid w:val="00361EA1"/>
    <w:rsid w:val="003A15C5"/>
    <w:rsid w:val="003B0492"/>
    <w:rsid w:val="003C6708"/>
    <w:rsid w:val="003D629E"/>
    <w:rsid w:val="00430CCD"/>
    <w:rsid w:val="00462F47"/>
    <w:rsid w:val="00484C57"/>
    <w:rsid w:val="004A25E7"/>
    <w:rsid w:val="005027A8"/>
    <w:rsid w:val="0053606B"/>
    <w:rsid w:val="0056598B"/>
    <w:rsid w:val="0057743E"/>
    <w:rsid w:val="00582AEA"/>
    <w:rsid w:val="005A1FB3"/>
    <w:rsid w:val="005C0FF1"/>
    <w:rsid w:val="005C1D3B"/>
    <w:rsid w:val="005D6727"/>
    <w:rsid w:val="005E1B64"/>
    <w:rsid w:val="006435A5"/>
    <w:rsid w:val="00650E65"/>
    <w:rsid w:val="00665828"/>
    <w:rsid w:val="00673948"/>
    <w:rsid w:val="0068586F"/>
    <w:rsid w:val="00701D1A"/>
    <w:rsid w:val="0072346B"/>
    <w:rsid w:val="00723BA9"/>
    <w:rsid w:val="007315F3"/>
    <w:rsid w:val="00741998"/>
    <w:rsid w:val="00744416"/>
    <w:rsid w:val="00776C02"/>
    <w:rsid w:val="00781762"/>
    <w:rsid w:val="007A32C5"/>
    <w:rsid w:val="007B54B1"/>
    <w:rsid w:val="007F2370"/>
    <w:rsid w:val="008147D4"/>
    <w:rsid w:val="00822088"/>
    <w:rsid w:val="00824CA3"/>
    <w:rsid w:val="00842A2D"/>
    <w:rsid w:val="00862D6E"/>
    <w:rsid w:val="00866F49"/>
    <w:rsid w:val="008805C7"/>
    <w:rsid w:val="00887DF9"/>
    <w:rsid w:val="008920E7"/>
    <w:rsid w:val="00896001"/>
    <w:rsid w:val="008A7A55"/>
    <w:rsid w:val="008B1850"/>
    <w:rsid w:val="008E11AA"/>
    <w:rsid w:val="008E1440"/>
    <w:rsid w:val="008F06E7"/>
    <w:rsid w:val="009225F9"/>
    <w:rsid w:val="00983AF2"/>
    <w:rsid w:val="009A5F2D"/>
    <w:rsid w:val="009D6CDC"/>
    <w:rsid w:val="00A26A2E"/>
    <w:rsid w:val="00A315D2"/>
    <w:rsid w:val="00A334C7"/>
    <w:rsid w:val="00A444D4"/>
    <w:rsid w:val="00A847C0"/>
    <w:rsid w:val="00A86D8E"/>
    <w:rsid w:val="00A942C2"/>
    <w:rsid w:val="00AA58FA"/>
    <w:rsid w:val="00AB114F"/>
    <w:rsid w:val="00AE1645"/>
    <w:rsid w:val="00B078CB"/>
    <w:rsid w:val="00B14401"/>
    <w:rsid w:val="00B170E3"/>
    <w:rsid w:val="00B47002"/>
    <w:rsid w:val="00BD5D7E"/>
    <w:rsid w:val="00BF6A5C"/>
    <w:rsid w:val="00C308C7"/>
    <w:rsid w:val="00C44D81"/>
    <w:rsid w:val="00C46339"/>
    <w:rsid w:val="00C479B0"/>
    <w:rsid w:val="00C522F1"/>
    <w:rsid w:val="00C6137C"/>
    <w:rsid w:val="00C62690"/>
    <w:rsid w:val="00CB52C1"/>
    <w:rsid w:val="00CD1121"/>
    <w:rsid w:val="00CE3246"/>
    <w:rsid w:val="00D04F47"/>
    <w:rsid w:val="00D13FED"/>
    <w:rsid w:val="00D963E3"/>
    <w:rsid w:val="00DB76C8"/>
    <w:rsid w:val="00DF758A"/>
    <w:rsid w:val="00E11230"/>
    <w:rsid w:val="00E14866"/>
    <w:rsid w:val="00E21131"/>
    <w:rsid w:val="00E334F8"/>
    <w:rsid w:val="00E52E35"/>
    <w:rsid w:val="00E56E6F"/>
    <w:rsid w:val="00E62A0E"/>
    <w:rsid w:val="00E82245"/>
    <w:rsid w:val="00EA766C"/>
    <w:rsid w:val="00EB20D9"/>
    <w:rsid w:val="00EB3DB0"/>
    <w:rsid w:val="00EC452F"/>
    <w:rsid w:val="00EE74B5"/>
    <w:rsid w:val="00F2204A"/>
    <w:rsid w:val="00F532A3"/>
    <w:rsid w:val="00F61F0C"/>
    <w:rsid w:val="00F66346"/>
    <w:rsid w:val="00F77B10"/>
    <w:rsid w:val="00F86377"/>
    <w:rsid w:val="00FA31D8"/>
    <w:rsid w:val="00FD1F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F7C40"/>
    <w:rsid w:val="0067232C"/>
    <w:rsid w:val="00683803"/>
    <w:rsid w:val="00692A08"/>
    <w:rsid w:val="006F1611"/>
    <w:rsid w:val="00776D77"/>
    <w:rsid w:val="0093618A"/>
    <w:rsid w:val="00940A13"/>
    <w:rsid w:val="0099256A"/>
    <w:rsid w:val="00B75200"/>
    <w:rsid w:val="00BA287F"/>
    <w:rsid w:val="00C366AC"/>
    <w:rsid w:val="00D4388C"/>
    <w:rsid w:val="00D50C1F"/>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68</Pages>
  <Words>16519</Words>
  <Characters>94163</Characters>
  <Application>Microsoft Office Word</Application>
  <DocSecurity>0</DocSecurity>
  <Lines>784</Lines>
  <Paragraphs>220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7</cp:revision>
  <cp:lastPrinted>2026-04-29T04:12:00Z</cp:lastPrinted>
  <dcterms:created xsi:type="dcterms:W3CDTF">2026-04-29T04:12:00Z</dcterms:created>
  <dcterms:modified xsi:type="dcterms:W3CDTF">2026-05-12T15:01:00Z</dcterms:modified>
</cp:coreProperties>
</file>