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онлайн-классификации зоны интенсивности,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4B4D49B" w14:textId="4D3A4C00"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531199B0" w14:textId="41B00C28"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718194F8" w14:textId="072E0A2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20A34CFC" w14:textId="1C5B4CE5"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а оставленном; обеспечивает оценку обобщаемости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FC109FA" w14:textId="5B7C090E"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АДФ – аденозиндифосфат</w:t>
      </w:r>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(-ая, -ое)</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ЭМГ – электромиография; электромиограмма</w:t>
      </w:r>
    </w:p>
    <w:p w14:paraId="64F69067" w14:textId="710F4B36" w:rsidR="00983AF2" w:rsidRDefault="00983AF2" w:rsidP="00983AF2">
      <w:pPr>
        <w:ind w:firstLine="709"/>
      </w:pPr>
      <w:r>
        <w:t>ANT+ – Adaptive Network Topology – беспроводной протокол передачи данных</w:t>
      </w:r>
    </w:p>
    <w:p w14:paraId="2CDBE9A6" w14:textId="14EEA714" w:rsidR="00983AF2" w:rsidRDefault="00983AF2" w:rsidP="00983AF2">
      <w:pPr>
        <w:ind w:firstLine="709"/>
      </w:pPr>
      <w:r>
        <w:t>ATA – naerobic Threshold – анаэробный порог</w:t>
      </w:r>
    </w:p>
    <w:p w14:paraId="2C4F5596" w14:textId="7DB016CC" w:rsidR="00983AF2" w:rsidRDefault="00983AF2" w:rsidP="00983AF2">
      <w:pPr>
        <w:ind w:firstLine="709"/>
      </w:pPr>
      <w:r>
        <w:lastRenderedPageBreak/>
        <w:t>ATT – Adipose Tissue Thickness – толщина подкожной жировой клетчатки</w:t>
      </w:r>
    </w:p>
    <w:p w14:paraId="786BDB1A" w14:textId="0899FB86" w:rsidR="00983AF2" w:rsidRDefault="00983AF2" w:rsidP="00983AF2">
      <w:pPr>
        <w:ind w:firstLine="709"/>
      </w:pPr>
      <w:r>
        <w:t>BLE – Bluetooth Low Energy – протокол беспроводной связи малой мощности</w:t>
      </w:r>
    </w:p>
    <w:p w14:paraId="58D780DA" w14:textId="07FA6A0B" w:rsidR="00983AF2" w:rsidRDefault="00983AF2" w:rsidP="00983AF2">
      <w:pPr>
        <w:ind w:firstLine="709"/>
      </w:pPr>
      <w:r>
        <w:t>CI – Confidence Interval – доверительный интервал</w:t>
      </w:r>
    </w:p>
    <w:p w14:paraId="718FC81D" w14:textId="4A8A2135" w:rsidR="00983AF2" w:rsidRDefault="00983AF2" w:rsidP="00983AF2">
      <w:pPr>
        <w:ind w:firstLine="709"/>
      </w:pPr>
      <w:r>
        <w:t>CNN – Convolutional Neural Network – свёрточная нейронная сеть</w:t>
      </w:r>
    </w:p>
    <w:p w14:paraId="37A00340" w14:textId="26747F32" w:rsidR="00983AF2" w:rsidRDefault="00983AF2" w:rsidP="00983AF2">
      <w:pPr>
        <w:ind w:firstLine="709"/>
      </w:pPr>
      <w:r>
        <w:t>CPET – Cardiopulmonary Exercise Testing – кардиопульмональное нагрузочное тестирование</w:t>
      </w:r>
    </w:p>
    <w:p w14:paraId="79050285" w14:textId="6890DFFE" w:rsidR="00983AF2" w:rsidRDefault="00983AF2" w:rsidP="00983AF2">
      <w:pPr>
        <w:ind w:firstLine="709"/>
      </w:pPr>
      <w:r>
        <w:t>CWT – Continuous Wavelet Transform – непрерывное вейвлетное преобразование</w:t>
      </w:r>
    </w:p>
    <w:p w14:paraId="40209BF8" w14:textId="7ED2F37B"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319349C" w14:textId="3FF82023" w:rsidR="00983AF2" w:rsidRDefault="00983AF2" w:rsidP="00983AF2">
      <w:pPr>
        <w:ind w:firstLine="709"/>
      </w:pPr>
      <w:r>
        <w:t>DWT – Discrete Wavelet Transform – дискретное вейвлетное преобразование</w:t>
      </w:r>
    </w:p>
    <w:p w14:paraId="75F53E87" w14:textId="6A6DE8FB" w:rsidR="00983AF2" w:rsidRDefault="00983AF2" w:rsidP="00983AF2">
      <w:pPr>
        <w:ind w:firstLine="709"/>
      </w:pPr>
      <w:r>
        <w:t>FFT – Fast Fourier Transform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r>
        <w:rPr>
          <w:lang w:val="en-US"/>
        </w:rPr>
        <w:t xml:space="preserve">O₂Hb – Oxyhaemoglobin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r>
        <w:rPr>
          <w:lang w:val="en-US"/>
        </w:rPr>
        <w:t>Hapley</w:t>
      </w:r>
      <w:r>
        <w:t xml:space="preserve"> </w:t>
      </w:r>
      <w:r>
        <w:rPr>
          <w:lang w:val="en-US"/>
        </w:rPr>
        <w:t>Additive</w:t>
      </w:r>
      <w:r>
        <w:t xml:space="preserve"> </w:t>
      </w:r>
      <w:r>
        <w:rPr>
          <w:lang w:val="en-US"/>
        </w:rPr>
        <w:t>exPlanations</w:t>
      </w:r>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579E8442" w14:textId="79E0CE76"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B2FCC61" w14:textId="5CCCEC0C"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CB1ED6">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CB1ED6">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CB1ED6">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CB1ED6">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CB1ED6">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CB1ED6">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CB1ED6">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CB1ED6">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CB1ED6">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CB1ED6">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CB1ED6">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CB1ED6">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CB1ED6">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CB1ED6">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CB1ED6">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CB1ED6">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CB1ED6">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CB1ED6">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CB1ED6">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CB1ED6">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CB1ED6">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CB1ED6">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выборке триатлонистов (n ≥ 20) с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 В-пятых, 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фотоплетизмографии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r>
      <w:r>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65494EC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r>
      <w:r>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1.2 Электромиография как неинвазивный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r>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EAB96E2" w14:textId="052BCA9D"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03E3C88E" w14:textId="36EB3088" w:rsidR="00300F39" w:rsidRDefault="00300F39" w:rsidP="00300F39">
      <w:pPr>
        <w:ind w:firstLine="708"/>
      </w:pPr>
      <w:r>
        <w:rPr>
          <w:i/>
          <w:iCs/>
        </w:rPr>
        <w:lastRenderedPageBreak/>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5491A648" w14:textId="5BC20472" w:rsidR="00300F39" w:rsidRDefault="00E62A0E" w:rsidP="00C44D81">
      <w:pPr>
        <w:pStyle w:val="31"/>
      </w:pPr>
      <w:bookmarkStart w:id="6" w:name="_Toc228326032"/>
      <w:r>
        <w:t>1.2.2 Вейвлетный анализ ЭМГ</w:t>
      </w:r>
      <w:bookmarkEnd w:id="6"/>
    </w:p>
    <w:p w14:paraId="72A508EC" w14:textId="6C843926"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VL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педалировании. Jamaluddin и соавторы [Jamaluddin и др., 2023] ввели семейство Wavelet Index (WI) признаков (WIRM1551, WIRE51 и др.), отражающих распределение энергии по шкалам и частотным диапазонам, и применили их к задаче неинвазивной идентификации затяжной мышечной усталости (prolonged fatigue) у 20 участников по 5-дневному протоколу. Классификатор Naive Bayes на наборе WI и классических признаков достиг точности 98% на </w:t>
      </w:r>
      <w:r>
        <w:rPr>
          <w:i/>
        </w:rPr>
        <w:t>m. rectus femoris</w:t>
      </w:r>
      <w:r>
        <w:t xml:space="preserve">, 97% на </w:t>
      </w:r>
      <w:r>
        <w:rPr>
          <w:i/>
        </w:rPr>
        <w:t>m. vastus medialis</w:t>
      </w:r>
      <w:r>
        <w:t xml:space="preserve"> и 94% на </w:t>
      </w:r>
      <w:r>
        <w:rPr>
          <w:i/>
        </w:rPr>
        <w:t>m. biceps femoris</w:t>
      </w:r>
      <w:r>
        <w:t xml:space="preserve">. Принципиально важным для настоящей работы является то, что на </w:t>
      </w:r>
      <w:r>
        <w:rPr>
          <w:i/>
        </w:rPr>
        <w:t>m. vastus lateralis</w:t>
      </w:r>
      <w:r>
        <w:t xml:space="preserve"> точность того же классификатора составила лишь 9% – на порядки ниже, чем на других мышцах квадрицепса, и изменения классических индексов (ΔFmed, ΔRMS, ΔMAV) между нормальным состоянием и состоянием prolonged fatigue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вейвлетных признаков на этой мышце в контексте задачи детекции лактатного порога.</w:t>
      </w:r>
    </w:p>
    <w:p w14:paraId="786B63A1" w14:textId="72310728"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w:t>
      </w:r>
      <w:r>
        <w:lastRenderedPageBreak/>
        <w:t>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[Jamaluddin и др., 2023], что </w:t>
      </w:r>
      <w:r>
        <w:rPr>
          <w:i/>
          <w:iCs/>
        </w:rPr>
        <w:lastRenderedPageBreak/>
        <w:t>требует дополнительной валидации в физиологическом контексте задачи настоящей диссертации.</w:t>
      </w:r>
    </w:p>
    <w:p w14:paraId="4B635D31" w14:textId="7275D38F" w:rsidR="00300F39" w:rsidRDefault="00E62A0E" w:rsidP="00C44D81">
      <w:pPr>
        <w:pStyle w:val="21"/>
      </w:pPr>
      <w:bookmarkStart w:id="7" w:name="_Toc228326033"/>
      <w:r>
        <w:t>1.3 Ближняя инфракрасная спектроскопия и локальная мышечная оксигенация</w:t>
      </w:r>
      <w:bookmarkEnd w:id="7"/>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62E97AAB" w14:textId="72F7D9BF"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3DF17D9D" w14:textId="7260A1F8"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w:t>
      </w:r>
      <w:r>
        <w:lastRenderedPageBreak/>
        <w:t>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w:t>
      </w:r>
      <w:r>
        <w:lastRenderedPageBreak/>
        <w:t>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[Rogers, Gronwald,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6FD271D3"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12FA5CD3" w14:textId="2CB234EA"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[Schaffarczyk, Rogers, 2022].</w:t>
      </w:r>
    </w:p>
    <w:p w14:paraId="29C7B3F1" w14:textId="057ADB36"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w:t>
      </w:r>
      <w:r>
        <w:lastRenderedPageBreak/>
        <w:t>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D4EDB3F"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1.5 Кинетика лактата: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w:t>
      </w:r>
      <w:r>
        <w:lastRenderedPageBreak/>
        <w:t>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01164455" w14:textId="3904EB7D"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w:t>
      </w:r>
      <w:r>
        <w:lastRenderedPageBreak/>
        <w:t xml:space="preserve">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w:t>
      </w:r>
      <w:r>
        <w:lastRenderedPageBreak/>
        <w:t>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6ACBFA67" w14:textId="0A41A7CC"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E5229CB"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w:t>
      </w:r>
      <w:r>
        <w:lastRenderedPageBreak/>
        <w:t>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0408CC5C" w14:textId="3A426CD3" w:rsidR="00300F39" w:rsidRDefault="00E62A0E" w:rsidP="00E56E6F">
      <w:pPr>
        <w:pStyle w:val="21"/>
      </w:pPr>
      <w:bookmarkStart w:id="10" w:name="_Toc228326036"/>
      <w:r>
        <w:t>1.6 Машинное обучение и алгоритмы онлайн-детекции аэробно-анаэробного перехода</w:t>
      </w:r>
      <w:bookmarkEnd w:id="10"/>
    </w:p>
    <w:p w14:paraId="6094851D" w14:textId="6B8A4F5F"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w:t>
      </w:r>
      <w:r>
        <w:lastRenderedPageBreak/>
        <w:t>вклада признаков в решение модели (SHAP-анализ)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0D0B930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1.6.2 ML для временных рядов: LSTM, TCN и вейвлетные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(feature selection) совместно с RNN-архитектурами, что особенно актуально при ограниченных размерах датасета. – показывает перспективность совместного применения feature selection и RNN-архитектур, что особенно актуально при ограниченных размерах датасета.</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w:t>
      </w:r>
      <w:r>
        <w:lastRenderedPageBreak/>
        <w:t>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baseline-моделей RF/XGBoost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1.6.3 Обучение при малых датасетах и стратегии валидации</w:t>
      </w:r>
      <w:bookmarkEnd w:id="13"/>
    </w:p>
    <w:p w14:paraId="4A3C2B99" w14:textId="32C2B016"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1</w:t>
      </w:r>
      <w:r w:rsidR="0052741B">
        <w:t>8</w:t>
      </w:r>
      <w:r>
        <w:t xml:space="preserve">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01615EEF" w14:textId="49273EA8" w:rsidR="00300F39" w:rsidRDefault="00300F39" w:rsidP="00300F39">
      <w:pPr>
        <w:ind w:firstLine="708"/>
      </w:pPr>
      <w:r>
        <w:t>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w:t>
      </w:r>
      <w:r w:rsidR="0052741B">
        <w:t>8</w:t>
      </w:r>
      <w:r>
        <w:t xml:space="preserve"> LOSO обеспечивает 1</w:t>
      </w:r>
      <w:r w:rsidR="0052741B">
        <w:t>8</w:t>
      </w:r>
      <w:r>
        <w:t xml:space="preserve"> независимых тестовых оценок, что достаточно для статистически интерпретируемой агрегированной </w:t>
      </w:r>
      <w:r>
        <w:lastRenderedPageBreak/>
        <w:t>метрики и для построения доверительных интервалов с использованием bootstrap или непараметрических методов.</w:t>
      </w:r>
    </w:p>
    <w:p w14:paraId="0F839BD8" w14:textId="7273410F"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w:t>
      </w:r>
      <w:r>
        <w:lastRenderedPageBreak/>
        <w:t>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baseline.</w:t>
      </w:r>
    </w:p>
    <w:p w14:paraId="264D52F0"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7F737C14" w14:textId="5B3F25BD" w:rsidR="00300F39" w:rsidRDefault="00E62A0E" w:rsidP="00E56E6F">
      <w:pPr>
        <w:pStyle w:val="31"/>
      </w:pPr>
      <w:bookmarkStart w:id="14" w:name="_Toc228326040"/>
      <w:r>
        <w:t>1.6.4 Gap: мультимодальные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Kimoto и соавторов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1.7 Физиологические особенности триатлонистов при велоэргометрическом тестировании</w:t>
      </w:r>
      <w:bookmarkEnd w:id="15"/>
    </w:p>
    <w:p w14:paraId="6D3736DD"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[Kominami, Nishijima, 2015]. В протоколе данной диссертации используются ступени +30 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20DF9375"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3C28A168"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w:t>
      </w:r>
      <w:r>
        <w:lastRenderedPageBreak/>
        <w:t>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5EAEE3F" w14:textId="65EBE6A0"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70C2AFDD" w14:textId="500AA406"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r>
        <w:lastRenderedPageBreak/>
        <w:t>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222095D8" w14:textId="6E51BEB7" w:rsidR="004C3006" w:rsidRDefault="004C3006" w:rsidP="004C3006">
      <w:pPr>
        <w:widowControl w:val="0"/>
        <w:spacing w:after="0"/>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Характеристики выборки приведены в таблице 2.1.</w:t>
      </w:r>
    </w:p>
    <w:p w14:paraId="42E75520" w14:textId="572144DA" w:rsidR="004C3006" w:rsidRDefault="004C3006" w:rsidP="004C3006">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03735481" w14:textId="669A2CF7" w:rsidR="00DD5A19" w:rsidRPr="004C3006" w:rsidRDefault="00DD5A19" w:rsidP="004C3006">
      <w:pPr>
        <w:pStyle w:val="ad"/>
      </w:pPr>
      <w:r w:rsidRPr="004C3006">
        <w:t>Таблица 2.1. Характеристики участников исследования</w:t>
      </w:r>
    </w:p>
    <w:tbl>
      <w:tblPr>
        <w:tblStyle w:val="a9"/>
        <w:tblW w:w="0" w:type="auto"/>
        <w:tblLook w:val="04A0" w:firstRow="1" w:lastRow="0" w:firstColumn="1" w:lastColumn="0" w:noHBand="0" w:noVBand="1"/>
      </w:tblPr>
      <w:tblGrid>
        <w:gridCol w:w="5240"/>
        <w:gridCol w:w="2126"/>
        <w:gridCol w:w="1979"/>
      </w:tblGrid>
      <w:tr w:rsidR="0052741B" w14:paraId="02423E1D" w14:textId="77777777" w:rsidTr="002F6D2D">
        <w:tc>
          <w:tcPr>
            <w:tcW w:w="5240" w:type="dxa"/>
          </w:tcPr>
          <w:p w14:paraId="62C7D91D" w14:textId="7BABBC36" w:rsidR="0052741B" w:rsidRPr="004C3006" w:rsidRDefault="0052741B" w:rsidP="00657A13">
            <w:pPr>
              <w:pStyle w:val="aa"/>
              <w:jc w:val="center"/>
              <w:rPr>
                <w:b/>
                <w:bCs/>
              </w:rPr>
            </w:pPr>
            <w:proofErr w:type="spellStart"/>
            <w:r w:rsidRPr="004C3006">
              <w:rPr>
                <w:b/>
                <w:bCs/>
              </w:rPr>
              <w:t>Параметр</w:t>
            </w:r>
            <w:proofErr w:type="spellEnd"/>
          </w:p>
        </w:tc>
        <w:tc>
          <w:tcPr>
            <w:tcW w:w="2126" w:type="dxa"/>
          </w:tcPr>
          <w:p w14:paraId="27E12BCB" w14:textId="3B9DBC6C" w:rsidR="0052741B" w:rsidRPr="004C3006" w:rsidRDefault="0052741B" w:rsidP="00657A13">
            <w:pPr>
              <w:pStyle w:val="aa"/>
              <w:jc w:val="center"/>
              <w:rPr>
                <w:b/>
                <w:bCs/>
              </w:rPr>
            </w:pPr>
            <w:r w:rsidRPr="004C3006">
              <w:rPr>
                <w:b/>
                <w:bCs/>
              </w:rPr>
              <w:t>M ± SD</w:t>
            </w:r>
          </w:p>
        </w:tc>
        <w:tc>
          <w:tcPr>
            <w:tcW w:w="1979" w:type="dxa"/>
          </w:tcPr>
          <w:p w14:paraId="0459C0B3" w14:textId="06DF1CFB" w:rsidR="0052741B" w:rsidRPr="004C3006" w:rsidRDefault="0052741B" w:rsidP="00657A13">
            <w:pPr>
              <w:pStyle w:val="aa"/>
              <w:jc w:val="center"/>
              <w:rPr>
                <w:b/>
                <w:bCs/>
              </w:rPr>
            </w:pPr>
            <w:proofErr w:type="spellStart"/>
            <w:r w:rsidRPr="004C3006">
              <w:rPr>
                <w:b/>
                <w:bCs/>
              </w:rPr>
              <w:t>Min</w:t>
            </w:r>
            <w:proofErr w:type="spellEnd"/>
            <w:r w:rsidRPr="004C3006">
              <w:rPr>
                <w:b/>
                <w:bCs/>
              </w:rPr>
              <w:t>–</w:t>
            </w:r>
            <w:proofErr w:type="spellStart"/>
            <w:r w:rsidRPr="004C3006">
              <w:rPr>
                <w:b/>
                <w:bCs/>
              </w:rPr>
              <w:t>Max</w:t>
            </w:r>
            <w:proofErr w:type="spellEnd"/>
          </w:p>
        </w:tc>
      </w:tr>
      <w:tr w:rsidR="0052741B" w14:paraId="688203FB" w14:textId="77777777" w:rsidTr="002F6D2D">
        <w:tc>
          <w:tcPr>
            <w:tcW w:w="5240" w:type="dxa"/>
          </w:tcPr>
          <w:p w14:paraId="4255A305" w14:textId="32183906" w:rsidR="0052741B" w:rsidRDefault="0052741B" w:rsidP="004C3006">
            <w:pPr>
              <w:pStyle w:val="aa"/>
            </w:pPr>
            <w:r>
              <w:t>Возраст, лет</w:t>
            </w:r>
          </w:p>
        </w:tc>
        <w:tc>
          <w:tcPr>
            <w:tcW w:w="2126" w:type="dxa"/>
          </w:tcPr>
          <w:p w14:paraId="6A5BD168" w14:textId="5D4C3008" w:rsidR="0052741B" w:rsidRDefault="0052741B" w:rsidP="004C3006">
            <w:pPr>
              <w:pStyle w:val="aa"/>
            </w:pPr>
            <w:r>
              <w:t>33,1 ± 7,5</w:t>
            </w:r>
          </w:p>
        </w:tc>
        <w:tc>
          <w:tcPr>
            <w:tcW w:w="1979" w:type="dxa"/>
          </w:tcPr>
          <w:p w14:paraId="5F7D6469" w14:textId="74BADDF1" w:rsidR="0052741B" w:rsidRDefault="0052741B" w:rsidP="004C3006">
            <w:pPr>
              <w:pStyle w:val="aa"/>
            </w:pPr>
            <w:r>
              <w:t>22–43</w:t>
            </w:r>
          </w:p>
        </w:tc>
      </w:tr>
      <w:tr w:rsidR="0052741B" w14:paraId="110CA67A" w14:textId="77777777" w:rsidTr="002F6D2D">
        <w:tc>
          <w:tcPr>
            <w:tcW w:w="5240" w:type="dxa"/>
          </w:tcPr>
          <w:p w14:paraId="5EDFAD57" w14:textId="7DA89591" w:rsidR="0052741B" w:rsidRDefault="0052741B" w:rsidP="004C3006">
            <w:pPr>
              <w:pStyle w:val="aa"/>
            </w:pPr>
            <w:r>
              <w:t>Рост, см</w:t>
            </w:r>
          </w:p>
        </w:tc>
        <w:tc>
          <w:tcPr>
            <w:tcW w:w="2126" w:type="dxa"/>
          </w:tcPr>
          <w:p w14:paraId="4609D7CB" w14:textId="46963470" w:rsidR="0052741B" w:rsidRDefault="0052741B" w:rsidP="004C3006">
            <w:pPr>
              <w:pStyle w:val="aa"/>
            </w:pPr>
            <w:r>
              <w:t>171,5 ± 8,8</w:t>
            </w:r>
          </w:p>
        </w:tc>
        <w:tc>
          <w:tcPr>
            <w:tcW w:w="1979" w:type="dxa"/>
          </w:tcPr>
          <w:p w14:paraId="02A863E3" w14:textId="2B410D7A" w:rsidR="0052741B" w:rsidRDefault="0052741B" w:rsidP="004C3006">
            <w:pPr>
              <w:pStyle w:val="aa"/>
            </w:pPr>
            <w:r>
              <w:t>151–183</w:t>
            </w:r>
          </w:p>
        </w:tc>
      </w:tr>
      <w:tr w:rsidR="0052741B" w14:paraId="66240430" w14:textId="77777777" w:rsidTr="002F6D2D">
        <w:tc>
          <w:tcPr>
            <w:tcW w:w="5240" w:type="dxa"/>
          </w:tcPr>
          <w:p w14:paraId="2D5B53D7" w14:textId="4921A866" w:rsidR="0052741B" w:rsidRDefault="0052741B" w:rsidP="004C3006">
            <w:pPr>
              <w:pStyle w:val="aa"/>
            </w:pPr>
            <w:r>
              <w:t>Масса тела, кг</w:t>
            </w:r>
          </w:p>
        </w:tc>
        <w:tc>
          <w:tcPr>
            <w:tcW w:w="2126" w:type="dxa"/>
          </w:tcPr>
          <w:p w14:paraId="23AC2E75" w14:textId="4C6E8B64" w:rsidR="0052741B" w:rsidRDefault="0052741B" w:rsidP="004C3006">
            <w:pPr>
              <w:pStyle w:val="aa"/>
            </w:pPr>
            <w:r>
              <w:t>71,2 ± 14,8</w:t>
            </w:r>
          </w:p>
        </w:tc>
        <w:tc>
          <w:tcPr>
            <w:tcW w:w="1979" w:type="dxa"/>
          </w:tcPr>
          <w:p w14:paraId="1F7EFFB2" w14:textId="041EB45A" w:rsidR="0052741B" w:rsidRDefault="0052741B" w:rsidP="004C3006">
            <w:pPr>
              <w:pStyle w:val="aa"/>
            </w:pPr>
            <w:r>
              <w:t>45–104</w:t>
            </w:r>
          </w:p>
        </w:tc>
      </w:tr>
      <w:tr w:rsidR="0052741B" w14:paraId="344A2241" w14:textId="77777777" w:rsidTr="002F6D2D">
        <w:tc>
          <w:tcPr>
            <w:tcW w:w="5240" w:type="dxa"/>
          </w:tcPr>
          <w:p w14:paraId="0EC18BF1" w14:textId="050FF93F" w:rsidR="0052741B" w:rsidRDefault="0052741B" w:rsidP="004C3006">
            <w:pPr>
              <w:pStyle w:val="aa"/>
            </w:pPr>
            <w:r>
              <w:t>ИМТ, кг/м²</w:t>
            </w:r>
          </w:p>
        </w:tc>
        <w:tc>
          <w:tcPr>
            <w:tcW w:w="2126" w:type="dxa"/>
          </w:tcPr>
          <w:p w14:paraId="3222629C" w14:textId="6F4BFE3B" w:rsidR="0052741B" w:rsidRDefault="0052741B" w:rsidP="004C3006">
            <w:pPr>
              <w:pStyle w:val="aa"/>
            </w:pPr>
            <w:r>
              <w:t>24,0 ± 3,2</w:t>
            </w:r>
          </w:p>
        </w:tc>
        <w:tc>
          <w:tcPr>
            <w:tcW w:w="1979" w:type="dxa"/>
          </w:tcPr>
          <w:p w14:paraId="6C2DCE24" w14:textId="10B87B46" w:rsidR="0052741B" w:rsidRDefault="0052741B" w:rsidP="004C3006">
            <w:pPr>
              <w:pStyle w:val="aa"/>
            </w:pPr>
            <w:r>
              <w:t>19–32</w:t>
            </w:r>
          </w:p>
        </w:tc>
      </w:tr>
      <w:tr w:rsidR="0052741B" w14:paraId="593BFF83" w14:textId="77777777" w:rsidTr="002F6D2D">
        <w:tc>
          <w:tcPr>
            <w:tcW w:w="5240" w:type="dxa"/>
          </w:tcPr>
          <w:p w14:paraId="1B10F61A" w14:textId="57594C93" w:rsidR="0052741B" w:rsidRDefault="0052741B" w:rsidP="004C3006">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2126" w:type="dxa"/>
          </w:tcPr>
          <w:p w14:paraId="74BDF8CB" w14:textId="4F05C5B3" w:rsidR="0052741B" w:rsidRDefault="0052741B" w:rsidP="004C3006">
            <w:pPr>
              <w:pStyle w:val="aa"/>
            </w:pPr>
            <w:r>
              <w:t>14,8 ± 4,7</w:t>
            </w:r>
          </w:p>
        </w:tc>
        <w:tc>
          <w:tcPr>
            <w:tcW w:w="1979" w:type="dxa"/>
          </w:tcPr>
          <w:p w14:paraId="36FE6A2D" w14:textId="00F778E3" w:rsidR="0052741B" w:rsidRDefault="0052741B" w:rsidP="004C3006">
            <w:pPr>
              <w:pStyle w:val="aa"/>
            </w:pPr>
            <w:r>
              <w:t>10,1–25,1</w:t>
            </w:r>
          </w:p>
        </w:tc>
      </w:tr>
      <w:tr w:rsidR="0052741B" w14:paraId="4F466065" w14:textId="77777777" w:rsidTr="002F6D2D">
        <w:tc>
          <w:tcPr>
            <w:tcW w:w="5240" w:type="dxa"/>
          </w:tcPr>
          <w:p w14:paraId="6DC62326" w14:textId="47F2D515" w:rsidR="0052741B" w:rsidRDefault="0052741B" w:rsidP="004C3006">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2126" w:type="dxa"/>
          </w:tcPr>
          <w:p w14:paraId="653F4B7C" w14:textId="3BC110C5" w:rsidR="0052741B" w:rsidRDefault="0052741B" w:rsidP="004C3006">
            <w:pPr>
              <w:pStyle w:val="aa"/>
            </w:pPr>
            <w:r>
              <w:t>10,9 ± 2,7</w:t>
            </w:r>
          </w:p>
        </w:tc>
        <w:tc>
          <w:tcPr>
            <w:tcW w:w="1979" w:type="dxa"/>
          </w:tcPr>
          <w:p w14:paraId="483FB66D" w14:textId="77A58EC2" w:rsidR="0052741B" w:rsidRDefault="0052741B" w:rsidP="004C3006">
            <w:pPr>
              <w:pStyle w:val="aa"/>
            </w:pPr>
            <w:r>
              <w:t>9,7–18,8</w:t>
            </w:r>
          </w:p>
        </w:tc>
      </w:tr>
    </w:tbl>
    <w:p w14:paraId="211FFB25" w14:textId="7E22C846" w:rsidR="00887DF9" w:rsidRDefault="00887DF9" w:rsidP="00887DF9">
      <w:pPr>
        <w:pStyle w:val="21"/>
      </w:pPr>
      <w:bookmarkStart w:id="19" w:name="_Toc228326045"/>
      <w:r>
        <w:t>2.2 Протокол нагрузочного тестирования</w:t>
      </w:r>
      <w:bookmarkEnd w:id="19"/>
    </w:p>
    <w:p w14:paraId="1FB11518" w14:textId="2B9B12BB" w:rsidR="00887DF9" w:rsidRDefault="00887DF9" w:rsidP="00887DF9">
      <w:pPr>
        <w:widowControl w:val="0"/>
        <w:spacing w:after="0"/>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w:t>
      </w:r>
      <w:r w:rsidR="00A80F5C">
        <w:t xml:space="preserve">калибровки </w:t>
      </w:r>
      <w:r>
        <w:t xml:space="preserve">сигналов датчиков; начиная с 60 Вт мощность увеличивалась на 30 Вт каждые 3 мин до достижения волевого отказа испытуемого. Критерием остановки служила невозможность </w:t>
      </w:r>
      <w:r>
        <w:lastRenderedPageBreak/>
        <w:t xml:space="preserve">поддерживать каденс в пределах </w:t>
      </w:r>
      <w:r w:rsidR="005B655B">
        <w:t>65-80</w:t>
      </w:r>
      <w:r>
        <w:t xml:space="preserve"> об/мин. После отказа следовал период восстановления 2–4 мин при половине от максимальной мощности, который также фиксировался.</w:t>
      </w:r>
    </w:p>
    <w:p w14:paraId="29985BB6" w14:textId="3DEDE220" w:rsidR="007A32C5" w:rsidRDefault="00887DF9" w:rsidP="00887DF9">
      <w:pPr>
        <w:widowControl w:val="0"/>
        <w:spacing w:after="0"/>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6ABD1634" w:rsidR="00887DF9" w:rsidRDefault="00BD5D7E" w:rsidP="007A32C5">
      <w:pPr>
        <w:widowControl w:val="0"/>
        <w:spacing w:after="0"/>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Avant</w:t>
      </w:r>
      <w:r>
        <w:rPr>
          <w:lang w:val="en-US"/>
        </w:rPr>
        <w: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Перед установкой кожа обрабатывалась абразивной пастой и спиртом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w:t>
      </w:r>
      <w:r>
        <w:lastRenderedPageBreak/>
        <w:t>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15CA6B19" w:rsidR="00887DF9" w:rsidRDefault="00BD5D7E" w:rsidP="00887DF9">
      <w:pPr>
        <w:widowControl w:val="0"/>
        <w:spacing w:after="0"/>
        <w:ind w:firstLine="709"/>
      </w:pPr>
      <w:r>
        <w:t>Мышечная оксигенация регистрировалась датчиком Moxy Monitor,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адгезивного крепления поверх компрессионного рукава, исключающего смещение при педалировании. Устройство передавало данные по протоколу ANT+ с частотой 3–4 Гц. Регистрируемые переменные: насыщение мышечного гемоглобина кислородом (SmO₂, %) и суммарная концентрация гемоглобина (THb, г/дл). Временные метки каждого пакета соответствовали времени его прихода на шину по внутренним часам системы; пропущенные пакеты не интерполировались на этапе сбора и фиксировались как отсутствие точки в временном ряду.</w:t>
      </w:r>
    </w:p>
    <w:p w14:paraId="45A3D348" w14:textId="3571234C" w:rsidR="00BD5D7E" w:rsidRDefault="00BD5D7E" w:rsidP="00BD5D7E">
      <w:pPr>
        <w:pStyle w:val="31"/>
      </w:pPr>
      <w:bookmarkStart w:id="23" w:name="_Toc228326049"/>
      <w:r>
        <w:t>2.3.3 Сердечный ритм</w:t>
      </w:r>
      <w:bookmarkEnd w:id="23"/>
    </w:p>
    <w:p w14:paraId="5C33ADEA" w14:textId="7B204238" w:rsidR="00BD5D7E" w:rsidRDefault="00BD5D7E" w:rsidP="00887DF9">
      <w:pPr>
        <w:widowControl w:val="0"/>
        <w:spacing w:after="0"/>
        <w:ind w:firstLine="709"/>
      </w:pPr>
      <w:r>
        <w:t>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0390BCBC" w14:textId="77777777" w:rsidR="00BD5D7E" w:rsidRDefault="00BD5D7E" w:rsidP="00887DF9">
      <w:pPr>
        <w:widowControl w:val="0"/>
        <w:spacing w:after="0"/>
        <w:ind w:firstLine="709"/>
      </w:pPr>
    </w:p>
    <w:p w14:paraId="525027A2" w14:textId="206B0AD1" w:rsidR="00887DF9" w:rsidRDefault="00887DF9" w:rsidP="00887DF9">
      <w:pPr>
        <w:pStyle w:val="21"/>
      </w:pPr>
      <w:bookmarkStart w:id="24" w:name="_Toc228326050"/>
      <w:r>
        <w:t>2.4 Система синхронного сбора данных Sensync</w:t>
      </w:r>
      <w:bookmarkEnd w:id="24"/>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w:t>
      </w:r>
      <w:r>
        <w:lastRenderedPageBreak/>
        <w:t>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00F64176" w14:textId="3DFD9FB6" w:rsidR="0006323E" w:rsidRDefault="0006323E" w:rsidP="0006323E">
      <w:pPr>
        <w:pStyle w:val="31"/>
      </w:pPr>
      <w:bookmarkStart w:id="26" w:name="_Toc228326052"/>
      <w:r>
        <w:t>2.4.2 Реализация</w:t>
      </w:r>
      <w:bookmarkEnd w:id="26"/>
    </w:p>
    <w:p w14:paraId="16A4D7D1" w14:textId="73CD88B0" w:rsidR="0006323E" w:rsidRDefault="0006323E" w:rsidP="0006323E">
      <w:pPr>
        <w:widowControl w:val="0"/>
        <w:spacing w:after="0"/>
        <w:ind w:firstLine="709"/>
      </w:pPr>
      <w:r>
        <w:t>Sensync реализована как модульное десктопное приложение на платформе Electron (Node.js, TypeScript, React 19).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lastRenderedPageBreak/>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67F12AB7" w14:textId="60EABD06" w:rsidR="0006323E" w:rsidRDefault="0006323E" w:rsidP="0006323E">
      <w:pPr>
        <w:widowControl w:val="0"/>
        <w:spacing w:after="0"/>
        <w:ind w:firstLine="709"/>
      </w:pPr>
      <w:r>
        <w:t>Данные всех каналов записываются в единый файл формата HDF5 (Hierarchical Data Format version 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(возраст, пол, масса тела, рост, время начала протокола) непосредственно в том же файле. Данные лактата вносятся в тот же файл отдельным каналом по завершении теста.</w:t>
      </w:r>
    </w:p>
    <w:p w14:paraId="023A0E1C" w14:textId="4F4650FF" w:rsidR="0006323E" w:rsidRDefault="0006323E" w:rsidP="0006323E">
      <w:pPr>
        <w:widowControl w:val="0"/>
        <w:spacing w:after="0"/>
        <w:ind w:firstLine="709"/>
      </w:pPr>
      <w:r>
        <w:t>Для верификации целостности потоков все пакеты (кроме Delsys) снабжаются порядковыми номерами; система отслеживает разрывы последовательности и применяет канал-специфичные стратегии восстановления временной оси, описанные в разделе 2.3.</w:t>
      </w:r>
    </w:p>
    <w:p w14:paraId="083BEB2B" w14:textId="7D1900E8" w:rsidR="0006323E" w:rsidRDefault="0006323E" w:rsidP="0006323E">
      <w:pPr>
        <w:pStyle w:val="31"/>
      </w:pPr>
      <w:bookmarkStart w:id="27" w:name="_Toc228326053"/>
      <w:r>
        <w:t>2.4.3 Технологический стек</w:t>
      </w:r>
      <w:bookmarkEnd w:id="27"/>
    </w:p>
    <w:tbl>
      <w:tblPr>
        <w:tblW w:w="93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31"/>
        <w:gridCol w:w="4708"/>
      </w:tblGrid>
      <w:tr w:rsidR="00092273" w:rsidRPr="00C522F1" w14:paraId="5D0BFBC0" w14:textId="77777777" w:rsidTr="00092273">
        <w:trPr>
          <w:trHeight w:val="313"/>
          <w:tblHeader/>
          <w:tblCellSpacing w:w="15" w:type="dxa"/>
        </w:trPr>
        <w:tc>
          <w:tcPr>
            <w:tcW w:w="0" w:type="auto"/>
            <w:vAlign w:val="center"/>
            <w:hideMark/>
          </w:tcPr>
          <w:p w14:paraId="3353110A" w14:textId="77777777" w:rsidR="00C522F1" w:rsidRPr="00092273" w:rsidRDefault="00C522F1" w:rsidP="00092273">
            <w:pPr>
              <w:pStyle w:val="aa"/>
              <w:jc w:val="center"/>
              <w:rPr>
                <w:b/>
                <w:bCs/>
              </w:rPr>
            </w:pPr>
            <w:r>
              <w:rPr>
                <w:b/>
                <w:bCs/>
              </w:rPr>
              <w:t>Компонент</w:t>
            </w:r>
          </w:p>
        </w:tc>
        <w:tc>
          <w:tcPr>
            <w:tcW w:w="0" w:type="auto"/>
            <w:vAlign w:val="center"/>
            <w:hideMark/>
          </w:tcPr>
          <w:p w14:paraId="14C17757" w14:textId="77777777" w:rsidR="00C522F1" w:rsidRPr="00092273" w:rsidRDefault="00C522F1" w:rsidP="00092273">
            <w:pPr>
              <w:pStyle w:val="aa"/>
              <w:jc w:val="center"/>
              <w:rPr>
                <w:b/>
                <w:bCs/>
              </w:rPr>
            </w:pPr>
            <w:r>
              <w:rPr>
                <w:b/>
                <w:bCs/>
              </w:rPr>
              <w:t>Технология</w:t>
            </w:r>
          </w:p>
        </w:tc>
      </w:tr>
      <w:tr w:rsidR="00092273" w:rsidRPr="00C522F1" w14:paraId="1823D5F3" w14:textId="77777777" w:rsidTr="00092273">
        <w:trPr>
          <w:trHeight w:val="313"/>
          <w:tblCellSpacing w:w="15" w:type="dxa"/>
        </w:trPr>
        <w:tc>
          <w:tcPr>
            <w:tcW w:w="0" w:type="auto"/>
            <w:vAlign w:val="center"/>
            <w:hideMark/>
          </w:tcPr>
          <w:p w14:paraId="2FC5E8F7" w14:textId="77777777" w:rsidR="00C522F1" w:rsidRPr="00C522F1" w:rsidRDefault="00C522F1" w:rsidP="00092273">
            <w:pPr>
              <w:pStyle w:val="aa"/>
            </w:pPr>
            <w:r>
              <w:t>Платформа</w:t>
            </w:r>
          </w:p>
        </w:tc>
        <w:tc>
          <w:tcPr>
            <w:tcW w:w="0" w:type="auto"/>
            <w:vAlign w:val="center"/>
            <w:hideMark/>
          </w:tcPr>
          <w:p w14:paraId="56871B01" w14:textId="77777777" w:rsidR="00C522F1" w:rsidRPr="00C522F1" w:rsidRDefault="00C522F1" w:rsidP="00092273">
            <w:pPr>
              <w:pStyle w:val="aa"/>
            </w:pPr>
            <w:r>
              <w:t>Electron (Node.js 20, TypeScript)</w:t>
            </w:r>
          </w:p>
        </w:tc>
      </w:tr>
      <w:tr w:rsidR="00092273" w:rsidRPr="00C522F1" w14:paraId="297119DE" w14:textId="77777777" w:rsidTr="00092273">
        <w:trPr>
          <w:trHeight w:val="334"/>
          <w:tblCellSpacing w:w="15" w:type="dxa"/>
        </w:trPr>
        <w:tc>
          <w:tcPr>
            <w:tcW w:w="0" w:type="auto"/>
            <w:vAlign w:val="center"/>
            <w:hideMark/>
          </w:tcPr>
          <w:p w14:paraId="31D383ED" w14:textId="77777777" w:rsidR="00C522F1" w:rsidRPr="00C522F1" w:rsidRDefault="00C522F1" w:rsidP="00092273">
            <w:pPr>
              <w:pStyle w:val="aa"/>
            </w:pPr>
            <w:r>
              <w:t>Пользовательский интерфейс</w:t>
            </w:r>
          </w:p>
        </w:tc>
        <w:tc>
          <w:tcPr>
            <w:tcW w:w="0" w:type="auto"/>
            <w:vAlign w:val="center"/>
            <w:hideMark/>
          </w:tcPr>
          <w:p w14:paraId="1A78DADD" w14:textId="77777777" w:rsidR="00C522F1" w:rsidRPr="00C522F1" w:rsidRDefault="00C522F1" w:rsidP="00092273">
            <w:pPr>
              <w:pStyle w:val="aa"/>
            </w:pPr>
            <w:r>
              <w:t>React 19, ECharts</w:t>
            </w:r>
          </w:p>
        </w:tc>
      </w:tr>
      <w:tr w:rsidR="00092273" w:rsidRPr="00C522F1" w14:paraId="7AFC1239" w14:textId="77777777" w:rsidTr="00092273">
        <w:trPr>
          <w:trHeight w:val="313"/>
          <w:tblCellSpacing w:w="15" w:type="dxa"/>
        </w:trPr>
        <w:tc>
          <w:tcPr>
            <w:tcW w:w="0" w:type="auto"/>
            <w:vAlign w:val="center"/>
            <w:hideMark/>
          </w:tcPr>
          <w:p w14:paraId="72FA1B5C" w14:textId="77777777" w:rsidR="00C522F1" w:rsidRPr="00C522F1" w:rsidRDefault="00C522F1" w:rsidP="00092273">
            <w:pPr>
              <w:pStyle w:val="aa"/>
            </w:pPr>
            <w:r>
              <w:t>Многопоточность</w:t>
            </w:r>
          </w:p>
        </w:tc>
        <w:tc>
          <w:tcPr>
            <w:tcW w:w="0" w:type="auto"/>
            <w:vAlign w:val="center"/>
            <w:hideMark/>
          </w:tcPr>
          <w:p w14:paraId="7FF87DB9" w14:textId="77777777" w:rsidR="00C522F1" w:rsidRPr="00C522F1" w:rsidRDefault="00C522F1" w:rsidP="00092273">
            <w:pPr>
              <w:pStyle w:val="aa"/>
            </w:pPr>
            <w:r>
              <w:t>worker_threads (Node.js)</w:t>
            </w:r>
          </w:p>
        </w:tc>
      </w:tr>
      <w:tr w:rsidR="00092273" w:rsidRPr="00C522F1" w14:paraId="266C8D9E" w14:textId="77777777" w:rsidTr="00092273">
        <w:trPr>
          <w:trHeight w:val="334"/>
          <w:tblCellSpacing w:w="15" w:type="dxa"/>
        </w:trPr>
        <w:tc>
          <w:tcPr>
            <w:tcW w:w="0" w:type="auto"/>
            <w:vAlign w:val="center"/>
            <w:hideMark/>
          </w:tcPr>
          <w:p w14:paraId="335403D4" w14:textId="77777777" w:rsidR="00C522F1" w:rsidRPr="00C522F1" w:rsidRDefault="00C522F1" w:rsidP="00092273">
            <w:pPr>
              <w:pStyle w:val="aa"/>
            </w:pPr>
            <w:r>
              <w:t>Формат хранения данных</w:t>
            </w:r>
          </w:p>
        </w:tc>
        <w:tc>
          <w:tcPr>
            <w:tcW w:w="0" w:type="auto"/>
            <w:vAlign w:val="center"/>
            <w:hideMark/>
          </w:tcPr>
          <w:p w14:paraId="39239DE1" w14:textId="77777777" w:rsidR="00C522F1" w:rsidRPr="00C522F1" w:rsidRDefault="00C522F1" w:rsidP="00092273">
            <w:pPr>
              <w:pStyle w:val="aa"/>
            </w:pPr>
            <w:r>
              <w:t>HDF5 (библиотека h5wasm)</w:t>
            </w:r>
          </w:p>
        </w:tc>
      </w:tr>
      <w:tr w:rsidR="00092273" w:rsidRPr="006B210D" w14:paraId="0C79AD6A" w14:textId="77777777" w:rsidTr="00092273">
        <w:trPr>
          <w:trHeight w:val="334"/>
          <w:tblCellSpacing w:w="15" w:type="dxa"/>
        </w:trPr>
        <w:tc>
          <w:tcPr>
            <w:tcW w:w="0" w:type="auto"/>
            <w:vAlign w:val="center"/>
            <w:hideMark/>
          </w:tcPr>
          <w:p w14:paraId="2D81A7D0" w14:textId="77777777" w:rsidR="00C522F1" w:rsidRPr="00C522F1" w:rsidRDefault="00C522F1" w:rsidP="00092273">
            <w:pPr>
              <w:pStyle w:val="aa"/>
            </w:pPr>
            <w:r>
              <w:t>Подключение Delsys Trigno</w:t>
            </w:r>
          </w:p>
        </w:tc>
        <w:tc>
          <w:tcPr>
            <w:tcW w:w="0" w:type="auto"/>
            <w:vAlign w:val="center"/>
            <w:hideMark/>
          </w:tcPr>
          <w:p w14:paraId="620F9FFE" w14:textId="77777777" w:rsidR="00C522F1" w:rsidRPr="00C522F1" w:rsidRDefault="00C522F1" w:rsidP="00092273">
            <w:pPr>
              <w:pStyle w:val="aa"/>
            </w:pPr>
            <w:r>
              <w:t>TCP-сокет к Trigno Control Utility</w:t>
            </w:r>
          </w:p>
        </w:tc>
      </w:tr>
      <w:tr w:rsidR="00092273" w:rsidRPr="00C522F1" w14:paraId="3BE485FA" w14:textId="77777777" w:rsidTr="00092273">
        <w:trPr>
          <w:trHeight w:val="313"/>
          <w:tblCellSpacing w:w="15" w:type="dxa"/>
        </w:trPr>
        <w:tc>
          <w:tcPr>
            <w:tcW w:w="0" w:type="auto"/>
            <w:vAlign w:val="center"/>
            <w:hideMark/>
          </w:tcPr>
          <w:p w14:paraId="32FE82B1" w14:textId="77777777" w:rsidR="00C522F1" w:rsidRPr="00C522F1" w:rsidRDefault="00C522F1" w:rsidP="00092273">
            <w:pPr>
              <w:pStyle w:val="aa"/>
            </w:pPr>
            <w:proofErr w:type="spellStart"/>
            <w:r>
              <w:t>Подключение</w:t>
            </w:r>
            <w:proofErr w:type="spellEnd"/>
            <w:r>
              <w:t xml:space="preserve"> Moxy Monitor</w:t>
            </w:r>
          </w:p>
        </w:tc>
        <w:tc>
          <w:tcPr>
            <w:tcW w:w="0" w:type="auto"/>
            <w:vAlign w:val="center"/>
            <w:hideMark/>
          </w:tcPr>
          <w:p w14:paraId="68E88934" w14:textId="77777777" w:rsidR="00C522F1" w:rsidRPr="00C522F1" w:rsidRDefault="00C522F1" w:rsidP="00092273">
            <w:pPr>
              <w:pStyle w:val="aa"/>
            </w:pPr>
            <w:r>
              <w:t>ANT+ (библиотека ant-plus)</w:t>
            </w:r>
          </w:p>
        </w:tc>
      </w:tr>
      <w:tr w:rsidR="00092273" w:rsidRPr="00C522F1" w14:paraId="38C080B2" w14:textId="77777777" w:rsidTr="00092273">
        <w:trPr>
          <w:trHeight w:val="334"/>
          <w:tblCellSpacing w:w="15" w:type="dxa"/>
        </w:trPr>
        <w:tc>
          <w:tcPr>
            <w:tcW w:w="0" w:type="auto"/>
            <w:vAlign w:val="center"/>
            <w:hideMark/>
          </w:tcPr>
          <w:p w14:paraId="48F4ABD9" w14:textId="77777777" w:rsidR="00C522F1" w:rsidRPr="00C522F1" w:rsidRDefault="00C522F1" w:rsidP="00092273">
            <w:pPr>
              <w:pStyle w:val="aa"/>
            </w:pPr>
            <w:r>
              <w:t>Подключение Zephyr BioHarness</w:t>
            </w:r>
          </w:p>
        </w:tc>
        <w:tc>
          <w:tcPr>
            <w:tcW w:w="0" w:type="auto"/>
            <w:vAlign w:val="center"/>
            <w:hideMark/>
          </w:tcPr>
          <w:p w14:paraId="6D71907A" w14:textId="77777777" w:rsidR="00C522F1" w:rsidRPr="00C522F1" w:rsidRDefault="00C522F1" w:rsidP="00092273">
            <w:pPr>
              <w:pStyle w:val="aa"/>
            </w:pPr>
            <w:r>
              <w:t>BLE (библиотека @abandonware/noble)</w:t>
            </w:r>
          </w:p>
        </w:tc>
      </w:tr>
      <w:tr w:rsidR="00092273" w:rsidRPr="00C522F1" w14:paraId="3D05AFA1" w14:textId="77777777" w:rsidTr="00092273">
        <w:trPr>
          <w:trHeight w:val="313"/>
          <w:tblCellSpacing w:w="15" w:type="dxa"/>
        </w:trPr>
        <w:tc>
          <w:tcPr>
            <w:tcW w:w="0" w:type="auto"/>
            <w:vAlign w:val="center"/>
            <w:hideMark/>
          </w:tcPr>
          <w:p w14:paraId="4C16078D" w14:textId="77777777" w:rsidR="00C522F1" w:rsidRPr="00C522F1" w:rsidRDefault="00C522F1" w:rsidP="00092273">
            <w:pPr>
              <w:pStyle w:val="aa"/>
            </w:pPr>
            <w:r>
              <w:t>Обмен с вычислительными воркерами</w:t>
            </w:r>
          </w:p>
        </w:tc>
        <w:tc>
          <w:tcPr>
            <w:tcW w:w="0" w:type="auto"/>
            <w:vAlign w:val="center"/>
            <w:hideMark/>
          </w:tcPr>
          <w:p w14:paraId="042C92BB" w14:textId="77777777" w:rsidR="00C522F1" w:rsidRPr="00C522F1" w:rsidRDefault="00C522F1" w:rsidP="00092273">
            <w:pPr>
              <w:pStyle w:val="aa"/>
            </w:pPr>
            <w:r>
              <w:t>Protocol Buffers</w:t>
            </w:r>
          </w:p>
        </w:tc>
      </w:tr>
      <w:tr w:rsidR="00092273" w:rsidRPr="00C522F1" w14:paraId="1CCC5F20" w14:textId="77777777" w:rsidTr="00092273">
        <w:trPr>
          <w:trHeight w:val="313"/>
          <w:tblCellSpacing w:w="15" w:type="dxa"/>
        </w:trPr>
        <w:tc>
          <w:tcPr>
            <w:tcW w:w="0" w:type="auto"/>
            <w:vAlign w:val="center"/>
            <w:hideMark/>
          </w:tcPr>
          <w:p w14:paraId="1E2F86F6" w14:textId="77777777" w:rsidR="00C522F1" w:rsidRPr="00C522F1" w:rsidRDefault="00C522F1" w:rsidP="00092273">
            <w:pPr>
              <w:pStyle w:val="aa"/>
            </w:pPr>
            <w:r>
              <w:t>Вычислительные алгоритмы (ЭМГ)</w:t>
            </w:r>
          </w:p>
        </w:tc>
        <w:tc>
          <w:tcPr>
            <w:tcW w:w="0" w:type="auto"/>
            <w:vAlign w:val="center"/>
            <w:hideMark/>
          </w:tcPr>
          <w:p w14:paraId="20594C2F" w14:textId="77777777" w:rsidR="00C522F1" w:rsidRPr="00C522F1" w:rsidRDefault="00C522F1" w:rsidP="00092273">
            <w:pPr>
              <w:pStyle w:val="aa"/>
            </w:pPr>
            <w:r>
              <w:t>Python compute-worker</w:t>
            </w:r>
          </w:p>
        </w:tc>
      </w:tr>
    </w:tbl>
    <w:p w14:paraId="7DB988ED" w14:textId="77777777" w:rsidR="0006323E" w:rsidRDefault="0006323E" w:rsidP="0006323E">
      <w:pPr>
        <w:widowControl w:val="0"/>
        <w:spacing w:after="0"/>
        <w:ind w:firstLine="709"/>
      </w:pPr>
    </w:p>
    <w:p w14:paraId="116D53FD" w14:textId="63D2A144" w:rsidR="00887DF9" w:rsidRDefault="00C522F1" w:rsidP="00887DF9">
      <w:pPr>
        <w:pStyle w:val="21"/>
      </w:pPr>
      <w:bookmarkStart w:id="28" w:name="_Toc228326054"/>
      <w:r>
        <w:lastRenderedPageBreak/>
        <w:t>2.5 Предобработка сигналов</w:t>
      </w:r>
      <w:bookmarkEnd w:id="28"/>
    </w:p>
    <w:p w14:paraId="16D110CC" w14:textId="375A3885" w:rsidR="00C522F1" w:rsidRDefault="00C522F1" w:rsidP="00C522F1">
      <w:pPr>
        <w:pStyle w:val="31"/>
      </w:pPr>
      <w:bookmarkStart w:id="29" w:name="_Toc228326055"/>
      <w:r>
        <w:t>2.5.1 Электромиография</w:t>
      </w:r>
      <w:bookmarkEnd w:id="29"/>
    </w:p>
    <w:p w14:paraId="4E4169D9" w14:textId="70F5323C" w:rsidR="003D629E" w:rsidRDefault="003D629E" w:rsidP="003D629E">
      <w:pPr>
        <w:widowControl w:val="0"/>
        <w:spacing w:after="0"/>
        <w:ind w:firstLine="709"/>
      </w:pPr>
      <w:r>
        <w:t>Сырой ЭМГ-сигнал (1926 Гц) подвергался следующей предобработке. 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26C3EEC4" w14:textId="58E6D353" w:rsidR="00C522F1" w:rsidRDefault="00C522F1" w:rsidP="00C522F1">
      <w:pPr>
        <w:pStyle w:val="31"/>
      </w:pPr>
      <w:bookmarkStart w:id="30" w:name="_Toc228326056"/>
      <w:r>
        <w:t>2.5.2 Мышечная оксигенация</w:t>
      </w:r>
      <w:bookmarkEnd w:id="30"/>
    </w:p>
    <w:p w14:paraId="2A45ED9F" w14:textId="640D7E54" w:rsidR="00092273" w:rsidRDefault="00092273" w:rsidP="00092273">
      <w:r>
        <w:t>Сигналы SmO₂ и THb (3–4 Гц) сглаживались скользящим средним в окне 10 сек для подавления артефактов движения. Производная скорости десатурации ΔSmO₂/Δt вычислялась как разность соседних значений SmO₂, делённая на соответствующий временной интервал. Пропущенные точки (единичные выпавшие ANT+-пакеты) не интерполировались; признаки на соответствующих сегментах помечались как невалидные.</w:t>
      </w:r>
    </w:p>
    <w:p w14:paraId="6CB3889F" w14:textId="058CF6F0" w:rsidR="00092273" w:rsidRDefault="00092273" w:rsidP="00092273">
      <w:pPr>
        <w:pStyle w:val="31"/>
      </w:pPr>
      <w:bookmarkStart w:id="31" w:name="_Toc228326057"/>
      <w:r>
        <w:t>2.5.2 RR-интервалы и HRV</w:t>
      </w:r>
      <w:bookmarkEnd w:id="31"/>
    </w:p>
    <w:p w14:paraId="4B94E043" w14:textId="01AE854B" w:rsidR="00092273" w:rsidRDefault="005E1B64" w:rsidP="00092273">
      <w:r>
        <w:t>Перед вычислением HRV-признаков выполнялась детекция артефактов RR: интервалы, отклоняющиеся более чем на 20%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RMSSD. Показатель DFA-α1 вычислялся в скользящем окне 4–16 кардиоциклов по методу детрендированного флуктуационного анализа.</w:t>
      </w:r>
    </w:p>
    <w:p w14:paraId="70B65FD5" w14:textId="3BBDC119" w:rsidR="005E1B64" w:rsidRDefault="005E1B64" w:rsidP="005E1B64">
      <w:pPr>
        <w:pStyle w:val="21"/>
      </w:pPr>
      <w:bookmarkStart w:id="32" w:name="_Toc228326058"/>
      <w:r>
        <w:lastRenderedPageBreak/>
        <w:t>2.6 Определение лактатных порогов (ground truth)</w:t>
      </w:r>
      <w:bookmarkEnd w:id="32"/>
    </w:p>
    <w:p w14:paraId="61097307" w14:textId="77777777" w:rsidR="000D7F4C" w:rsidRDefault="000D7F4C" w:rsidP="000D7F4C">
      <w:r>
        <w:t>Лактатный порог LT1 определялся как первый достоверный рост концентрации лактата относительно базального уровня покоя (прирост ≥ 0,5 ммоль/л). Лактатный порог LT2 определялся методом ModDmax: из точки первого достоверного роста лактата (LT1) проводилась прямая до последней точки кривой лактат–мощность; LT2 соответствует точке максимального перпендикулярного расстояния от этой прямой до кривой. Метод ModDmax выбран как более устойчивый к вариациям исходного уровня лактата по сравнению с классическим методом Dmax.</w:t>
      </w:r>
    </w:p>
    <w:p w14:paraId="271F240A" w14:textId="430EA46C" w:rsidR="005E1B64" w:rsidRDefault="000D7F4C" w:rsidP="00092273">
      <w:r>
        <w:t>Разметка временных рядов для обучения модели: тайминг забора лактата (за 15 сек до начала новой ступени) учитывался при присвоении меток – метка порога относилась к началу ступени, на которой концентрация превысила пороговое значение. Ступень 30 Вт (продолжительностью 1 мин) исключалась из обучающей выборки ввиду недостаточной длительности для формирования 30-секундного скользящего окна. Из оставшихся ступеней скользящее окно применялось непрерывно на протяжении всей их длительности, включая переходные участки между ступенями. Такой подход соответствует условиям онлайн-применения модели, при котором предсказание должно быть доступно в любой момент нагрузочного теста, а не только в установившемся режиме.</w:t>
      </w:r>
    </w:p>
    <w:p w14:paraId="0C12EB0F" w14:textId="2B4F4E12" w:rsidR="000D7F4C" w:rsidRDefault="000D7F4C" w:rsidP="000D7F4C">
      <w:pPr>
        <w:pStyle w:val="21"/>
      </w:pPr>
      <w:bookmarkStart w:id="33" w:name="_Toc228326059"/>
      <w:r>
        <w:t>2.7 Признаковое пространство</w:t>
      </w:r>
      <w:bookmarkEnd w:id="33"/>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ЭМГ-признаки (раздельно для VL дист и VL прокс, раздельно для load- и rest-фазы):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t>энергия на уровнях вейвлетной декомпозиции DWT (вейвлет Daubechies db4, 6 уровней: d1–d6);</w:t>
      </w:r>
    </w:p>
    <w:p w14:paraId="534A4C8C" w14:textId="2D2D4F37" w:rsidR="00CE3246" w:rsidRDefault="00CE3246" w:rsidP="00CE3246">
      <w:pPr>
        <w:pStyle w:val="a5"/>
        <w:numPr>
          <w:ilvl w:val="0"/>
          <w:numId w:val="26"/>
        </w:numPr>
        <w:spacing w:line="259" w:lineRule="auto"/>
        <w:jc w:val="left"/>
      </w:pPr>
      <w:r>
        <w:t>вейвлет-энтропия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r>
        <w:lastRenderedPageBreak/>
        <w:t>SmO₂ (абсолютное значение, %);</w:t>
      </w:r>
    </w:p>
    <w:p w14:paraId="66BAD6BE" w14:textId="77777777" w:rsidR="00CE3246" w:rsidRDefault="00CE3246" w:rsidP="00CE3246">
      <w:pPr>
        <w:pStyle w:val="a5"/>
        <w:numPr>
          <w:ilvl w:val="0"/>
          <w:numId w:val="27"/>
        </w:numPr>
        <w:spacing w:line="259" w:lineRule="auto"/>
        <w:jc w:val="left"/>
      </w:pPr>
      <w:r>
        <w:t>ΔSmO₂/Δt (скорость изменения);</w:t>
      </w:r>
    </w:p>
    <w:p w14:paraId="7C15D8BC" w14:textId="2EAB9726" w:rsidR="00CE3246" w:rsidRDefault="00CE3246" w:rsidP="00CE3246">
      <w:pPr>
        <w:pStyle w:val="a5"/>
        <w:numPr>
          <w:ilvl w:val="0"/>
          <w:numId w:val="27"/>
        </w:numPr>
        <w:spacing w:line="259" w:lineRule="auto"/>
        <w:jc w:val="left"/>
      </w:pPr>
      <w:r>
        <w:t>THb (суммарный гемоглобин, г/дл).</w:t>
      </w:r>
    </w:p>
    <w:p w14:paraId="6D288BD8" w14:textId="77777777" w:rsidR="00CE3246" w:rsidRDefault="00CE3246" w:rsidP="00CE3246">
      <w:pPr>
        <w:spacing w:line="259" w:lineRule="auto"/>
        <w:jc w:val="left"/>
      </w:pPr>
      <w:r>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DFA-α1 (краткосрочный показатель флуктуационного анализа, окно 4–16 кардиоциклов).</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r>
        <w:t>каденс (об/мин);</w:t>
      </w:r>
    </w:p>
    <w:p w14:paraId="1FB3B3E9" w14:textId="77777777" w:rsidR="00CE3246" w:rsidRDefault="00CE3246" w:rsidP="00CE3246">
      <w:pPr>
        <w:pStyle w:val="a5"/>
        <w:numPr>
          <w:ilvl w:val="0"/>
          <w:numId w:val="29"/>
        </w:numPr>
        <w:spacing w:line="259" w:lineRule="auto"/>
        <w:jc w:val="left"/>
      </w:pPr>
      <w:r>
        <w:t>длительность push-фазы (мс);</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 xml:space="preserve">Итоговый вектор признаков для одного окна: ~40 значений. </w:t>
      </w:r>
    </w:p>
    <w:p w14:paraId="1441570A" w14:textId="698F05C2" w:rsidR="00CE3246" w:rsidRDefault="00CE3246" w:rsidP="00CE3246">
      <w:pPr>
        <w:pStyle w:val="21"/>
      </w:pPr>
      <w:bookmarkStart w:id="34" w:name="_Toc228326060"/>
      <w:r>
        <w:t>2.8 Модели машинного обучения</w:t>
      </w:r>
      <w:bookmarkEnd w:id="34"/>
    </w:p>
    <w:p w14:paraId="2EDCDDC3" w14:textId="0C915434" w:rsidR="00CE3246" w:rsidRDefault="00CE3246" w:rsidP="00CE3246">
      <w:pPr>
        <w:pStyle w:val="31"/>
      </w:pPr>
      <w:bookmarkStart w:id="35" w:name="_Toc228326061"/>
      <w:r>
        <w:t>2.8.1 Постановка задачи</w:t>
      </w:r>
      <w:bookmarkEnd w:id="35"/>
    </w:p>
    <w:p w14:paraId="4BADB9D2" w14:textId="0A566433" w:rsidR="00CE3246" w:rsidRDefault="00CE3246" w:rsidP="00CE3246">
      <w:pPr>
        <w:spacing w:line="259" w:lineRule="auto"/>
        <w:jc w:val="left"/>
      </w:pPr>
      <w:r>
        <w:t>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 ступени до LT2, 1 – ступени после LT2; ступени в переходной зоне LT1–LT2 исключались из обучения.</w:t>
      </w:r>
    </w:p>
    <w:p w14:paraId="17F26B22" w14:textId="252AA3AA" w:rsidR="00CE3246" w:rsidRDefault="00CE3246" w:rsidP="00CE3246">
      <w:pPr>
        <w:pStyle w:val="31"/>
      </w:pPr>
      <w:bookmarkStart w:id="36" w:name="_Toc228326062"/>
      <w:r>
        <w:t>2.8.2 Baseline-модель</w:t>
      </w:r>
      <w:bookmarkEnd w:id="36"/>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7" w:name="_Toc228326063"/>
      <w:r>
        <w:t>2.8.3 Расширенная модель</w:t>
      </w:r>
      <w:bookmarkEnd w:id="37"/>
    </w:p>
    <w:p w14:paraId="6FBE463C" w14:textId="6F2472D4" w:rsidR="00CE3246" w:rsidRDefault="0017764E" w:rsidP="00CE3246">
      <w:pPr>
        <w:spacing w:line="259" w:lineRule="auto"/>
        <w:jc w:val="left"/>
      </w:pPr>
      <w:r>
        <w:t>Дописать, после обработки</w:t>
      </w:r>
    </w:p>
    <w:p w14:paraId="265BDE7C" w14:textId="34E915D1" w:rsidR="00CE3246" w:rsidRDefault="00CE3246" w:rsidP="00CE3246">
      <w:pPr>
        <w:pStyle w:val="31"/>
      </w:pPr>
      <w:bookmarkStart w:id="38" w:name="_Toc228326064"/>
      <w:r>
        <w:t>2.8.4 Валидация и метрики</w:t>
      </w:r>
      <w:bookmarkEnd w:id="38"/>
    </w:p>
    <w:p w14:paraId="16F73FEB" w14:textId="3FCC86E7" w:rsidR="00CE3246" w:rsidRDefault="00CE3246" w:rsidP="00CE3246">
      <w:pPr>
        <w:spacing w:line="259" w:lineRule="auto"/>
        <w:jc w:val="left"/>
      </w:pPr>
      <w:r>
        <w:t>Дописать, после обработки</w:t>
      </w:r>
    </w:p>
    <w:p w14:paraId="3918D51C" w14:textId="75CE6DEC" w:rsidR="0017764E" w:rsidRDefault="0017764E" w:rsidP="0017764E">
      <w:pPr>
        <w:pStyle w:val="21"/>
      </w:pPr>
      <w:bookmarkStart w:id="39" w:name="_Toc228326065"/>
      <w:r>
        <w:t>2.9 Статистическая обработка данных</w:t>
      </w:r>
      <w:bookmarkEnd w:id="39"/>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40" w:name="_Toc228326066"/>
      <w:r>
        <w:lastRenderedPageBreak/>
        <w:t>3 Результаты и обсуждения</w:t>
      </w:r>
      <w:bookmarkEnd w:id="40"/>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1" w:name="_Toc228326067"/>
      <w:r>
        <w:lastRenderedPageBreak/>
        <w:t>Заключение</w:t>
      </w:r>
      <w:bookmarkEnd w:id="41"/>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2" w:name="_Toc228326068"/>
      <w:r>
        <w:lastRenderedPageBreak/>
        <w:t>Список использованных источников</w:t>
      </w:r>
      <w:bookmarkEnd w:id="42"/>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Pr>
              <w:color w:val="000000"/>
              <w:lang w:val="en-US"/>
            </w:rPr>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w:t>
          </w:r>
          <w:r>
            <w:rPr>
              <w:color w:val="000000"/>
              <w:lang w:val="en-US"/>
            </w:rPr>
            <w:lastRenderedPageBreak/>
            <w:t xml:space="preserve">//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16. Wang L., Liu X.. A Comparative Study of EMG Indices in Muscle Fatigue Evaluation Based on Grey Relational Analysis during All-Out Cycling Exercise // 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w:t>
          </w:r>
          <w:r>
            <w:rPr>
              <w:color w:val="000000"/>
              <w:lang w:val="en-US"/>
            </w:rPr>
            <w:lastRenderedPageBreak/>
            <w:t xml:space="preserve">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w:t>
          </w:r>
          <w:r>
            <w:rPr>
              <w:color w:val="000000"/>
              <w:lang w:val="en-US"/>
            </w:rPr>
            <w:lastRenderedPageBreak/>
            <w:t xml:space="preserve">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18ED29" w14:textId="77777777" w:rsidR="00CB1ED6" w:rsidRDefault="00CB1ED6" w:rsidP="00822088">
      <w:pPr>
        <w:spacing w:after="0" w:line="240" w:lineRule="auto"/>
      </w:pPr>
      <w:r>
        <w:separator/>
      </w:r>
    </w:p>
  </w:endnote>
  <w:endnote w:type="continuationSeparator" w:id="0">
    <w:p w14:paraId="05533F50" w14:textId="77777777" w:rsidR="00CB1ED6" w:rsidRDefault="00CB1ED6"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7C2CF" w14:textId="77777777" w:rsidR="00CB1ED6" w:rsidRDefault="00CB1ED6" w:rsidP="00822088">
      <w:pPr>
        <w:spacing w:after="0" w:line="240" w:lineRule="auto"/>
      </w:pPr>
      <w:r>
        <w:separator/>
      </w:r>
    </w:p>
  </w:footnote>
  <w:footnote w:type="continuationSeparator" w:id="0">
    <w:p w14:paraId="5399768B" w14:textId="77777777" w:rsidR="00CB1ED6" w:rsidRDefault="00CB1ED6"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29F8"/>
    <w:rsid w:val="0006323E"/>
    <w:rsid w:val="00081748"/>
    <w:rsid w:val="00091F02"/>
    <w:rsid w:val="00092273"/>
    <w:rsid w:val="000C06E0"/>
    <w:rsid w:val="000C631D"/>
    <w:rsid w:val="000C6922"/>
    <w:rsid w:val="000D7F4C"/>
    <w:rsid w:val="00123E88"/>
    <w:rsid w:val="00124BDC"/>
    <w:rsid w:val="001549ED"/>
    <w:rsid w:val="0017764E"/>
    <w:rsid w:val="001A061E"/>
    <w:rsid w:val="001B0FFE"/>
    <w:rsid w:val="001B448C"/>
    <w:rsid w:val="00211BD3"/>
    <w:rsid w:val="002246F6"/>
    <w:rsid w:val="00233A13"/>
    <w:rsid w:val="00252A91"/>
    <w:rsid w:val="00295B3B"/>
    <w:rsid w:val="002C0BB8"/>
    <w:rsid w:val="002D62B9"/>
    <w:rsid w:val="002F6D2D"/>
    <w:rsid w:val="00300F39"/>
    <w:rsid w:val="00346A60"/>
    <w:rsid w:val="00355044"/>
    <w:rsid w:val="00361EA1"/>
    <w:rsid w:val="003A15C5"/>
    <w:rsid w:val="003B0492"/>
    <w:rsid w:val="003C6708"/>
    <w:rsid w:val="003D629E"/>
    <w:rsid w:val="00430CCD"/>
    <w:rsid w:val="00462F47"/>
    <w:rsid w:val="004737E3"/>
    <w:rsid w:val="00484C57"/>
    <w:rsid w:val="004A25E7"/>
    <w:rsid w:val="004C3006"/>
    <w:rsid w:val="005027A8"/>
    <w:rsid w:val="0052741B"/>
    <w:rsid w:val="0053606B"/>
    <w:rsid w:val="0056598B"/>
    <w:rsid w:val="0057743E"/>
    <w:rsid w:val="00582AEA"/>
    <w:rsid w:val="005A1FB3"/>
    <w:rsid w:val="005B655B"/>
    <w:rsid w:val="005C0FF1"/>
    <w:rsid w:val="005C1D3B"/>
    <w:rsid w:val="005D6727"/>
    <w:rsid w:val="005E1B64"/>
    <w:rsid w:val="006435A5"/>
    <w:rsid w:val="00650E65"/>
    <w:rsid w:val="00657A13"/>
    <w:rsid w:val="00665828"/>
    <w:rsid w:val="00673948"/>
    <w:rsid w:val="0068586F"/>
    <w:rsid w:val="006B210D"/>
    <w:rsid w:val="00701D1A"/>
    <w:rsid w:val="0072346B"/>
    <w:rsid w:val="00723BA9"/>
    <w:rsid w:val="007315F3"/>
    <w:rsid w:val="00741998"/>
    <w:rsid w:val="00744416"/>
    <w:rsid w:val="00776C02"/>
    <w:rsid w:val="00781762"/>
    <w:rsid w:val="007A32C5"/>
    <w:rsid w:val="007B54B1"/>
    <w:rsid w:val="007F2370"/>
    <w:rsid w:val="008147D4"/>
    <w:rsid w:val="00822088"/>
    <w:rsid w:val="00824CA3"/>
    <w:rsid w:val="00842A2D"/>
    <w:rsid w:val="00862D6E"/>
    <w:rsid w:val="00866F49"/>
    <w:rsid w:val="008805C7"/>
    <w:rsid w:val="00887DF9"/>
    <w:rsid w:val="008920E7"/>
    <w:rsid w:val="00896001"/>
    <w:rsid w:val="008A7A55"/>
    <w:rsid w:val="008B1850"/>
    <w:rsid w:val="008E11AA"/>
    <w:rsid w:val="008E1440"/>
    <w:rsid w:val="008F06E7"/>
    <w:rsid w:val="009225F9"/>
    <w:rsid w:val="00983AF2"/>
    <w:rsid w:val="009A5F2D"/>
    <w:rsid w:val="009D6CDC"/>
    <w:rsid w:val="00A26A2E"/>
    <w:rsid w:val="00A315D2"/>
    <w:rsid w:val="00A334C7"/>
    <w:rsid w:val="00A444D4"/>
    <w:rsid w:val="00A80F5C"/>
    <w:rsid w:val="00A847C0"/>
    <w:rsid w:val="00A86D8E"/>
    <w:rsid w:val="00A942C2"/>
    <w:rsid w:val="00AA58FA"/>
    <w:rsid w:val="00AB114F"/>
    <w:rsid w:val="00AE1645"/>
    <w:rsid w:val="00B078CB"/>
    <w:rsid w:val="00B14401"/>
    <w:rsid w:val="00B170E3"/>
    <w:rsid w:val="00B47002"/>
    <w:rsid w:val="00BD5D7E"/>
    <w:rsid w:val="00BF6A5C"/>
    <w:rsid w:val="00C308C7"/>
    <w:rsid w:val="00C44D81"/>
    <w:rsid w:val="00C46339"/>
    <w:rsid w:val="00C479B0"/>
    <w:rsid w:val="00C522F1"/>
    <w:rsid w:val="00C6137C"/>
    <w:rsid w:val="00C62690"/>
    <w:rsid w:val="00CB1ED6"/>
    <w:rsid w:val="00CB52C1"/>
    <w:rsid w:val="00CD1121"/>
    <w:rsid w:val="00CE3246"/>
    <w:rsid w:val="00D04F47"/>
    <w:rsid w:val="00D13FED"/>
    <w:rsid w:val="00D963E3"/>
    <w:rsid w:val="00DB76C8"/>
    <w:rsid w:val="00DD5A19"/>
    <w:rsid w:val="00DF758A"/>
    <w:rsid w:val="00E11230"/>
    <w:rsid w:val="00E14866"/>
    <w:rsid w:val="00E21131"/>
    <w:rsid w:val="00E334F8"/>
    <w:rsid w:val="00E52E35"/>
    <w:rsid w:val="00E56E6F"/>
    <w:rsid w:val="00E62A0E"/>
    <w:rsid w:val="00E82245"/>
    <w:rsid w:val="00EA766C"/>
    <w:rsid w:val="00EB20D9"/>
    <w:rsid w:val="00EB3DB0"/>
    <w:rsid w:val="00EC452F"/>
    <w:rsid w:val="00EE74B5"/>
    <w:rsid w:val="00F2204A"/>
    <w:rsid w:val="00F532A3"/>
    <w:rsid w:val="00F61F0C"/>
    <w:rsid w:val="00F66346"/>
    <w:rsid w:val="00F77B10"/>
    <w:rsid w:val="00F86377"/>
    <w:rsid w:val="00FA31D8"/>
    <w:rsid w:val="00FD1F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20930465">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580405297">
      <w:bodyDiv w:val="1"/>
      <w:marLeft w:val="0"/>
      <w:marRight w:val="0"/>
      <w:marTop w:val="0"/>
      <w:marBottom w:val="0"/>
      <w:divBdr>
        <w:top w:val="none" w:sz="0" w:space="0" w:color="auto"/>
        <w:left w:val="none" w:sz="0" w:space="0" w:color="auto"/>
        <w:bottom w:val="none" w:sz="0" w:space="0" w:color="auto"/>
        <w:right w:val="none" w:sz="0" w:space="0" w:color="auto"/>
      </w:divBdr>
    </w:div>
    <w:div w:id="614750301">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331372785">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061440"/>
    <w:rsid w:val="00152326"/>
    <w:rsid w:val="001F50A1"/>
    <w:rsid w:val="0030575D"/>
    <w:rsid w:val="003D427A"/>
    <w:rsid w:val="003F2A0D"/>
    <w:rsid w:val="00451746"/>
    <w:rsid w:val="004664AD"/>
    <w:rsid w:val="004F7C40"/>
    <w:rsid w:val="0067232C"/>
    <w:rsid w:val="00683803"/>
    <w:rsid w:val="00692A08"/>
    <w:rsid w:val="006F1611"/>
    <w:rsid w:val="00776D77"/>
    <w:rsid w:val="0093618A"/>
    <w:rsid w:val="00940A13"/>
    <w:rsid w:val="0099256A"/>
    <w:rsid w:val="00AF4403"/>
    <w:rsid w:val="00B75200"/>
    <w:rsid w:val="00BA287F"/>
    <w:rsid w:val="00C366AC"/>
    <w:rsid w:val="00D4388C"/>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68</Pages>
  <Words>16548</Words>
  <Characters>94327</Characters>
  <Application>Microsoft Office Word</Application>
  <DocSecurity>0</DocSecurity>
  <Lines>786</Lines>
  <Paragraphs>221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12</cp:revision>
  <cp:lastPrinted>2026-04-29T04:12:00Z</cp:lastPrinted>
  <dcterms:created xsi:type="dcterms:W3CDTF">2026-04-29T04:12:00Z</dcterms:created>
  <dcterms:modified xsi:type="dcterms:W3CDTF">2026-05-13T11:55:00Z</dcterms:modified>
</cp:coreProperties>
</file>