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онлайн-классификации зоны интенсивности,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lastRenderedPageBreak/>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4B4D49B" w14:textId="4D3A4C00"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531199B0" w14:textId="41B00C28"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718194F8" w14:textId="072E0A2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20A34CFC" w14:textId="1C5B4CE5"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а оставленном; обеспечивает оценку обобщаемости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4FC109FA" w14:textId="5B7C090E"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АДФ – аденозиндифосфат</w:t>
      </w:r>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(-ая, -ое)</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ЭМГ – электромиография; электромиограмма</w:t>
      </w:r>
    </w:p>
    <w:p w14:paraId="64F69067" w14:textId="710F4B36" w:rsidR="00983AF2" w:rsidRDefault="00983AF2" w:rsidP="00983AF2">
      <w:pPr>
        <w:ind w:firstLine="709"/>
      </w:pPr>
      <w:r>
        <w:t>ANT+ – Adaptive Network Topology – беспроводной протокол передачи данных</w:t>
      </w:r>
    </w:p>
    <w:p w14:paraId="2CDBE9A6" w14:textId="14EEA714" w:rsidR="00983AF2" w:rsidRDefault="00983AF2" w:rsidP="00983AF2">
      <w:pPr>
        <w:ind w:firstLine="709"/>
      </w:pPr>
      <w:r>
        <w:t>ATA – naerobic Threshold – анаэробный порог</w:t>
      </w:r>
    </w:p>
    <w:p w14:paraId="2C4F5596" w14:textId="7DB016CC" w:rsidR="00983AF2" w:rsidRDefault="00983AF2" w:rsidP="00983AF2">
      <w:pPr>
        <w:ind w:firstLine="709"/>
      </w:pPr>
      <w:r>
        <w:lastRenderedPageBreak/>
        <w:t>ATT – Adipose Tissue Thickness – толщина подкожной жировой клетчатки</w:t>
      </w:r>
    </w:p>
    <w:p w14:paraId="786BDB1A" w14:textId="0899FB86" w:rsidR="00983AF2" w:rsidRDefault="00983AF2" w:rsidP="00983AF2">
      <w:pPr>
        <w:ind w:firstLine="709"/>
      </w:pPr>
      <w:r>
        <w:t>BLE – Bluetooth Low Energy – протокол беспроводной связи малой мощности</w:t>
      </w:r>
    </w:p>
    <w:p w14:paraId="58D780DA" w14:textId="07FA6A0B" w:rsidR="00983AF2" w:rsidRDefault="00983AF2" w:rsidP="00983AF2">
      <w:pPr>
        <w:ind w:firstLine="709"/>
      </w:pPr>
      <w:r>
        <w:t>CI – Confidence Interval – доверительный интервал</w:t>
      </w:r>
    </w:p>
    <w:p w14:paraId="718FC81D" w14:textId="4A8A2135" w:rsidR="00983AF2" w:rsidRDefault="00983AF2" w:rsidP="00983AF2">
      <w:pPr>
        <w:ind w:firstLine="709"/>
      </w:pPr>
      <w:r>
        <w:t>CNN – Convolutional Neural Network – свёрточная нейронная сеть</w:t>
      </w:r>
    </w:p>
    <w:p w14:paraId="37A00340" w14:textId="26747F32" w:rsidR="00983AF2" w:rsidRDefault="00983AF2" w:rsidP="00983AF2">
      <w:pPr>
        <w:ind w:firstLine="709"/>
      </w:pPr>
      <w:r>
        <w:t>CPET – Cardiopulmonary Exercise Testing – кардиопульмональное нагрузочное тестирование</w:t>
      </w:r>
    </w:p>
    <w:p w14:paraId="79050285" w14:textId="6890DFFE" w:rsidR="00983AF2" w:rsidRDefault="00983AF2" w:rsidP="00983AF2">
      <w:pPr>
        <w:ind w:firstLine="709"/>
      </w:pPr>
      <w:r>
        <w:t>CWT – Continuous Wavelet Transform – непрерывное вейвлетное преобразование</w:t>
      </w:r>
    </w:p>
    <w:p w14:paraId="40209BF8" w14:textId="7ED2F37B"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3319349C" w14:textId="3FF82023" w:rsidR="00983AF2" w:rsidRDefault="00983AF2" w:rsidP="00983AF2">
      <w:pPr>
        <w:ind w:firstLine="709"/>
      </w:pPr>
      <w:r>
        <w:t>DWT – Discrete Wavelet Transform – дискретное вейвлетное преобразование</w:t>
      </w:r>
    </w:p>
    <w:p w14:paraId="75F53E87" w14:textId="6A6DE8FB" w:rsidR="00983AF2" w:rsidRDefault="00983AF2" w:rsidP="00983AF2">
      <w:pPr>
        <w:ind w:firstLine="709"/>
      </w:pPr>
      <w:r>
        <w:t>FFT – Fast Fourier Transform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r>
        <w:t>лактатное</w:t>
      </w:r>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FMean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r>
        <w:t>лактата</w:t>
      </w:r>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r>
        <w:rPr>
          <w:lang w:val="en-US"/>
        </w:rPr>
        <w:t xml:space="preserve">O₂Hb – Oxyhaemoglobin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r>
        <w:rPr>
          <w:lang w:val="en-US"/>
        </w:rPr>
        <w:t>Hapley</w:t>
      </w:r>
      <w:r>
        <w:t xml:space="preserve"> </w:t>
      </w:r>
      <w:r>
        <w:rPr>
          <w:lang w:val="en-US"/>
        </w:rPr>
        <w:t>Additive</w:t>
      </w:r>
      <w:r>
        <w:t xml:space="preserve"> </w:t>
      </w:r>
      <w:r>
        <w:rPr>
          <w:lang w:val="en-US"/>
        </w:rPr>
        <w:t>exPlanations</w:t>
      </w:r>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579E8442" w14:textId="79E0CE76"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B2FCC61" w14:textId="5CCCEC0C"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F629CC">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F629CC">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F629CC">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F629CC">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F629CC">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F629CC">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F629CC">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F629CC">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F629CC">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F629CC">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F629CC">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F629CC">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F629CC">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F629CC">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F629CC">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F629CC">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F629CC">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F629CC">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F629CC">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F629CC">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F629CC">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F629CC">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выборке триатлонистов (n ≥ 20) с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 В-пятых, 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фотоплетизмографии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[Wackerhage, Gehlert, 2022; Fiedler, Woll,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[Messonnier, Emhoff, 2013] в серии экспериментов с изотопными метками показали, что лактатный порог </w:t>
      </w:r>
      <w:r>
        <w:lastRenderedPageBreak/>
        <w:t>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[Messonnier, Emhoff, 2013].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лактата из мышечного волокна в венозную кровь [Bonen, McCullagh, 1998].</w:t>
      </w:r>
    </w:p>
    <w:p w14:paraId="65494EC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[Wackerhage, Gehlert, 2022; Brooks, 2023]. Количественно этот сдвиг можно описать через модель Мадера, детально рассмотренную Wackerhage и Gehlert [2022]: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[Lin, Huang,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[Lin, Huang, 2020]. При медленных рамп-протоколах тестирования лактатный порог может выявляться существенно раньше вентиляционного – Kominami и Nishijima [2015] показали, что у части испытуемых LT наступает уже при ~30% VO₂peak, 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w:t>
      </w:r>
      <w:r>
        <w:lastRenderedPageBreak/>
        <w:t xml:space="preserve">плотность и ёмкость окислительного фосфорилирования смещают узкое горлышко в сторону доставки кислорода к работающей мышце [Messonnier, Emhoff, 2013]: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[Wackerhage, Gehlert, 2022],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1.2 Электромиография как неинвазивный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r>
        <w:rPr>
          <w:i/>
        </w:rPr>
        <w:t>sEMG</w:t>
      </w:r>
      <w:r>
        <w:t xml:space="preserve">)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r>
        <w:lastRenderedPageBreak/>
        <w:t>Nagata и соавторов [Nagata, Moritani, 1981],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[Nagata, Moritani, 1981]. – вследствие снижения скорости проведения потенциала действия по мышечным волокнам при накоплении лактата и падении внутримышечного pH [Nagata, Moritani, 1981]. Совместная регистрация NIRS и </w:t>
      </w:r>
      <w:r>
        <w:rPr>
          <w:i/>
        </w:rPr>
        <w:t>sEMG</w:t>
      </w:r>
      <w:r>
        <w:t xml:space="preserve"> позволяет верифицировать этот механизм напрямую: Şayli и Akin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[Popov, Vinogradova, 2019; Попов, Кузнецов, 2019],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ЭМГ-пороговых методов [Popov, Vinogradova, 2019].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EAB96E2" w14:textId="052BCA9D"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[Racinais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[Popov, Vinogradova, 2019]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[Voet, Janssen, 2022], однако для популяции тренированных триатлонистов данное ограничение нерелевантно.</w:t>
      </w:r>
    </w:p>
    <w:p w14:paraId="03E3C88E" w14:textId="36EB3088" w:rsidR="00300F39" w:rsidRDefault="00300F39" w:rsidP="00300F39">
      <w:pPr>
        <w:ind w:firstLine="708"/>
      </w:pPr>
      <w:r>
        <w:rPr>
          <w:i/>
          <w:iCs/>
        </w:rPr>
        <w:lastRenderedPageBreak/>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5491A648" w14:textId="5BC20472" w:rsidR="00300F39" w:rsidRDefault="00E62A0E" w:rsidP="00C44D81">
      <w:pPr>
        <w:pStyle w:val="31"/>
      </w:pPr>
      <w:bookmarkStart w:id="6" w:name="_Toc228326032"/>
      <w:r>
        <w:t>1.2.2 Вейвлетный анализ ЭМГ</w:t>
      </w:r>
      <w:bookmarkEnd w:id="6"/>
    </w:p>
    <w:p w14:paraId="72A508EC" w14:textId="6C843926" w:rsidR="00300F39" w:rsidRDefault="00300F39" w:rsidP="00300F39">
      <w:pPr>
        <w:ind w:firstLine="708"/>
      </w:pPr>
      <w:r>
        <w:t>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[Graham и др., 2015]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[Wang и др., 2018] провели сопоставление ЭМГ-индексов на VL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педалировании. Jamaluddin и соавторы [Jamaluddin и др., 2023] ввели семейство Wavelet Index (WI) признаков (WIRM1551, WIRE51 и др.), отражающих распределение энергии по шкалам и частотным диапазонам, и применили их к задаче неинвазивной идентификации затяжной мышечной усталости (prolonged fatigue) у 20 участников по 5-дневному протоколу. Классификатор Naive Bayes на наборе WI и классических признаков достиг точности 98% на </w:t>
      </w:r>
      <w:r>
        <w:rPr>
          <w:i/>
        </w:rPr>
        <w:t>m. rectus femoris</w:t>
      </w:r>
      <w:r>
        <w:t xml:space="preserve">, 97% на </w:t>
      </w:r>
      <w:r>
        <w:rPr>
          <w:i/>
        </w:rPr>
        <w:t>m. vastus medialis</w:t>
      </w:r>
      <w:r>
        <w:t xml:space="preserve"> и 94% на </w:t>
      </w:r>
      <w:r>
        <w:rPr>
          <w:i/>
        </w:rPr>
        <w:t>m. biceps femoris</w:t>
      </w:r>
      <w:r>
        <w:t xml:space="preserve">. Принципиально важным для настоящей работы является то, что на </w:t>
      </w:r>
      <w:r>
        <w:rPr>
          <w:i/>
        </w:rPr>
        <w:t>m. vastus lateralis</w:t>
      </w:r>
      <w:r>
        <w:t xml:space="preserve"> точность того же классификатора составила лишь 9% – на порядки ниже, чем на других мышцах квадрицепса, и изменения классических индексов (ΔFmed, ΔRMS, ΔMAV) между нормальным состоянием и состоянием prolonged fatigue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вейвлетных признаков на этой мышце в контексте задачи детекции лактатного порога.</w:t>
      </w:r>
    </w:p>
    <w:p w14:paraId="786B63A1" w14:textId="72310728"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w:t>
      </w:r>
      <w:r>
        <w:lastRenderedPageBreak/>
        <w:t>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[Graham и др., 2015]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[Wang G. и др., 2014]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Помимо извлечения признаков, вейвлетное преобразование применимо как метод аугментации обучающих данных. Tsinganos и соавторы [Tsinganos и др., 2020]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[Jamaluddin и др., 2023], что </w:t>
      </w:r>
      <w:r>
        <w:rPr>
          <w:i/>
          <w:iCs/>
        </w:rPr>
        <w:lastRenderedPageBreak/>
        <w:t>требует дополнительной валидации в физиологическом контексте задачи настоящей диссертации.</w:t>
      </w:r>
    </w:p>
    <w:p w14:paraId="4B635D31" w14:textId="7275D38F" w:rsidR="00300F39" w:rsidRDefault="00E62A0E" w:rsidP="00C44D81">
      <w:pPr>
        <w:pStyle w:val="21"/>
      </w:pPr>
      <w:bookmarkStart w:id="7" w:name="_Toc228326033"/>
      <w:r>
        <w:t>1.3 Ближняя инфракрасная спектроскопия и локальная мышечная оксигенация</w:t>
      </w:r>
      <w:bookmarkEnd w:id="7"/>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62E97AAB" w14:textId="72F7D9BF"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[Wang, Yoshikawa, 2006]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[2020]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CI. Coquart и Mucci [2017]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3DF17D9D" w14:textId="7260A1F8" w:rsidR="00300F39" w:rsidRDefault="00300F39" w:rsidP="00300F39">
      <w:pPr>
        <w:ind w:firstLine="708"/>
      </w:pPr>
      <w:r>
        <w:t xml:space="preserve">Двустороннее измерение SmO₂ повышает точность детекции порогов. Reinpõld и Rannama [2024]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w:t>
      </w:r>
      <w:r>
        <w:lastRenderedPageBreak/>
        <w:t>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[2018] продемонстрировали, что портативная CW-NIRS (Humon Beta) коррелирует с лабораторной системой MetaOx по SmO₂ (r=0,86, RMSE=3,4%), а Driller и Borges [2016]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[2016]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[2019] указывают, что при толщине жирового слоя более 10 мм мышечный сигнал может быть существенно замаскирован. Farzam и соавторы [2018]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[2021] показали, что методы Dmax и </w:t>
      </w:r>
      <w:r>
        <w:lastRenderedPageBreak/>
        <w:t>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[Rogers, Gronwald,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корреляции (DFA-α1 ≈ 1,0–1,2), характерные для фрактального поведения; по мере нарастания нагрузки корреляционная структура постепенно разрушается. Rogers и Gronwald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[Rogers, Gronwald,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[Rogers, Gronwald, 2022].</w:t>
      </w:r>
    </w:p>
    <w:p w14:paraId="6FD271D3" w14:textId="77777777" w:rsidR="00300F39" w:rsidRDefault="00300F39" w:rsidP="00300F39">
      <w:pPr>
        <w:ind w:firstLine="708"/>
      </w:pPr>
      <w:r>
        <w:t xml:space="preserve">Валидность метода DFA-α1 подтверждена в нескольких независимых исследованиях. Schaffarczyk и Gronwald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изученной в контексте DFA-α1. Schaffarczyk и соавторы [Schaffarczyk, Rogers, 2022]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Отдельного внимания заслуживает влияние биологического пола на кинетику DFA-α1 при нагрузке. Schaffarczyk и Gronwald [2022]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[Schaffarczyk, Gronwald, 2022].</w:t>
      </w:r>
    </w:p>
    <w:p w14:paraId="12FA5CD3" w14:textId="2CB234EA"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[Schaffarczyk, Rogers, 2022].</w:t>
      </w:r>
    </w:p>
    <w:p w14:paraId="29C7B3F1" w14:textId="057ADB36"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w:t>
      </w:r>
      <w:r>
        <w:lastRenderedPageBreak/>
        <w:t>обзоре с мета-анализом Tanner и соавторов [Tanner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6D4EDB3F"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1.5 Кинетика лактата: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[1993] в классическом эксперименте с </w:t>
      </w:r>
      <w:r>
        <w:lastRenderedPageBreak/>
        <w:t>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[Bangsbo, Johansen, 1993].</w:t>
      </w:r>
    </w:p>
    <w:p w14:paraId="01164455" w14:textId="3904EB7D" w:rsidR="00300F39" w:rsidRDefault="00300F39" w:rsidP="00300F39">
      <w:pPr>
        <w:ind w:firstLine="708"/>
      </w:pPr>
      <w:r>
        <w:t xml:space="preserve">MacLean и Bangsbo [1999]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[MacLean, Bangsbo, 1999].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w:t>
      </w:r>
      <w:r>
        <w:lastRenderedPageBreak/>
        <w:t xml:space="preserve">протокола. Ji и Sommer [2021] и Wackerhage с Gehlert [2022]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[Ji, Sommer,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[2003]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[Brooks, 2023]. Велоэргометрия обладает в этом отношении методологическим преимуществом: нагрузка изолирована преимущественно </w:t>
      </w:r>
      <w:r>
        <w:lastRenderedPageBreak/>
        <w:t>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6ACBFA67" w14:textId="0A41A7CC" w:rsidR="00300F39" w:rsidRDefault="00300F39" w:rsidP="00300F39">
      <w:pPr>
        <w:ind w:firstLine="708"/>
      </w:pPr>
      <w:r>
        <w:t>Неработающие мышцы вносят существенный вклад в клиренс лактата из системного кровотока. Bangsbo и Aagaard [1995]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[1998]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E5229CB" w14:textId="77777777" w:rsidR="00300F39" w:rsidRDefault="00300F39" w:rsidP="00300F39">
      <w:pPr>
        <w:ind w:firstLine="708"/>
      </w:pPr>
      <w:r>
        <w:t xml:space="preserve">Концепция лактатного шаттла, развитая Brooks [2023],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w:t>
      </w:r>
      <w:r>
        <w:lastRenderedPageBreak/>
        <w:t>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0408CC5C" w14:textId="3A426CD3" w:rsidR="00300F39" w:rsidRDefault="00E62A0E" w:rsidP="00E56E6F">
      <w:pPr>
        <w:pStyle w:val="21"/>
      </w:pPr>
      <w:bookmarkStart w:id="10" w:name="_Toc228326036"/>
      <w:r>
        <w:t>1.6 Машинное обучение и алгоритмы онлайн-детекции аэробно-анаэробного перехода</w:t>
      </w:r>
      <w:bookmarkEnd w:id="10"/>
    </w:p>
    <w:p w14:paraId="6094851D" w14:textId="6B8A4F5F"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[2024]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w:t>
      </w:r>
      <w:r>
        <w:lastRenderedPageBreak/>
        <w:t>вклада признаков в решение модели (SHAP-анализ)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[2025]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[2021]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0D0B930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Lin и Huang [2020]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[Popov, Vinogradova, 2019]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[Cayot, Robinson, 2021], тогда как полиномиальный метод по O₂Hb/HHb воспроизводим и точен [Lin, Huang, 2020]. Для ЭМГ: V-slope по nHHb–nEMG достигает r=0,89 с LT4 [Popov, Vinogradova, 2019], но не предназначен для онлайн-применения. Для HRV: DFA-α1=0,75 детектирует VT1 с ICC=0,77–0,87 [Schaffarczyk, Gronwald, 2022],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Rodu и соавторами [Rodu и др., 2024],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1.6.2 ML для временных рядов: LSTM, TCN и вейвлетные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[Zeng и др., 2022]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(feature selection) совместно с RNN-архитектурами, что особенно актуально при ограниченных размерах датасета. – показывает перспективность совместного применения feature selection и RNN-архитектур, что особенно актуально при ограниченных размерах датасета.</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[Miura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w:t>
      </w:r>
      <w:r>
        <w:lastRenderedPageBreak/>
        <w:t>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[Amelard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[Tsinganos и др., 2020]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Amelard и соавторы [Amelard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baseline-моделей RF/XGBoost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1.6.3 Обучение при малых датасетах и стратегии валидации</w:t>
      </w:r>
      <w:bookmarkEnd w:id="13"/>
    </w:p>
    <w:p w14:paraId="4A3C2B99"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01615EEF" w14:textId="7C751809"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[Rodu и др., 2024]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метрики и для построения доверительных интервалов с использованием bootstrap или непараметрических методов.</w:t>
      </w:r>
    </w:p>
    <w:p w14:paraId="0F839BD8" w14:textId="7273410F"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[Tsinganos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[2024] достигли R²=0,803 для предсказания AnT с помощью LightGBM на 183 субъектах, и аналогичные результаты с RF/XGBoost на </w:t>
      </w:r>
      <w:r>
        <w:lastRenderedPageBreak/>
        <w:t>меньших выборках задокументированы в смежных работах [Tomaszewski, Majorczyk, 2024]. Параллельно Zeng и соавторы [Zeng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[Rodu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baseline.</w:t>
      </w:r>
    </w:p>
    <w:p w14:paraId="264D52F0"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7F737C14" w14:textId="5B3F25BD" w:rsidR="00300F39" w:rsidRDefault="00E62A0E" w:rsidP="00E56E6F">
      <w:pPr>
        <w:pStyle w:val="31"/>
      </w:pPr>
      <w:bookmarkStart w:id="14" w:name="_Toc228326040"/>
      <w:r>
        <w:t>1.6.4 Gap: мультимодальные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Kimoto и соавторов [Kimoto и др., 2023],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1.7 Физиологические особенности триатлонистов при велоэргометрическом тестировании</w:t>
      </w:r>
      <w:bookmarkEnd w:id="15"/>
    </w:p>
    <w:p w14:paraId="6D3736DD"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150–220 Вт 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[2025]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[Kominami, Nishijima, 2015]. В протоколе данной диссертации используются ступени +30 Вт / 3 мин, начиная с 60 Вт, с забором лактата за 15 секунд до начала каждой новой ступени. Schaffarczyk и Rogers [2022] применяли эквивалентный протокол для DFA-α1 в популяции триатлонистов, что делает данные работы непосредственно применимыми к нашей выборке.</w:t>
      </w:r>
    </w:p>
    <w:p w14:paraId="20DF9375"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3C28A168"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w:t>
      </w:r>
      <w:r>
        <w:lastRenderedPageBreak/>
        <w:t>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[Tanner и др., 2024], что делает их одним из наиболее обоснованных неинвазивных суррогатов лактатных и вентиляционных порогов.</w:t>
      </w:r>
    </w:p>
    <w:p w14:paraId="15EAEE3F" w14:textId="65EBE6A0"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[Kimoto и др., 2023].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[Tsinganos и др., 2020] и LOSO-валидации систематически не применялись в задаче детекции порогов.</w:t>
      </w:r>
    </w:p>
    <w:p w14:paraId="70C2AFDD" w14:textId="500AA406"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r>
        <w:lastRenderedPageBreak/>
        <w:t>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вероятностей P(LT1) и P(LT2) в режиме реального времени. Верификация проводится на выборке из 19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w:t>
      </w:r>
      <w:r>
        <w:t xml:space="preserve">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20AEC32E" w:rsidR="003876A0" w:rsidRDefault="003876A0" w:rsidP="003876A0">
            <w:pPr>
              <w:pStyle w:val="aa"/>
            </w:pPr>
            <w:r w:rsidRPr="0013239F">
              <w:t>10,9 ± 2,7</w:t>
            </w:r>
          </w:p>
        </w:tc>
        <w:tc>
          <w:tcPr>
            <w:tcW w:w="2592" w:type="dxa"/>
          </w:tcPr>
          <w:p w14:paraId="49EDEC2D" w14:textId="6B828B6F" w:rsidR="003876A0" w:rsidRPr="00EA4234" w:rsidRDefault="003876A0" w:rsidP="003876A0">
            <w:pPr>
              <w:pStyle w:val="aa"/>
            </w:pPr>
            <w:r w:rsidRPr="0013239F">
              <w:t>9,7–18,8</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5CB1112A" w:rsidR="00887DF9" w:rsidRDefault="00BD5D7E" w:rsidP="007A32C5">
      <w:pPr>
        <w:widowControl w:val="0"/>
        <w:spacing w:after="0"/>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Avant</w:t>
      </w:r>
      <w:r>
        <w:rPr>
          <w:lang w:val="en-US"/>
        </w:rPr>
        <w: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1B9A44C9" w:rsidR="00887DF9" w:rsidRDefault="00BD5D7E" w:rsidP="00887DF9">
      <w:pPr>
        <w:widowControl w:val="0"/>
        <w:spacing w:after="0"/>
        <w:ind w:firstLine="709"/>
      </w:pPr>
      <w:r>
        <w:t xml:space="preserve">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w:t>
      </w:r>
      <w:r w:rsidR="00EF54FA">
        <w:t>штатного ремешка устройства</w:t>
      </w:r>
      <w:r>
        <w:t xml:space="preserve">. В ходе теста по протоколу ANT+ принимался только сигнал SmO₂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содержащая полный набор каналов: SmO₂ (фильтрованный и нефильтрованный), O₂Hb, HHb, THb, HBDiff (O₂Hb − HHb), индикаторы мышечного состояния (Muscle state/trend), а также данные встроенных акселерометра и гироскопа (оси X, Y, Z).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8326049"/>
      <w:r>
        <w:t>2.3.3 Сердечный ритм</w:t>
      </w:r>
      <w:bookmarkEnd w:id="23"/>
    </w:p>
    <w:p w14:paraId="5C33ADEA" w14:textId="7B204238" w:rsidR="00BD5D7E" w:rsidRDefault="00BD5D7E" w:rsidP="00887DF9">
      <w:pPr>
        <w:widowControl w:val="0"/>
        <w:spacing w:after="0"/>
        <w:ind w:firstLine="709"/>
      </w:pPr>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0390BCBC" w14:textId="77777777" w:rsidR="00BD5D7E" w:rsidRDefault="00BD5D7E" w:rsidP="00887DF9">
      <w:pPr>
        <w:widowControl w:val="0"/>
        <w:spacing w:after="0"/>
        <w:ind w:firstLine="709"/>
      </w:pPr>
    </w:p>
    <w:p w14:paraId="525027A2" w14:textId="206B0AD1" w:rsidR="00887DF9" w:rsidRDefault="00887DF9" w:rsidP="00887DF9">
      <w:pPr>
        <w:pStyle w:val="21"/>
      </w:pPr>
      <w:bookmarkStart w:id="24" w:name="_Toc228326050"/>
      <w:r>
        <w:t>2.4 Система синхронного сбора данных Sensync</w:t>
      </w:r>
      <w:bookmarkEnd w:id="24"/>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w:t>
      </w:r>
      <w:r>
        <w:lastRenderedPageBreak/>
        <w:t>разночастотных каналов.</w:t>
      </w:r>
    </w:p>
    <w:p w14:paraId="00F64176" w14:textId="3DFD9FB6" w:rsidR="0006323E" w:rsidRDefault="0006323E" w:rsidP="0006323E">
      <w:pPr>
        <w:pStyle w:val="31"/>
      </w:pPr>
      <w:bookmarkStart w:id="26" w:name="_Toc228326052"/>
      <w:r>
        <w:t>2.4.2 Реализация</w:t>
      </w:r>
      <w:bookmarkEnd w:id="26"/>
    </w:p>
    <w:p w14:paraId="16A4D7D1" w14:textId="01025FB2" w:rsidR="0006323E" w:rsidRDefault="0006323E" w:rsidP="0006323E">
      <w:pPr>
        <w:widowControl w:val="0"/>
        <w:spacing w:after="0"/>
        <w:ind w:firstLine="709"/>
      </w:pPr>
      <w:r>
        <w:t xml:space="preserve">Sensync реализована как модульное десктопное приложение на 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CF82D5D" w14:textId="70FACF2C" w:rsidR="0006323E" w:rsidRDefault="0006323E" w:rsidP="0006323E">
      <w:pPr>
        <w:widowControl w:val="0"/>
        <w:spacing w:after="0"/>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67F12AB7" w14:textId="60EABD06" w:rsidR="0006323E" w:rsidRDefault="0006323E" w:rsidP="0006323E">
      <w:pPr>
        <w:widowControl w:val="0"/>
        <w:spacing w:after="0"/>
        <w:ind w:firstLine="709"/>
      </w:pPr>
      <w:r>
        <w:t>Данные всех каналов записываются в единый файл формата HDF5 (Hierarchical Data Format version 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(возраст, пол, масса тела, рост, время начала протокола) непосредственно в том же файле. Данные лактата вносятся в тот же файл отдельным каналом по завершении теста.</w:t>
      </w:r>
    </w:p>
    <w:p w14:paraId="023A0E1C" w14:textId="4F4650FF" w:rsidR="0006323E" w:rsidRDefault="0006323E" w:rsidP="0006323E">
      <w:pPr>
        <w:widowControl w:val="0"/>
        <w:spacing w:after="0"/>
        <w:ind w:firstLine="709"/>
      </w:pPr>
      <w:r>
        <w:t>Для верификации целостности потоков все пакеты (кроме Delsys) снабжаются порядковыми номерами; система отслеживает разрывы последовательности и применяет канал-специфичные стратегии восстановления временной оси, описанные в разделе 2.3.</w:t>
      </w:r>
    </w:p>
    <w:p w14:paraId="3A8C676D" w14:textId="76FA51C0" w:rsidR="00505D63" w:rsidRPr="003876A0" w:rsidRDefault="003876A0" w:rsidP="003876A0">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505D63" w14:paraId="4530F2EE" w14:textId="77777777" w:rsidTr="00505D63">
        <w:tc>
          <w:tcPr>
            <w:tcW w:w="4672" w:type="dxa"/>
          </w:tcPr>
          <w:p w14:paraId="3C900DD7" w14:textId="16BF0A59" w:rsidR="00505D63" w:rsidRPr="00505D63" w:rsidRDefault="00505D63" w:rsidP="00505D63">
            <w:pPr>
              <w:pStyle w:val="aa"/>
              <w:jc w:val="center"/>
              <w:rPr>
                <w:b/>
                <w:bCs/>
              </w:rPr>
            </w:pPr>
            <w:proofErr w:type="spellStart"/>
            <w:r w:rsidRPr="00505D63">
              <w:rPr>
                <w:b/>
                <w:bCs/>
              </w:rPr>
              <w:t>Компонент</w:t>
            </w:r>
            <w:proofErr w:type="spellEnd"/>
          </w:p>
        </w:tc>
        <w:tc>
          <w:tcPr>
            <w:tcW w:w="4673" w:type="dxa"/>
          </w:tcPr>
          <w:p w14:paraId="7D6FCDA3" w14:textId="3A16D6F7" w:rsidR="00505D63" w:rsidRPr="00505D63" w:rsidRDefault="00505D63" w:rsidP="00505D63">
            <w:pPr>
              <w:pStyle w:val="aa"/>
              <w:jc w:val="center"/>
              <w:rPr>
                <w:b/>
                <w:bCs/>
                <w:lang w:val="ru-RU"/>
              </w:rPr>
            </w:pPr>
            <w:r w:rsidRPr="00505D63">
              <w:rPr>
                <w:b/>
                <w:bCs/>
                <w:lang w:val="ru-RU"/>
              </w:rPr>
              <w:t>Технология</w:t>
            </w:r>
          </w:p>
        </w:tc>
      </w:tr>
      <w:tr w:rsidR="00505D63" w14:paraId="55AB7956" w14:textId="77777777" w:rsidTr="00505D63">
        <w:tc>
          <w:tcPr>
            <w:tcW w:w="4672" w:type="dxa"/>
          </w:tcPr>
          <w:p w14:paraId="01E47319" w14:textId="41B0D028" w:rsidR="00505D63" w:rsidRDefault="00505D63" w:rsidP="00505D63">
            <w:pPr>
              <w:pStyle w:val="aa"/>
            </w:pPr>
            <w:proofErr w:type="spellStart"/>
            <w:r w:rsidRPr="00F30ABF">
              <w:t>Платформа</w:t>
            </w:r>
            <w:proofErr w:type="spellEnd"/>
          </w:p>
        </w:tc>
        <w:tc>
          <w:tcPr>
            <w:tcW w:w="4673" w:type="dxa"/>
          </w:tcPr>
          <w:p w14:paraId="3420495E" w14:textId="733030D0" w:rsidR="00505D63" w:rsidRDefault="00505D63" w:rsidP="00505D63">
            <w:pPr>
              <w:pStyle w:val="aa"/>
            </w:pPr>
            <w:r w:rsidRPr="00EA4234">
              <w:t>Electron (Node.js 20, TypeScript)</w:t>
            </w:r>
          </w:p>
        </w:tc>
      </w:tr>
      <w:tr w:rsidR="00505D63" w14:paraId="3C2E54BC" w14:textId="77777777" w:rsidTr="00505D63">
        <w:tc>
          <w:tcPr>
            <w:tcW w:w="4672" w:type="dxa"/>
          </w:tcPr>
          <w:p w14:paraId="2E5AAF16" w14:textId="372E5BDC" w:rsidR="00505D63" w:rsidRDefault="00505D63" w:rsidP="00505D63">
            <w:pPr>
              <w:pStyle w:val="aa"/>
            </w:pPr>
            <w:proofErr w:type="spellStart"/>
            <w:r w:rsidRPr="00F30ABF">
              <w:lastRenderedPageBreak/>
              <w:t>Пользовательский</w:t>
            </w:r>
            <w:proofErr w:type="spellEnd"/>
            <w:r w:rsidRPr="00F30ABF">
              <w:t xml:space="preserve"> </w:t>
            </w:r>
            <w:proofErr w:type="spellStart"/>
            <w:r w:rsidRPr="00F30ABF">
              <w:t>интерфейс</w:t>
            </w:r>
            <w:proofErr w:type="spellEnd"/>
          </w:p>
        </w:tc>
        <w:tc>
          <w:tcPr>
            <w:tcW w:w="4673" w:type="dxa"/>
          </w:tcPr>
          <w:p w14:paraId="67FBA679" w14:textId="1ACD8271" w:rsidR="00505D63" w:rsidRDefault="00505D63" w:rsidP="00505D63">
            <w:pPr>
              <w:pStyle w:val="aa"/>
            </w:pPr>
            <w:r w:rsidRPr="00EA4234">
              <w:t xml:space="preserve">React 19, </w:t>
            </w:r>
            <w:proofErr w:type="spellStart"/>
            <w:r w:rsidRPr="00EA4234">
              <w:t>ECharts</w:t>
            </w:r>
            <w:proofErr w:type="spellEnd"/>
          </w:p>
        </w:tc>
      </w:tr>
      <w:tr w:rsidR="00505D63" w14:paraId="7165CA30" w14:textId="77777777" w:rsidTr="00505D63">
        <w:tc>
          <w:tcPr>
            <w:tcW w:w="4672" w:type="dxa"/>
          </w:tcPr>
          <w:p w14:paraId="587595E6" w14:textId="0886CBC9" w:rsidR="00505D63" w:rsidRDefault="00505D63" w:rsidP="00505D63">
            <w:pPr>
              <w:pStyle w:val="aa"/>
            </w:pPr>
            <w:proofErr w:type="spellStart"/>
            <w:r w:rsidRPr="00F30ABF">
              <w:t>Многопоточность</w:t>
            </w:r>
            <w:proofErr w:type="spellEnd"/>
          </w:p>
        </w:tc>
        <w:tc>
          <w:tcPr>
            <w:tcW w:w="4673" w:type="dxa"/>
          </w:tcPr>
          <w:p w14:paraId="32047E15" w14:textId="5911EBA9" w:rsidR="00505D63" w:rsidRDefault="00505D63" w:rsidP="00505D63">
            <w:pPr>
              <w:pStyle w:val="aa"/>
            </w:pPr>
            <w:proofErr w:type="spellStart"/>
            <w:r w:rsidRPr="00EA4234">
              <w:t>worker_threads</w:t>
            </w:r>
            <w:proofErr w:type="spellEnd"/>
            <w:r w:rsidRPr="00EA4234">
              <w:t xml:space="preserve"> (Node.js)</w:t>
            </w:r>
          </w:p>
        </w:tc>
      </w:tr>
      <w:tr w:rsidR="00505D63" w14:paraId="41227397" w14:textId="77777777" w:rsidTr="00505D63">
        <w:tc>
          <w:tcPr>
            <w:tcW w:w="4672" w:type="dxa"/>
          </w:tcPr>
          <w:p w14:paraId="690A761E" w14:textId="36448EB9" w:rsidR="00505D63" w:rsidRDefault="00505D63" w:rsidP="00505D63">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51623F47" w14:textId="1F8A9E98" w:rsidR="00505D63" w:rsidRDefault="00505D63" w:rsidP="00505D63">
            <w:pPr>
              <w:pStyle w:val="aa"/>
            </w:pPr>
            <w:r w:rsidRPr="00EA4234">
              <w:t>HDF5 (</w:t>
            </w:r>
            <w:proofErr w:type="spellStart"/>
            <w:r w:rsidRPr="00EA4234">
              <w:t>библиотека</w:t>
            </w:r>
            <w:proofErr w:type="spellEnd"/>
            <w:r w:rsidRPr="00EA4234">
              <w:t xml:space="preserve"> h5wasm)</w:t>
            </w:r>
          </w:p>
        </w:tc>
      </w:tr>
      <w:tr w:rsidR="00505D63" w14:paraId="7748F210" w14:textId="77777777" w:rsidTr="00505D63">
        <w:tc>
          <w:tcPr>
            <w:tcW w:w="4672" w:type="dxa"/>
          </w:tcPr>
          <w:p w14:paraId="61B937CD" w14:textId="7F242B97" w:rsidR="00505D63" w:rsidRDefault="00505D63" w:rsidP="00505D63">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199EAC69" w14:textId="23F2EBC9" w:rsidR="00505D63" w:rsidRDefault="00505D63" w:rsidP="00505D63">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505D63" w14:paraId="665DFF24" w14:textId="77777777" w:rsidTr="00505D63">
        <w:tc>
          <w:tcPr>
            <w:tcW w:w="4672" w:type="dxa"/>
          </w:tcPr>
          <w:p w14:paraId="447B3950" w14:textId="29A93EA3" w:rsidR="00505D63" w:rsidRDefault="00505D63" w:rsidP="00505D63">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46528250" w14:textId="394C4B32" w:rsidR="00505D63" w:rsidRDefault="00505D63" w:rsidP="00505D63">
            <w:pPr>
              <w:pStyle w:val="aa"/>
            </w:pPr>
            <w:r w:rsidRPr="00EA4234">
              <w:t>ANT+ (</w:t>
            </w:r>
            <w:proofErr w:type="spellStart"/>
            <w:r w:rsidRPr="00EA4234">
              <w:t>библиотека</w:t>
            </w:r>
            <w:proofErr w:type="spellEnd"/>
            <w:r w:rsidRPr="00EA4234">
              <w:t xml:space="preserve"> ant-plus)</w:t>
            </w:r>
          </w:p>
        </w:tc>
      </w:tr>
      <w:tr w:rsidR="00505D63" w14:paraId="07F6C80F" w14:textId="77777777" w:rsidTr="00505D63">
        <w:tc>
          <w:tcPr>
            <w:tcW w:w="4672" w:type="dxa"/>
          </w:tcPr>
          <w:p w14:paraId="3F11FE3E" w14:textId="5CD4B394" w:rsidR="00505D63" w:rsidRDefault="00505D63" w:rsidP="00505D63">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30535529" w14:textId="3EED9A73" w:rsidR="00505D63" w:rsidRDefault="00505D63" w:rsidP="00505D63">
            <w:pPr>
              <w:pStyle w:val="aa"/>
            </w:pPr>
            <w:r w:rsidRPr="00EA4234">
              <w:t>BLE (</w:t>
            </w:r>
            <w:proofErr w:type="spellStart"/>
            <w:r w:rsidRPr="00EA4234">
              <w:t>библиотека</w:t>
            </w:r>
            <w:proofErr w:type="spellEnd"/>
            <w:r w:rsidRPr="00EA4234">
              <w:t xml:space="preserve"> @abandonware/noble)</w:t>
            </w:r>
          </w:p>
        </w:tc>
      </w:tr>
      <w:tr w:rsidR="00505D63" w14:paraId="028B7A34" w14:textId="77777777" w:rsidTr="00505D63">
        <w:tc>
          <w:tcPr>
            <w:tcW w:w="4672" w:type="dxa"/>
          </w:tcPr>
          <w:p w14:paraId="2165A9D6" w14:textId="66FA0FBA" w:rsidR="00505D63" w:rsidRDefault="00505D63" w:rsidP="00505D63">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54314E08" w14:textId="3C4B0D16" w:rsidR="00505D63" w:rsidRDefault="00505D63" w:rsidP="00505D63">
            <w:pPr>
              <w:pStyle w:val="aa"/>
            </w:pPr>
            <w:r w:rsidRPr="00EA4234">
              <w:t>Protocol Buffers</w:t>
            </w:r>
          </w:p>
        </w:tc>
      </w:tr>
      <w:tr w:rsidR="00505D63" w14:paraId="27C687CD" w14:textId="77777777" w:rsidTr="00505D63">
        <w:tc>
          <w:tcPr>
            <w:tcW w:w="4672" w:type="dxa"/>
          </w:tcPr>
          <w:p w14:paraId="3BDBC295" w14:textId="223A400B" w:rsidR="00505D63" w:rsidRDefault="00505D63" w:rsidP="00505D63">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78C48F9E" w14:textId="2641E0A2" w:rsidR="00505D63" w:rsidRDefault="00505D63" w:rsidP="00505D63">
            <w:pPr>
              <w:pStyle w:val="aa"/>
            </w:pPr>
            <w:r w:rsidRPr="00EA4234">
              <w:t>Python compute-worker</w:t>
            </w:r>
          </w:p>
        </w:tc>
      </w:tr>
    </w:tbl>
    <w:p w14:paraId="6F02AF30" w14:textId="77777777" w:rsidR="00505D63" w:rsidRDefault="00505D63" w:rsidP="00505D63">
      <w:pPr>
        <w:widowControl w:val="0"/>
        <w:spacing w:after="0"/>
      </w:pPr>
    </w:p>
    <w:p w14:paraId="116D53FD" w14:textId="63D2A144" w:rsidR="00887DF9" w:rsidRDefault="00C522F1" w:rsidP="00887DF9">
      <w:pPr>
        <w:pStyle w:val="21"/>
      </w:pPr>
      <w:bookmarkStart w:id="27" w:name="_Toc228326054"/>
      <w:r>
        <w:t>2.5 Предобработка сигналов</w:t>
      </w:r>
      <w:bookmarkEnd w:id="27"/>
    </w:p>
    <w:p w14:paraId="16D110CC" w14:textId="375A3885" w:rsidR="00C522F1" w:rsidRDefault="00C522F1" w:rsidP="00C522F1">
      <w:pPr>
        <w:pStyle w:val="31"/>
      </w:pPr>
      <w:bookmarkStart w:id="28" w:name="_Toc228326055"/>
      <w:r>
        <w:t>2.5.1 Электромиография</w:t>
      </w:r>
      <w:bookmarkEnd w:id="28"/>
    </w:p>
    <w:p w14:paraId="4E4169D9" w14:textId="70F5323C" w:rsidR="003D629E" w:rsidRDefault="003D629E" w:rsidP="003D629E">
      <w:pPr>
        <w:widowControl w:val="0"/>
        <w:spacing w:after="0"/>
        <w:ind w:firstLine="709"/>
      </w:pPr>
      <w:r>
        <w:t>Сырой ЭМГ-сигнал (1926 Гц) подвергался следующей предобработке. 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90 Вт для обеспечения межсессионной сопоставимости.</w:t>
      </w:r>
    </w:p>
    <w:p w14:paraId="64CC6C8D" w14:textId="449C0F5A" w:rsidR="00887DF9" w:rsidRDefault="003D629E" w:rsidP="003D629E">
      <w:pPr>
        <w:widowControl w:val="0"/>
        <w:spacing w:after="0"/>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26C3EEC4" w14:textId="58E6D353" w:rsidR="00C522F1" w:rsidRDefault="00C522F1" w:rsidP="00C522F1">
      <w:pPr>
        <w:pStyle w:val="31"/>
      </w:pPr>
      <w:bookmarkStart w:id="29" w:name="_Toc228326056"/>
      <w:r>
        <w:t>2.5.2 Мышечная оксигенация</w:t>
      </w:r>
      <w:bookmarkEnd w:id="29"/>
    </w:p>
    <w:p w14:paraId="2A45ED9F" w14:textId="640D7E54" w:rsidR="00092273" w:rsidRDefault="00092273" w:rsidP="00092273">
      <w:r>
        <w:t>Сигналы SmO₂ и THb из вендорской выгрузки сглаживались скользящим средним в окне 10 сек для подавления артефактов движения. Производная скорости десатурации ΔSmO₂/Δt вычислялась как разность соседних значений SmO₂, делённая на соответствующий временной интервал.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6CB3889F" w14:textId="058CF6F0" w:rsidR="00092273" w:rsidRDefault="00092273" w:rsidP="00092273">
      <w:pPr>
        <w:pStyle w:val="31"/>
      </w:pPr>
      <w:bookmarkStart w:id="30" w:name="_Toc228326057"/>
      <w:r>
        <w:t>2.5.2 RR-интервалы и HRV</w:t>
      </w:r>
      <w:bookmarkEnd w:id="30"/>
    </w:p>
    <w:p w14:paraId="4B94E043" w14:textId="01AE854B" w:rsidR="00092273" w:rsidRDefault="005E1B64" w:rsidP="00092273">
      <w:r>
        <w:t xml:space="preserve">Перед вычислением HRV-признаков выполнялась детекция артефактов RR: интервалы, отклоняющиеся более чем на 20% от скользящей медианы в окне 5 кардиоциклов, помечались как артефакты и замещались кубической </w:t>
      </w:r>
      <w:r>
        <w:lastRenderedPageBreak/>
        <w:t>интерполяцией по соседним валидным значениям. Равноинтервальный ряд RR (с шагом 250 мс) формировался кубической интерполяцией для вычисления RMSSD. Показатель DFA-α1 вычислялся в скользящем окне 4–16 кардиоциклов по методу детрендированного флуктуационного анализа.</w:t>
      </w:r>
    </w:p>
    <w:p w14:paraId="70B65FD5" w14:textId="3BBDC119" w:rsidR="005E1B64" w:rsidRDefault="005E1B64" w:rsidP="005E1B64">
      <w:pPr>
        <w:pStyle w:val="21"/>
      </w:pPr>
      <w:bookmarkStart w:id="31" w:name="_Toc228326058"/>
      <w:r>
        <w:t>2.6 Определение лактатных порогов (ground truth)</w:t>
      </w:r>
      <w:bookmarkEnd w:id="31"/>
    </w:p>
    <w:p w14:paraId="61097307" w14:textId="77777777" w:rsidR="000D7F4C" w:rsidRDefault="000D7F4C" w:rsidP="000D7F4C">
      <w:r>
        <w:t>Лактатный порог LT1 определялся как первый достоверный рост концентрации лактата относительно базального уровня покоя (прирост ≥ 0,5 ммоль/л). Лактатный порог LT2 определялся методом ModDmax: из точки первого достоверного роста лактата (LT1) проводилась прямая до последней точки кривой лактат–мощность; LT2 соответствует точке максимального перпендикулярного расстояния от этой прямой до кривой. Метод ModDmax выбран как более устойчивый к вариациям исходного уровня лактата по сравнению с классическим методом Dmax.</w:t>
      </w:r>
    </w:p>
    <w:p w14:paraId="271F240A" w14:textId="430EA46C" w:rsidR="005E1B64" w:rsidRDefault="000D7F4C" w:rsidP="00092273">
      <w:r>
        <w:t>Разметка временных рядов для обучения модели: тайминг забора лактата (за 15 сек до начала новой ступени) учитывался при присвоении меток – метка порога относилась к началу ступени, на которой концентрация превысила пороговое значение. Ступень 30 Вт (продолжительностью 1 мин) исключалась из обучающей выборки ввиду недостаточной длительности для формирования 30-секундного скользящего окна. Из оставшихся ступеней скользящее окно применялось непрерывно на протяжении всей их длительности, включая переходные участки между ступенями. Такой подход соответствует условиям онлайн-применения модели, при котором предсказание должно быть доступно в любой момент нагрузочного теста, а не только в установившемся режиме.</w:t>
      </w:r>
    </w:p>
    <w:p w14:paraId="0C12EB0F" w14:textId="2B4F4E12" w:rsidR="000D7F4C" w:rsidRDefault="000D7F4C" w:rsidP="000D7F4C">
      <w:pPr>
        <w:pStyle w:val="21"/>
      </w:pPr>
      <w:bookmarkStart w:id="32" w:name="_Toc228326059"/>
      <w:r>
        <w:t>2.7 Признаковое пространство</w:t>
      </w:r>
      <w:bookmarkEnd w:id="32"/>
    </w:p>
    <w:p w14:paraId="09FE3BAF" w14:textId="77777777" w:rsidR="00CE3246" w:rsidRDefault="00CE3246" w:rsidP="00CE3246">
      <w:pPr>
        <w:spacing w:line="259" w:lineRule="auto"/>
        <w:jc w:val="left"/>
      </w:pPr>
      <w:r>
        <w:t>Признаки извлекались в скользящем окне 30 сек с шагом 5 сек. Для каждого окна вычислялся следующий набор признаков.</w:t>
      </w:r>
    </w:p>
    <w:p w14:paraId="79446B68" w14:textId="77777777" w:rsidR="00CE3246" w:rsidRDefault="00CE3246" w:rsidP="00CE3246">
      <w:pPr>
        <w:spacing w:line="259" w:lineRule="auto"/>
        <w:jc w:val="left"/>
      </w:pPr>
      <w:r>
        <w:t>ЭМГ-признаки (раздельно для VL дист и VL прокс, раздельно для load- и rest-фазы):</w:t>
      </w:r>
    </w:p>
    <w:p w14:paraId="3666D675" w14:textId="77777777" w:rsidR="00CE3246" w:rsidRDefault="00CE3246" w:rsidP="00CE3246">
      <w:pPr>
        <w:pStyle w:val="a5"/>
        <w:numPr>
          <w:ilvl w:val="0"/>
          <w:numId w:val="26"/>
        </w:numPr>
        <w:spacing w:line="259" w:lineRule="auto"/>
        <w:jc w:val="left"/>
      </w:pPr>
      <w:r>
        <w:t>среднеквадратичная амплитуда (RMS);</w:t>
      </w:r>
    </w:p>
    <w:p w14:paraId="5CAD72F8" w14:textId="77777777" w:rsidR="00CE3246" w:rsidRDefault="00CE3246" w:rsidP="00CE3246">
      <w:pPr>
        <w:pStyle w:val="a5"/>
        <w:numPr>
          <w:ilvl w:val="0"/>
          <w:numId w:val="26"/>
        </w:numPr>
        <w:spacing w:line="259" w:lineRule="auto"/>
        <w:jc w:val="left"/>
      </w:pPr>
      <w:r>
        <w:t>медианная частота (MDF) по результатам FFT;</w:t>
      </w:r>
    </w:p>
    <w:p w14:paraId="43935317" w14:textId="77777777" w:rsidR="00CE3246" w:rsidRDefault="00CE3246" w:rsidP="00CE3246">
      <w:pPr>
        <w:pStyle w:val="a5"/>
        <w:numPr>
          <w:ilvl w:val="0"/>
          <w:numId w:val="26"/>
        </w:numPr>
        <w:spacing w:line="259" w:lineRule="auto"/>
        <w:jc w:val="left"/>
      </w:pPr>
      <w:r>
        <w:lastRenderedPageBreak/>
        <w:t>энергия на уровнях вейвлетной декомпозиции DWT (вейвлет Daubechies db4, 6 уровней: d1–d6);</w:t>
      </w:r>
    </w:p>
    <w:p w14:paraId="534A4C8C" w14:textId="2D2D4F37" w:rsidR="00CE3246" w:rsidRDefault="00CE3246" w:rsidP="00CE3246">
      <w:pPr>
        <w:pStyle w:val="a5"/>
        <w:numPr>
          <w:ilvl w:val="0"/>
          <w:numId w:val="26"/>
        </w:numPr>
        <w:spacing w:line="259" w:lineRule="auto"/>
        <w:jc w:val="left"/>
      </w:pPr>
      <w:r>
        <w:t>вейвлет-энтропия (нормированная энтропия Шеннона по распределению энергии уровней).</w:t>
      </w:r>
    </w:p>
    <w:p w14:paraId="6467799D" w14:textId="77777777" w:rsidR="00CE3246" w:rsidRDefault="00CE3246" w:rsidP="00CE3246">
      <w:pPr>
        <w:spacing w:line="259" w:lineRule="auto"/>
        <w:jc w:val="left"/>
      </w:pPr>
      <w:r>
        <w:t>NIRS-признаки:</w:t>
      </w:r>
    </w:p>
    <w:p w14:paraId="2C05C370" w14:textId="77777777" w:rsidR="00CE3246" w:rsidRDefault="00CE3246" w:rsidP="00CE3246">
      <w:pPr>
        <w:pStyle w:val="a5"/>
        <w:numPr>
          <w:ilvl w:val="0"/>
          <w:numId w:val="27"/>
        </w:numPr>
        <w:spacing w:line="259" w:lineRule="auto"/>
        <w:jc w:val="left"/>
      </w:pPr>
      <w:r>
        <w:t>SmO₂ (абсолютное значение, %);</w:t>
      </w:r>
    </w:p>
    <w:p w14:paraId="66BAD6BE" w14:textId="77777777" w:rsidR="00CE3246" w:rsidRDefault="00CE3246" w:rsidP="00CE3246">
      <w:pPr>
        <w:pStyle w:val="a5"/>
        <w:numPr>
          <w:ilvl w:val="0"/>
          <w:numId w:val="27"/>
        </w:numPr>
        <w:spacing w:line="259" w:lineRule="auto"/>
        <w:jc w:val="left"/>
      </w:pPr>
      <w:r>
        <w:t>ΔSmO₂/Δt (скорость изменения);</w:t>
      </w:r>
    </w:p>
    <w:p w14:paraId="7C15D8BC" w14:textId="2EAB9726" w:rsidR="00CE3246" w:rsidRDefault="00CE3246" w:rsidP="00CE3246">
      <w:pPr>
        <w:pStyle w:val="a5"/>
        <w:numPr>
          <w:ilvl w:val="0"/>
          <w:numId w:val="27"/>
        </w:numPr>
        <w:spacing w:line="259" w:lineRule="auto"/>
        <w:jc w:val="left"/>
      </w:pPr>
      <w:r>
        <w:t>THb (суммарный гемоглобин, г/дл).</w:t>
      </w:r>
    </w:p>
    <w:p w14:paraId="6D288BD8" w14:textId="77777777" w:rsidR="00CE3246" w:rsidRDefault="00CE3246" w:rsidP="00CE3246">
      <w:pPr>
        <w:spacing w:line="259" w:lineRule="auto"/>
        <w:jc w:val="left"/>
      </w:pPr>
      <w:r>
        <w:t>HRV-признаки:</w:t>
      </w:r>
    </w:p>
    <w:p w14:paraId="0FC5D1E5" w14:textId="77777777" w:rsidR="00CE3246" w:rsidRDefault="00CE3246" w:rsidP="00CE3246">
      <w:pPr>
        <w:pStyle w:val="a5"/>
        <w:numPr>
          <w:ilvl w:val="0"/>
          <w:numId w:val="28"/>
        </w:numPr>
        <w:spacing w:line="259" w:lineRule="auto"/>
        <w:jc w:val="left"/>
      </w:pPr>
      <w:r>
        <w:t>RMSSD;</w:t>
      </w:r>
    </w:p>
    <w:p w14:paraId="58DC5D18" w14:textId="18811BBE" w:rsidR="00CE3246" w:rsidRDefault="00CE3246" w:rsidP="00CE3246">
      <w:pPr>
        <w:pStyle w:val="a5"/>
        <w:numPr>
          <w:ilvl w:val="0"/>
          <w:numId w:val="28"/>
        </w:numPr>
        <w:spacing w:line="259" w:lineRule="auto"/>
        <w:jc w:val="left"/>
      </w:pPr>
      <w:r>
        <w:t>DFA-α1 (краткосрочный показатель флуктуационного анализа, окно 4–16 кардиоциклов).</w:t>
      </w:r>
    </w:p>
    <w:p w14:paraId="3AB862FB" w14:textId="2C1208FD" w:rsidR="00CE3246" w:rsidRDefault="00CE3246" w:rsidP="00CE3246">
      <w:pPr>
        <w:spacing w:line="259" w:lineRule="auto"/>
        <w:jc w:val="left"/>
      </w:pPr>
      <w:r>
        <w:t>Кинематические признаки (из гироскопа):</w:t>
      </w:r>
    </w:p>
    <w:p w14:paraId="37FE666E" w14:textId="77777777" w:rsidR="00CE3246" w:rsidRDefault="00CE3246" w:rsidP="00CE3246">
      <w:pPr>
        <w:pStyle w:val="a5"/>
        <w:numPr>
          <w:ilvl w:val="0"/>
          <w:numId w:val="29"/>
        </w:numPr>
        <w:spacing w:line="259" w:lineRule="auto"/>
        <w:jc w:val="left"/>
      </w:pPr>
      <w:r>
        <w:t>каденс (об/мин);</w:t>
      </w:r>
    </w:p>
    <w:p w14:paraId="1FB3B3E9" w14:textId="77777777" w:rsidR="00CE3246" w:rsidRDefault="00CE3246" w:rsidP="00CE3246">
      <w:pPr>
        <w:pStyle w:val="a5"/>
        <w:numPr>
          <w:ilvl w:val="0"/>
          <w:numId w:val="29"/>
        </w:numPr>
        <w:spacing w:line="259" w:lineRule="auto"/>
        <w:jc w:val="left"/>
      </w:pPr>
      <w:r>
        <w:t>длительность push-фазы (мс);</w:t>
      </w:r>
    </w:p>
    <w:p w14:paraId="7B132EA6" w14:textId="1B802FBA" w:rsidR="00CE3246" w:rsidRDefault="00CE3246" w:rsidP="00CE3246">
      <w:pPr>
        <w:pStyle w:val="a5"/>
        <w:numPr>
          <w:ilvl w:val="0"/>
          <w:numId w:val="29"/>
        </w:numPr>
        <w:spacing w:line="259" w:lineRule="auto"/>
        <w:jc w:val="left"/>
      </w:pPr>
      <w:r>
        <w:t>коэффициент симметрии фаз.</w:t>
      </w:r>
    </w:p>
    <w:p w14:paraId="0182DC12" w14:textId="77777777" w:rsidR="00CE3246" w:rsidRDefault="00CE3246" w:rsidP="00CE3246">
      <w:pPr>
        <w:spacing w:line="259" w:lineRule="auto"/>
        <w:jc w:val="left"/>
      </w:pPr>
      <w:r>
        <w:t xml:space="preserve">Итоговый вектор признаков для одного окна: ~40 значений. </w:t>
      </w:r>
    </w:p>
    <w:p w14:paraId="1441570A" w14:textId="698F05C2" w:rsidR="00CE3246" w:rsidRDefault="00CE3246" w:rsidP="00CE3246">
      <w:pPr>
        <w:pStyle w:val="21"/>
      </w:pPr>
      <w:bookmarkStart w:id="33" w:name="_Toc228326060"/>
      <w:r>
        <w:t>2.8 Модели машинного обучения</w:t>
      </w:r>
      <w:bookmarkEnd w:id="33"/>
    </w:p>
    <w:p w14:paraId="2EDCDDC3" w14:textId="0C915434" w:rsidR="00CE3246" w:rsidRDefault="00CE3246" w:rsidP="00CE3246">
      <w:pPr>
        <w:pStyle w:val="31"/>
      </w:pPr>
      <w:bookmarkStart w:id="34" w:name="_Toc228326061"/>
      <w:r>
        <w:t>2.8.1 Постановка задачи</w:t>
      </w:r>
      <w:bookmarkEnd w:id="34"/>
    </w:p>
    <w:p w14:paraId="4BADB9D2" w14:textId="0A566433" w:rsidR="00CE3246" w:rsidRDefault="00CE3246" w:rsidP="00CE3246">
      <w:pPr>
        <w:spacing w:line="259" w:lineRule="auto"/>
        <w:jc w:val="left"/>
      </w:pPr>
      <w:r>
        <w:t>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 ступени до LT2, 1 – ступени после LT2; ступени в переходной зоне LT1–LT2 исключались из обучения.</w:t>
      </w:r>
    </w:p>
    <w:p w14:paraId="17F26B22" w14:textId="252AA3AA" w:rsidR="00CE3246" w:rsidRDefault="00CE3246" w:rsidP="00CE3246">
      <w:pPr>
        <w:pStyle w:val="31"/>
      </w:pPr>
      <w:bookmarkStart w:id="35" w:name="_Toc228326062"/>
      <w:r>
        <w:t>2.8.2 Baseline-модель</w:t>
      </w:r>
      <w:bookmarkEnd w:id="35"/>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6" w:name="_Toc228326063"/>
      <w:r>
        <w:t>2.8.3 Расширенная модель</w:t>
      </w:r>
      <w:bookmarkEnd w:id="36"/>
    </w:p>
    <w:p w14:paraId="6FBE463C" w14:textId="6F2472D4" w:rsidR="00CE3246" w:rsidRDefault="0017764E" w:rsidP="00CE3246">
      <w:pPr>
        <w:spacing w:line="259" w:lineRule="auto"/>
        <w:jc w:val="left"/>
      </w:pPr>
      <w:r>
        <w:t>Дописать, после обработки</w:t>
      </w:r>
    </w:p>
    <w:p w14:paraId="265BDE7C" w14:textId="34E915D1" w:rsidR="00CE3246" w:rsidRDefault="00CE3246" w:rsidP="00CE3246">
      <w:pPr>
        <w:pStyle w:val="31"/>
      </w:pPr>
      <w:bookmarkStart w:id="37" w:name="_Toc228326064"/>
      <w:r>
        <w:t>2.8.4 Валидация и метрики</w:t>
      </w:r>
      <w:bookmarkEnd w:id="37"/>
    </w:p>
    <w:p w14:paraId="16F73FEB" w14:textId="3FCC86E7" w:rsidR="00CE3246" w:rsidRDefault="00CE3246" w:rsidP="00CE3246">
      <w:pPr>
        <w:spacing w:line="259" w:lineRule="auto"/>
        <w:jc w:val="left"/>
      </w:pPr>
      <w:r>
        <w:t>Дописать, после обработки</w:t>
      </w:r>
    </w:p>
    <w:p w14:paraId="3918D51C" w14:textId="75CE6DEC" w:rsidR="0017764E" w:rsidRDefault="0017764E" w:rsidP="0017764E">
      <w:pPr>
        <w:pStyle w:val="21"/>
      </w:pPr>
      <w:bookmarkStart w:id="38" w:name="_Toc228326065"/>
      <w:r>
        <w:t>2.9 Статистическая обработка данных</w:t>
      </w:r>
      <w:bookmarkEnd w:id="38"/>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lastRenderedPageBreak/>
        <w:br w:type="page"/>
      </w:r>
    </w:p>
    <w:p w14:paraId="70624283" w14:textId="7D615FC1" w:rsidR="00DF758A" w:rsidRDefault="002246F6" w:rsidP="007A32C5">
      <w:pPr>
        <w:pStyle w:val="1"/>
        <w:keepNext w:val="0"/>
        <w:keepLines w:val="0"/>
        <w:widowControl w:val="0"/>
        <w:spacing w:before="0"/>
      </w:pPr>
      <w:bookmarkStart w:id="39" w:name="_Toc228326066"/>
      <w:r>
        <w:lastRenderedPageBreak/>
        <w:t>3 Результаты и обсуждения</w:t>
      </w:r>
      <w:bookmarkEnd w:id="39"/>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0" w:name="_Toc228326067"/>
      <w:r>
        <w:lastRenderedPageBreak/>
        <w:t>Заключение</w:t>
      </w:r>
      <w:bookmarkEnd w:id="40"/>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1" w:name="_Toc228326068"/>
      <w:r>
        <w:lastRenderedPageBreak/>
        <w:t>Список использованных источников</w:t>
      </w:r>
      <w:bookmarkEnd w:id="41"/>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Pr>
              <w:color w:val="000000"/>
              <w:lang w:val="en-US"/>
            </w:rPr>
            <w:t xml:space="preserve">1. Nagata A., Muro M., Moritani T., Yoshida T.. Anaerobic Threshold Determination by Blood Lactate and Myoelectric Signals // Japanese Journal of Physiology. – 1981. – </w:t>
          </w:r>
          <w:r>
            <w:rPr>
              <w:color w:val="000000"/>
            </w:rPr>
            <w:t>Т</w:t>
          </w:r>
          <w:r>
            <w:rPr>
              <w:color w:val="000000"/>
              <w:lang w:val="en-US"/>
            </w:rPr>
            <w:t xml:space="preserve">. 31. – </w:t>
          </w:r>
          <w:r>
            <w:rPr>
              <w:color w:val="000000"/>
            </w:rPr>
            <w:t>С</w:t>
          </w:r>
          <w:r>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Bangsbo J., Johansen L., Graham T., Saltin B..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Bonen A., McCullagh K.J.A., Putman C.T. </w:t>
          </w:r>
          <w:r>
            <w:rPr>
              <w:color w:val="000000"/>
            </w:rPr>
            <w:t>и</w:t>
          </w:r>
          <w:r>
            <w:rPr>
              <w:color w:val="000000"/>
              <w:lang w:val="en-US"/>
            </w:rPr>
            <w:t xml:space="preserve"> </w:t>
          </w:r>
          <w:r>
            <w:rPr>
              <w:color w:val="000000"/>
            </w:rPr>
            <w:t>др</w:t>
          </w:r>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Bangsbo J., Saltin B.. Muscle interstitial glucose and lactate levels during dynamic exercise in humans determined by microdialysis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 xml:space="preserve">5. van Hall G., Jensen-Urstad M., Rosdahl H. </w:t>
          </w:r>
          <w:r>
            <w:rPr>
              <w:color w:val="000000"/>
            </w:rPr>
            <w:t>и</w:t>
          </w:r>
          <w:r>
            <w:rPr>
              <w:color w:val="000000"/>
              <w:lang w:val="en-US"/>
            </w:rPr>
            <w:t xml:space="preserve"> </w:t>
          </w:r>
          <w:r>
            <w:rPr>
              <w:color w:val="000000"/>
            </w:rPr>
            <w:t>др</w:t>
          </w:r>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r>
            <w:rPr>
              <w:color w:val="000000"/>
            </w:rPr>
            <w:t>др</w:t>
          </w:r>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Messonnier L.A., Emhoff C.-A.W., Fattor J.A. </w:t>
          </w:r>
          <w:r>
            <w:rPr>
              <w:color w:val="000000"/>
            </w:rPr>
            <w:t>и</w:t>
          </w:r>
          <w:r>
            <w:rPr>
              <w:color w:val="000000"/>
              <w:lang w:val="en-US"/>
            </w:rPr>
            <w:t xml:space="preserve"> </w:t>
          </w:r>
          <w:r>
            <w:rPr>
              <w:color w:val="000000"/>
            </w:rPr>
            <w:t>др</w:t>
          </w:r>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Racinais S., Buchheit M., Girard O.. Breakpoints in ventilation, cerebral and muscle oxygenation, and muscle activity during an incremental cycling exercise </w:t>
          </w:r>
          <w:r>
            <w:rPr>
              <w:color w:val="000000"/>
              <w:lang w:val="en-US"/>
            </w:rPr>
            <w:lastRenderedPageBreak/>
            <w:t xml:space="preserve">//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t xml:space="preserve">9. Wang G., Zhang Y., Wang Y..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Wachowiak M.P., Gurd B.J..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Kominami K., Nishijima T., Okamoto T. </w:t>
          </w:r>
          <w:r>
            <w:rPr>
              <w:color w:val="000000"/>
            </w:rPr>
            <w:t>и</w:t>
          </w:r>
          <w:r>
            <w:rPr>
              <w:color w:val="000000"/>
              <w:lang w:val="en-US"/>
            </w:rPr>
            <w:t xml:space="preserve"> </w:t>
          </w:r>
          <w:r>
            <w:rPr>
              <w:color w:val="000000"/>
            </w:rPr>
            <w:t>др</w:t>
          </w:r>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C..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Zwaard S., Jaspers R.T., Blokland I.J. </w:t>
          </w:r>
          <w:r>
            <w:rPr>
              <w:color w:val="000000"/>
            </w:rPr>
            <w:t>и</w:t>
          </w:r>
          <w:r>
            <w:rPr>
              <w:color w:val="000000"/>
              <w:lang w:val="en-US"/>
            </w:rPr>
            <w:t xml:space="preserve"> </w:t>
          </w:r>
          <w:r>
            <w:rPr>
              <w:color w:val="000000"/>
            </w:rPr>
            <w:t>др</w:t>
          </w:r>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Coquart J.B., Dufour R., Groslambert A., Mucci P..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Farzam P., Starkweather Z., Cheng X. </w:t>
          </w:r>
          <w:r>
            <w:rPr>
              <w:color w:val="000000"/>
            </w:rPr>
            <w:t>и</w:t>
          </w:r>
          <w:r>
            <w:rPr>
              <w:color w:val="000000"/>
              <w:lang w:val="en-US"/>
            </w:rPr>
            <w:t xml:space="preserve"> </w:t>
          </w:r>
          <w:r>
            <w:rPr>
              <w:color w:val="000000"/>
            </w:rPr>
            <w:t>др</w:t>
          </w:r>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16. Wang L., Liu X.. A Comparative Study of EMG Indices in Muscle Fatigue Evaluation Based on Grey Relational Analysis during All-Out Cycling Exercise // 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Vinogradova O.L..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 Попов Д.В., Кузнецов С.С.. Валидация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Rinnerhofer S., Philipp W., Bauer R..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r>
            <w:rPr>
              <w:color w:val="000000"/>
            </w:rPr>
            <w:t>др</w:t>
          </w:r>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R.. Feasibility of the deep learning method for estimating the ventilatory threshold with electrocardiography data // npj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Tsinganos P., Cornelis B., Cornelis J. </w:t>
          </w:r>
          <w:r>
            <w:rPr>
              <w:color w:val="000000"/>
            </w:rPr>
            <w:t>и</w:t>
          </w:r>
          <w:r>
            <w:rPr>
              <w:color w:val="000000"/>
              <w:lang w:val="en-US"/>
            </w:rPr>
            <w:t xml:space="preserve"> </w:t>
          </w:r>
          <w:r>
            <w:rPr>
              <w:color w:val="000000"/>
            </w:rPr>
            <w:t>др</w:t>
          </w:r>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Amelard R., Sless T.Y., Maki K.A. </w:t>
          </w:r>
          <w:r>
            <w:rPr>
              <w:color w:val="000000"/>
            </w:rPr>
            <w:t>и</w:t>
          </w:r>
          <w:r>
            <w:rPr>
              <w:color w:val="000000"/>
              <w:lang w:val="en-US"/>
            </w:rPr>
            <w:t xml:space="preserve"> </w:t>
          </w:r>
          <w:r>
            <w:rPr>
              <w:color w:val="000000"/>
            </w:rPr>
            <w:t>др</w:t>
          </w:r>
          <w:r>
            <w:rPr>
              <w:color w:val="000000"/>
              <w:lang w:val="en-US"/>
            </w:rPr>
            <w:t xml:space="preserve">.. Temporal convolutional networks predict dynamic oxygen uptake response from wearable sensors across exercise intensity transitions // npj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Cayot T.E., Robinson S.J., Fahs C.A.. Estimating the Lactate Threshold Using Wireless Near-Infrared Spectroscopy and Threshold Detection Algorithms // </w:t>
          </w:r>
          <w:r>
            <w:rPr>
              <w:color w:val="000000"/>
              <w:lang w:val="en-US"/>
            </w:rPr>
            <w:lastRenderedPageBreak/>
            <w:t xml:space="preserve">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P.. Comparison and Performance Validation of Calculated and Established Anaerobic Lactate Thresholds in Running // Medicina.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Gronwald T..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Schaffarczyk M., Rogers B., Reer R., Gronwald T..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Schaffarczyk M., Rogers B., Reer R., Gronwald T..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Voet N.B.M., Bleijenberg G., Padberg G.W. </w:t>
          </w:r>
          <w:r>
            <w:rPr>
              <w:color w:val="000000"/>
            </w:rPr>
            <w:t>и</w:t>
          </w:r>
          <w:r>
            <w:rPr>
              <w:color w:val="000000"/>
              <w:lang w:val="en-US"/>
            </w:rPr>
            <w:t xml:space="preserve"> </w:t>
          </w:r>
          <w:r>
            <w:rPr>
              <w:color w:val="000000"/>
            </w:rPr>
            <w:t>др</w:t>
          </w:r>
          <w:r>
            <w:rPr>
              <w:color w:val="000000"/>
              <w:lang w:val="en-US"/>
            </w:rPr>
            <w:t xml:space="preserve">.. Surface Electromyography Thresholds As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Wackerhage H., Gehlert S..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r>
            <w:rPr>
              <w:color w:val="000000"/>
            </w:rPr>
            <w:t>др</w:t>
          </w:r>
          <w:r>
            <w:rPr>
              <w:color w:val="000000"/>
              <w:lang w:val="en-US"/>
            </w:rPr>
            <w:t xml:space="preserve">.. Interpretable recurrent neural network models for dynamic prediction of the extubation failure risk in patients with invasive mechanical ventilation // BioData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G.A.. What the Lactate Shuttle Means for Sports Nutrition // </w:t>
          </w:r>
          <w:r>
            <w:rPr>
              <w:color w:val="000000"/>
              <w:lang w:val="en-US"/>
            </w:rPr>
            <w:lastRenderedPageBreak/>
            <w:t xml:space="preserve">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r>
            <w:rPr>
              <w:color w:val="000000"/>
            </w:rPr>
            <w:t>др</w:t>
          </w:r>
          <w:r>
            <w:rPr>
              <w:color w:val="000000"/>
              <w:lang w:val="en-US"/>
            </w:rPr>
            <w:t xml:space="preserve">.. A New Approach to 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M..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Reinpõld K., Rannama I., Port K..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Rodu J., Kaufman S., Peel J.L. </w:t>
          </w:r>
          <w:r>
            <w:rPr>
              <w:color w:val="000000"/>
            </w:rPr>
            <w:t>и</w:t>
          </w:r>
          <w:r>
            <w:rPr>
              <w:color w:val="000000"/>
              <w:lang w:val="en-US"/>
            </w:rPr>
            <w:t xml:space="preserve"> </w:t>
          </w:r>
          <w:r>
            <w:rPr>
              <w:color w:val="000000"/>
            </w:rPr>
            <w:t>др</w:t>
          </w:r>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Oranchuk D.J..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Lukanova-Jakubowska A., Majorczyk 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39. Fiedler J., Woll A..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Pr>
              <w:color w:val="000000"/>
              <w:lang w:val="en-US"/>
            </w:rPr>
            <w:t xml:space="preserve">40. Fischer J., Wolfarth B., Hävecker E.R. </w:t>
          </w:r>
          <w:r>
            <w:rPr>
              <w:color w:val="000000"/>
            </w:rPr>
            <w:t>и</w:t>
          </w:r>
          <w:r>
            <w:rPr>
              <w:color w:val="000000"/>
              <w:lang w:val="en-US"/>
            </w:rPr>
            <w:t xml:space="preserve"> </w:t>
          </w:r>
          <w:r>
            <w:rPr>
              <w:color w:val="000000"/>
            </w:rPr>
            <w:t>др</w:t>
          </w:r>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54076" w14:textId="77777777" w:rsidR="00F629CC" w:rsidRDefault="00F629CC" w:rsidP="00822088">
      <w:pPr>
        <w:spacing w:after="0" w:line="240" w:lineRule="auto"/>
      </w:pPr>
      <w:r>
        <w:separator/>
      </w:r>
    </w:p>
  </w:endnote>
  <w:endnote w:type="continuationSeparator" w:id="0">
    <w:p w14:paraId="1ABEC0B0" w14:textId="77777777" w:rsidR="00F629CC" w:rsidRDefault="00F629CC"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0C9A49" w14:textId="77777777" w:rsidR="00F629CC" w:rsidRDefault="00F629CC" w:rsidP="00822088">
      <w:pPr>
        <w:spacing w:after="0" w:line="240" w:lineRule="auto"/>
      </w:pPr>
      <w:r>
        <w:separator/>
      </w:r>
    </w:p>
  </w:footnote>
  <w:footnote w:type="continuationSeparator" w:id="0">
    <w:p w14:paraId="68F05700" w14:textId="77777777" w:rsidR="00F629CC" w:rsidRDefault="00F629CC"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629F8"/>
    <w:rsid w:val="0006323E"/>
    <w:rsid w:val="00081748"/>
    <w:rsid w:val="0008777C"/>
    <w:rsid w:val="00091F02"/>
    <w:rsid w:val="00092273"/>
    <w:rsid w:val="000C06E0"/>
    <w:rsid w:val="000C631D"/>
    <w:rsid w:val="000C6922"/>
    <w:rsid w:val="000D7F4C"/>
    <w:rsid w:val="00112B6E"/>
    <w:rsid w:val="00123E88"/>
    <w:rsid w:val="00124BDC"/>
    <w:rsid w:val="001549ED"/>
    <w:rsid w:val="0017764E"/>
    <w:rsid w:val="001B0FFE"/>
    <w:rsid w:val="001B448C"/>
    <w:rsid w:val="001C3AC7"/>
    <w:rsid w:val="00211BD3"/>
    <w:rsid w:val="002246F6"/>
    <w:rsid w:val="00233A13"/>
    <w:rsid w:val="00252A91"/>
    <w:rsid w:val="00295B3B"/>
    <w:rsid w:val="002C0BB8"/>
    <w:rsid w:val="002D62B9"/>
    <w:rsid w:val="00300F39"/>
    <w:rsid w:val="00346A60"/>
    <w:rsid w:val="00355044"/>
    <w:rsid w:val="00361EA1"/>
    <w:rsid w:val="003876A0"/>
    <w:rsid w:val="003A15C5"/>
    <w:rsid w:val="003B0492"/>
    <w:rsid w:val="003C6708"/>
    <w:rsid w:val="003D629E"/>
    <w:rsid w:val="00430CCD"/>
    <w:rsid w:val="00462F47"/>
    <w:rsid w:val="00484C57"/>
    <w:rsid w:val="004A25E7"/>
    <w:rsid w:val="005027A8"/>
    <w:rsid w:val="00505D63"/>
    <w:rsid w:val="0053606B"/>
    <w:rsid w:val="0056598B"/>
    <w:rsid w:val="0057743E"/>
    <w:rsid w:val="00582AEA"/>
    <w:rsid w:val="005A1FB3"/>
    <w:rsid w:val="005C0FF1"/>
    <w:rsid w:val="005C1D3B"/>
    <w:rsid w:val="005D6727"/>
    <w:rsid w:val="005E1B64"/>
    <w:rsid w:val="006435A5"/>
    <w:rsid w:val="00650E65"/>
    <w:rsid w:val="00665828"/>
    <w:rsid w:val="00673948"/>
    <w:rsid w:val="0068586F"/>
    <w:rsid w:val="006F0EF7"/>
    <w:rsid w:val="00701D1A"/>
    <w:rsid w:val="007110A7"/>
    <w:rsid w:val="0072346B"/>
    <w:rsid w:val="00723BA9"/>
    <w:rsid w:val="007315F3"/>
    <w:rsid w:val="00741998"/>
    <w:rsid w:val="00744416"/>
    <w:rsid w:val="00776C02"/>
    <w:rsid w:val="00781762"/>
    <w:rsid w:val="007A32C5"/>
    <w:rsid w:val="007B54B1"/>
    <w:rsid w:val="007F2370"/>
    <w:rsid w:val="008147D4"/>
    <w:rsid w:val="00822088"/>
    <w:rsid w:val="00824CA3"/>
    <w:rsid w:val="00842A2D"/>
    <w:rsid w:val="00862D6E"/>
    <w:rsid w:val="00864EAD"/>
    <w:rsid w:val="00866F49"/>
    <w:rsid w:val="008805C7"/>
    <w:rsid w:val="00887DF9"/>
    <w:rsid w:val="008920E7"/>
    <w:rsid w:val="00896001"/>
    <w:rsid w:val="008A7A55"/>
    <w:rsid w:val="008B1850"/>
    <w:rsid w:val="008E11AA"/>
    <w:rsid w:val="008E1440"/>
    <w:rsid w:val="008F06E7"/>
    <w:rsid w:val="009225F9"/>
    <w:rsid w:val="00983AF2"/>
    <w:rsid w:val="009A5F2D"/>
    <w:rsid w:val="009D6CDC"/>
    <w:rsid w:val="00A26A2E"/>
    <w:rsid w:val="00A315D2"/>
    <w:rsid w:val="00A334C7"/>
    <w:rsid w:val="00A444D4"/>
    <w:rsid w:val="00A847C0"/>
    <w:rsid w:val="00A86D8E"/>
    <w:rsid w:val="00A942C2"/>
    <w:rsid w:val="00AA58FA"/>
    <w:rsid w:val="00AB114F"/>
    <w:rsid w:val="00AE1645"/>
    <w:rsid w:val="00B078CB"/>
    <w:rsid w:val="00B14401"/>
    <w:rsid w:val="00B170E3"/>
    <w:rsid w:val="00B47002"/>
    <w:rsid w:val="00BD5D7E"/>
    <w:rsid w:val="00BF6A5C"/>
    <w:rsid w:val="00C308C7"/>
    <w:rsid w:val="00C44D81"/>
    <w:rsid w:val="00C46339"/>
    <w:rsid w:val="00C479B0"/>
    <w:rsid w:val="00C522F1"/>
    <w:rsid w:val="00C6137C"/>
    <w:rsid w:val="00C62690"/>
    <w:rsid w:val="00CB52C1"/>
    <w:rsid w:val="00CD1121"/>
    <w:rsid w:val="00CE3246"/>
    <w:rsid w:val="00D04F47"/>
    <w:rsid w:val="00D13FED"/>
    <w:rsid w:val="00D963E3"/>
    <w:rsid w:val="00DB76C8"/>
    <w:rsid w:val="00DF758A"/>
    <w:rsid w:val="00E11230"/>
    <w:rsid w:val="00E14866"/>
    <w:rsid w:val="00E21131"/>
    <w:rsid w:val="00E334F8"/>
    <w:rsid w:val="00E52E35"/>
    <w:rsid w:val="00E56E6F"/>
    <w:rsid w:val="00E62A0E"/>
    <w:rsid w:val="00E82245"/>
    <w:rsid w:val="00EA766C"/>
    <w:rsid w:val="00EB20D9"/>
    <w:rsid w:val="00EB3DB0"/>
    <w:rsid w:val="00EC452F"/>
    <w:rsid w:val="00EE74B5"/>
    <w:rsid w:val="00EF54FA"/>
    <w:rsid w:val="00F2204A"/>
    <w:rsid w:val="00F532A3"/>
    <w:rsid w:val="00F61F0C"/>
    <w:rsid w:val="00F629CC"/>
    <w:rsid w:val="00F66346"/>
    <w:rsid w:val="00F77B10"/>
    <w:rsid w:val="00F86377"/>
    <w:rsid w:val="00FA31D8"/>
    <w:rsid w:val="00FA6B7A"/>
    <w:rsid w:val="00FD1F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F7C40"/>
    <w:rsid w:val="0067232C"/>
    <w:rsid w:val="00683803"/>
    <w:rsid w:val="00692A08"/>
    <w:rsid w:val="006B7855"/>
    <w:rsid w:val="006F1611"/>
    <w:rsid w:val="00776D77"/>
    <w:rsid w:val="0093618A"/>
    <w:rsid w:val="00940A13"/>
    <w:rsid w:val="0099256A"/>
    <w:rsid w:val="00B75200"/>
    <w:rsid w:val="00BA287F"/>
    <w:rsid w:val="00C366AC"/>
    <w:rsid w:val="00D4388C"/>
    <w:rsid w:val="00D50C1F"/>
    <w:rsid w:val="00F13E9E"/>
    <w:rsid w:val="00F259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69</Pages>
  <Words>16661</Words>
  <Characters>94968</Characters>
  <Application>Microsoft Office Word</Application>
  <DocSecurity>0</DocSecurity>
  <Lines>791</Lines>
  <Paragraphs>222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15</cp:revision>
  <cp:lastPrinted>2026-04-29T04:12:00Z</cp:lastPrinted>
  <dcterms:created xsi:type="dcterms:W3CDTF">2026-04-29T04:12:00Z</dcterms:created>
  <dcterms:modified xsi:type="dcterms:W3CDTF">2026-05-13T14:28:00Z</dcterms:modified>
</cp:coreProperties>
</file>