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постановка-задачи-машинного-обучения"/>
    <w:p>
      <w:pPr>
        <w:pStyle w:val="Heading1"/>
      </w:pPr>
      <w:r>
        <w:t xml:space="preserve">2.8.1 Постановка задачи машинного обучения</w:t>
      </w:r>
    </w:p>
    <w:bookmarkStart w:id="9" w:name="общее-описание-задачи"/>
    <w:p>
      <w:pPr>
        <w:pStyle w:val="Heading2"/>
      </w:pPr>
      <w:r>
        <w:t xml:space="preserve">Общее описание задачи</w:t>
      </w:r>
    </w:p>
    <w:p>
      <w:pPr>
        <w:pStyle w:val="FirstParagraph"/>
      </w:pPr>
      <w:r>
        <w:t xml:space="preserve">Предсказание аэробно-анаэробного перехода формулируется как задача регрессии:</w:t>
      </w:r>
      <w:r>
        <w:t xml:space="preserve"> </w:t>
      </w:r>
      <w:r>
        <w:t xml:space="preserve">по набору физиологических признаков, извлечённых из текущего скользящего окна</w:t>
      </w:r>
      <w:r>
        <w:t xml:space="preserve"> </w:t>
      </w:r>
      <w:r>
        <w:t xml:space="preserve">сигналов, предсказывается оставшееся время (в секундах) до наступления</w:t>
      </w:r>
      <w:r>
        <w:t xml:space="preserve"> </w:t>
      </w:r>
      <w:r>
        <w:t xml:space="preserve">соответствующего лактатного порога. Такая постановка позволяет непрерывно</w:t>
      </w:r>
      <w:r>
        <w:t xml:space="preserve"> </w:t>
      </w:r>
      <w:r>
        <w:t xml:space="preserve">отслеживать близость к порогу в ходе инкрементального нагрузочного теста без</w:t>
      </w:r>
      <w:r>
        <w:t xml:space="preserve"> </w:t>
      </w:r>
      <w:r>
        <w:t xml:space="preserve">необходимости прерывать его и производить биохимический анализ крови.</w:t>
      </w:r>
    </w:p>
    <w:p>
      <w:pPr>
        <w:pStyle w:val="BodyText"/>
      </w:pPr>
      <w:r>
        <w:t xml:space="preserve">В работе рассматриваются два независимых целевых показателя (таргета):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time_to_LT1</w:t>
      </w:r>
      <w:r>
        <w:t xml:space="preserve"> </w:t>
      </w:r>
      <w:r>
        <w:t xml:space="preserve">— оставшееся время (с) до первого лактатного порога (аэробный</w:t>
      </w:r>
      <w:r>
        <w:t xml:space="preserve"> </w:t>
      </w:r>
      <w:r>
        <w:t xml:space="preserve">порог, LT1);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time_to_LT2</w:t>
      </w:r>
      <w:r>
        <w:t xml:space="preserve"> </w:t>
      </w:r>
      <w:r>
        <w:t xml:space="preserve">— оставшееся время (с) до второго лактатного порога (анаэробный</w:t>
      </w:r>
      <w:r>
        <w:t xml:space="preserve"> </w:t>
      </w:r>
      <w:r>
        <w:t xml:space="preserve">порог, LT2).</w:t>
      </w:r>
    </w:p>
    <w:p>
      <w:pPr>
        <w:pStyle w:val="FirstParagraph"/>
      </w:pPr>
      <w:r>
        <w:t xml:space="preserve">Каждый таргет рассматривается как самостоятельная подзадача: обучение, отбор</w:t>
      </w:r>
      <w:r>
        <w:t xml:space="preserve"> </w:t>
      </w:r>
      <w:r>
        <w:t xml:space="preserve">гиперпараметров и оценка качества производятся раздельно. Это обусловлено</w:t>
      </w:r>
      <w:r>
        <w:t xml:space="preserve"> </w:t>
      </w:r>
      <w:r>
        <w:t xml:space="preserve">различием физиологических механизмов, определяющих LT1 и LT2, что влечёт</w:t>
      </w:r>
      <w:r>
        <w:t xml:space="preserve"> </w:t>
      </w:r>
      <w:r>
        <w:t xml:space="preserve">различия в информативности модальностей признаков (см. раздел 2.8.2) и в</w:t>
      </w:r>
      <w:r>
        <w:t xml:space="preserve"> </w:t>
      </w:r>
      <w:r>
        <w:t xml:space="preserve">структуре предсказательной ошибки.</w:t>
      </w:r>
    </w:p>
    <w:bookmarkEnd w:id="9"/>
    <w:bookmarkStart w:id="10" w:name="формальная-постановка"/>
    <w:p>
      <w:pPr>
        <w:pStyle w:val="Heading2"/>
      </w:pPr>
      <w:r>
        <w:t xml:space="preserve">Формальная постановка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— вектор из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признаков, вычисленных по</w:t>
      </w:r>
      <w:r>
        <w:t xml:space="preserve"> </w:t>
      </w:r>
      <w:r>
        <w:t xml:space="preserve">каузальному скользящему окну сигналов, завершающемуся в момент времени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Каузальность означает, что при формировании признаков используются только отсчёты</w:t>
      </w:r>
      <w:r>
        <w:t xml:space="preserve"> </w:t>
      </w:r>
      <w:r>
        <w:t xml:space="preserve">сигналов из интервала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,</m:t>
        </m:r>
        <m:r>
          <m:t> </m:t>
        </m:r>
        <m:r>
          <m:t>t</m:t>
        </m:r>
        <m:r>
          <m:rPr>
            <m:sty m:val="p"/>
          </m:rPr>
          <m:t>]</m:t>
        </m:r>
      </m:oMath>
      <w:r>
        <w:t xml:space="preserve">, где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— ширина окна; заглядывание вперёд</w:t>
      </w:r>
      <w:r>
        <w:t xml:space="preserve"> </w:t>
      </w:r>
      <w:r>
        <w:t xml:space="preserve">по времени исключено. Параметры нарезки окон и их шаг описаны в разделе</w:t>
      </w:r>
      <w:r>
        <w:t xml:space="preserve"> </w:t>
      </w:r>
      <w:r>
        <w:t xml:space="preserve">[ВСТАВИТЬ: ссылка на раздел про нарезку окон / параметры датасета].</w:t>
      </w:r>
    </w:p>
    <w:p>
      <w:pPr>
        <w:pStyle w:val="BodyText"/>
      </w:pPr>
      <w:r>
        <w:t xml:space="preserve">Целевая переменная</w:t>
      </w:r>
      <w:r>
        <w:t xml:space="preserve"> </w:t>
      </w:r>
      <m:oMath>
        <m:sSubSup>
          <m:e>
            <m:r>
              <m:t>y</m:t>
            </m:r>
          </m:e>
          <m:sub>
            <m:r>
              <m:t>t</m:t>
            </m:r>
          </m:sub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— оставшееся время до порога в секундах.</w:t>
      </w:r>
      <w:r>
        <w:t xml:space="preserve"> </w:t>
      </w:r>
      <w:r>
        <w:t xml:space="preserve">По физиологическому смыслу эта величина монотонно убывает с ходом теста: чем</w:t>
      </w:r>
      <w:r>
        <w:t xml:space="preserve"> </w:t>
      </w:r>
      <w:r>
        <w:t xml:space="preserve">позже момент</w:t>
      </w:r>
      <w:r>
        <w:t xml:space="preserve"> </w:t>
      </w:r>
      <m:oMath>
        <m:r>
          <m:t>t</m:t>
        </m:r>
      </m:oMath>
      <w:r>
        <w:t xml:space="preserve">, тем меньше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при условии непрерывного роста нагрузки. Это</w:t>
      </w:r>
      <w:r>
        <w:t xml:space="preserve"> </w:t>
      </w:r>
      <w:r>
        <w:t xml:space="preserve">свойство монотонности учитывается при постобработке предсказаний (раздел 2.8.5).</w:t>
      </w:r>
    </w:p>
    <w:p>
      <w:pPr>
        <w:pStyle w:val="BodyText"/>
      </w:pPr>
      <w:r>
        <w:t xml:space="preserve">Задача машинного обучения состоит в построении функции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;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параметры которой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оцениваются на обучающей выборке и обобщаются на</w:t>
      </w:r>
      <w:r>
        <w:t xml:space="preserve"> </w:t>
      </w:r>
      <w:r>
        <w:t xml:space="preserve">новых испытуемых. Критерий качества — средняя абсолютная ошибка (MAE, в минутах;</w:t>
      </w:r>
      <w:r>
        <w:t xml:space="preserve"> </w:t>
      </w:r>
      <w:r>
        <w:t xml:space="preserve">обоснование перевода единиц — в разделе 2.8.5).</w:t>
      </w:r>
    </w:p>
    <w:bookmarkEnd w:id="10"/>
    <w:bookmarkStart w:id="11" w:name="формирование-обучающей-выборки"/>
    <w:p>
      <w:pPr>
        <w:pStyle w:val="Heading2"/>
      </w:pPr>
      <w:r>
        <w:t xml:space="preserve">Формирование обучающей выборки</w:t>
      </w:r>
    </w:p>
    <w:p>
      <w:pPr>
        <w:pStyle w:val="FirstParagraph"/>
      </w:pPr>
      <w:r>
        <w:t xml:space="preserve">Для таргета LT2 в обучающую выборку включались окна с валидной разметкой</w:t>
      </w:r>
      <w:r>
        <w:t xml:space="preserve"> </w:t>
      </w:r>
      <w:r>
        <w:t xml:space="preserve">времени до порога и при наличии сигналов достаточного качества во всех</w:t>
      </w:r>
      <w:r>
        <w:t xml:space="preserve"> </w:t>
      </w:r>
      <w:r>
        <w:t xml:space="preserve">модальностях одновременно. Для таргета LT1 дополнительно использовался признак</w:t>
      </w:r>
      <w:r>
        <w:t xml:space="preserve"> </w:t>
      </w:r>
      <w:r>
        <w:t xml:space="preserve">пригодности окна, формируемый на этапе разметки датасета (раздел</w:t>
      </w:r>
      <w:r>
        <w:t xml:space="preserve"> </w:t>
      </w:r>
      <w:r>
        <w:t xml:space="preserve">[ВСТАВИТЬ: ссылка на раздел про нарезку окон / параметры датасета]).</w:t>
      </w:r>
    </w:p>
    <w:p>
      <w:pPr>
        <w:pStyle w:val="BodyText"/>
      </w:pPr>
      <w:r>
        <w:t xml:space="preserve">После фильтрации датасет содержит</w:t>
      </w:r>
      <w:r>
        <w:t xml:space="preserve"> </w:t>
      </w:r>
      <w:r>
        <w:rPr>
          <w:b/>
          <w:bCs/>
        </w:rPr>
        <w:t xml:space="preserve">4 130 окон</w:t>
      </w:r>
      <w:r>
        <w:t xml:space="preserve"> </w:t>
      </w:r>
      <w:r>
        <w:t xml:space="preserve">для LT1 и</w:t>
      </w:r>
      <w:r>
        <w:t xml:space="preserve"> </w:t>
      </w:r>
      <w:r>
        <w:rPr>
          <w:b/>
          <w:bCs/>
        </w:rPr>
        <w:t xml:space="preserve">3 651 окно</w:t>
      </w:r>
      <w:r>
        <w:t xml:space="preserve"> </w:t>
      </w:r>
      <w:r>
        <w:t xml:space="preserve">для LT2,</w:t>
      </w:r>
      <w:r>
        <w:t xml:space="preserve"> </w:t>
      </w:r>
      <w:r>
        <w:t xml:space="preserve">распределённых по</w:t>
      </w:r>
      <w:r>
        <w:t xml:space="preserve"> </w:t>
      </w:r>
      <w:r>
        <w:rPr>
          <w:b/>
          <w:bCs/>
        </w:rPr>
        <w:t xml:space="preserve">18 испытуемым</w:t>
      </w:r>
      <w:r>
        <w:t xml:space="preserve">.</w:t>
      </w:r>
    </w:p>
    <w:p>
      <w:pPr>
        <w:pStyle w:val="BodyText"/>
      </w:pPr>
      <w:r>
        <w:t xml:space="preserve">Калибровочная ступень нагрузки (30 Вт) исключена из обучающих окон: её отсчёты</w:t>
      </w:r>
      <w:r>
        <w:t xml:space="preserve"> </w:t>
      </w:r>
      <w:r>
        <w:t xml:space="preserve">используются исключительно для вычисления базальных физиологических показателей</w:t>
      </w:r>
      <w:r>
        <w:t xml:space="preserve"> </w:t>
      </w:r>
      <w:r>
        <w:t xml:space="preserve">(средние значения ЧСС, ВСР, SmO₂ и ЭМГ-активности в состоянии покоя), которые</w:t>
      </w:r>
      <w:r>
        <w:t xml:space="preserve"> </w:t>
      </w:r>
      <w:r>
        <w:t xml:space="preserve">служат входными признаками маршрутизатора в системе двух специалистов</w:t>
      </w:r>
      <w:r>
        <w:t xml:space="preserve"> </w:t>
      </w:r>
      <w:r>
        <w:t xml:space="preserve">(раздел 2.8.3). Включение калибровочной ступени в обучающие окна создало бы</w:t>
      </w:r>
      <w:r>
        <w:t xml:space="preserve"> </w:t>
      </w:r>
      <w:r>
        <w:t xml:space="preserve">утечку данных: целевая переменная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не определена на этой ступени, а</w:t>
      </w:r>
      <w:r>
        <w:t xml:space="preserve"> </w:t>
      </w:r>
      <w:r>
        <w:t xml:space="preserve">характеристики сигнала на 30 Вт систематически отличаются от таковых при нагрузке.</w:t>
      </w:r>
    </w:p>
    <w:bookmarkEnd w:id="11"/>
    <w:bookmarkStart w:id="12" w:name="связь-с-задачами-работы"/>
    <w:p>
      <w:pPr>
        <w:pStyle w:val="Heading2"/>
      </w:pPr>
      <w:r>
        <w:t xml:space="preserve">Связь с задачами работы</w:t>
      </w:r>
    </w:p>
    <w:p>
      <w:pPr>
        <w:pStyle w:val="FirstParagraph"/>
      </w:pPr>
      <w:r>
        <w:t xml:space="preserve">Описанная постановка задачи непосредственно соответствует задаче ТЗ</w:t>
      </w:r>
      <w:r>
        <w:t xml:space="preserve"> </w:t>
      </w:r>
      <w:r>
        <w:t xml:space="preserve">[ВСТАВИТЬ: номер задачи ТЗ] — «построить модель предсказания времени до</w:t>
      </w:r>
      <w:r>
        <w:t xml:space="preserve"> </w:t>
      </w:r>
      <w:r>
        <w:t xml:space="preserve">лактатного порога по неинвазивным физиологическим сигналам». Валидность выбора</w:t>
      </w:r>
      <w:r>
        <w:t xml:space="preserve"> </w:t>
      </w:r>
      <w:r>
        <w:t xml:space="preserve">регрессионной постановки (а не пороговой классификации) обосновывается тем, что</w:t>
      </w:r>
      <w:r>
        <w:t xml:space="preserve"> </w:t>
      </w:r>
      <w:r>
        <w:t xml:space="preserve">непрерывный прогноз оставшегося времени несёт больше клинически значимой</w:t>
      </w:r>
      <w:r>
        <w:t xml:space="preserve"> </w:t>
      </w:r>
      <w:r>
        <w:t xml:space="preserve">информации, чем бинарная метка «порог пройден / не пройден».</w:t>
      </w:r>
    </w:p>
    <w:bookmarkEnd w:id="12"/>
    <w:bookmarkEnd w:id="13"/>
    <w:bookmarkStart w:id="23" w:name="признаковое-пространство-и-модальности"/>
    <w:p>
      <w:pPr>
        <w:pStyle w:val="Heading1"/>
      </w:pPr>
      <w:r>
        <w:t xml:space="preserve">2.8.2 Признаковое пространство и модальности</w:t>
      </w:r>
    </w:p>
    <w:bookmarkStart w:id="14" w:name="термины-и-обозначения"/>
    <w:p>
      <w:pPr>
        <w:pStyle w:val="Heading2"/>
      </w:pPr>
      <w:r>
        <w:t xml:space="preserve">Термины и обозначения</w:t>
      </w:r>
    </w:p>
    <w:p>
      <w:pPr>
        <w:pStyle w:val="FirstParagraph"/>
      </w:pPr>
      <w:r>
        <w:t xml:space="preserve">В настоящей работе используются следующие термины, которые сохраняются</w:t>
      </w:r>
      <w:r>
        <w:t xml:space="preserve"> </w:t>
      </w:r>
      <w:r>
        <w:t xml:space="preserve">единообразно во всех последующих разделах: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Модальность / набор признаков</w:t>
      </w:r>
      <w:r>
        <w:t xml:space="preserve"> </w:t>
      </w:r>
      <w:r>
        <w:t xml:space="preserve">(feature set) — совокупность признаков,</w:t>
      </w:r>
      <w:r>
        <w:t xml:space="preserve"> </w:t>
      </w:r>
      <w:r>
        <w:t xml:space="preserve">соответствующих одному или нескольким сенсорным источникам: EMG, NIRS, HRV,</w:t>
      </w:r>
      <w:r>
        <w:t xml:space="preserve"> </w:t>
      </w:r>
      <w:r>
        <w:t xml:space="preserve">EMG+NIRS, EMG+NIRS+HRV. Именно это подаётся на вход модели.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Вариант</w:t>
      </w:r>
      <w:r>
        <w:t xml:space="preserve"> </w:t>
      </w:r>
      <w:r>
        <w:t xml:space="preserve">(variant) — with_abs или noabs. Указывает, включены ли в набор</w:t>
      </w:r>
      <w:r>
        <w:t xml:space="preserve"> </w:t>
      </w:r>
      <w:r>
        <w:t xml:space="preserve">признаков так называемые «абсолютные» признаки (средние уровни сигналов</w:t>
      </w:r>
      <w:r>
        <w:t xml:space="preserve"> </w:t>
      </w:r>
      <w:r>
        <w:t xml:space="preserve">в текущем окне). Это независимая ось по отношению к модальности.</w:t>
      </w:r>
    </w:p>
    <w:p>
      <w:pPr>
        <w:pStyle w:val="FirstParagraph"/>
      </w:pPr>
      <w:r>
        <w:t xml:space="preserve">Таким образом, «EMG+NIRS, noabs» и «EMG+NIRS, with_abs» — одна модальность, но</w:t>
      </w:r>
      <w:r>
        <w:t xml:space="preserve"> </w:t>
      </w:r>
      <w:r>
        <w:t xml:space="preserve">два варианта; «EMG+NIRS» и «HRV» — разные модальности вне зависимости от варианта.</w:t>
      </w:r>
    </w:p>
    <w:bookmarkEnd w:id="14"/>
    <w:bookmarkStart w:id="19" w:name="состав-признаков-по-модальностям"/>
    <w:p>
      <w:pPr>
        <w:pStyle w:val="Heading2"/>
      </w:pPr>
      <w:r>
        <w:t xml:space="preserve">Состав признаков по модальностям</w:t>
      </w:r>
    </w:p>
    <w:bookmarkStart w:id="15" w:name="эмг-emg"/>
    <w:p>
      <w:pPr>
        <w:pStyle w:val="Heading3"/>
      </w:pPr>
      <w:r>
        <w:t xml:space="preserve">ЭМГ (EMG)</w:t>
      </w:r>
    </w:p>
    <w:p>
      <w:pPr>
        <w:pStyle w:val="FirstParagraph"/>
      </w:pPr>
      <w:r>
        <w:t xml:space="preserve">Признаки модальности EMG формируются из сырых сигналов поверхностной ЭМГ</w:t>
      </w:r>
      <w:r>
        <w:t xml:space="preserve"> </w:t>
      </w:r>
      <w:r>
        <w:t xml:space="preserve">четырёхглавой мышцы бедра (m. vastus lateralis — дистальный и проксимальный</w:t>
      </w:r>
      <w:r>
        <w:t xml:space="preserve"> </w:t>
      </w:r>
      <w:r>
        <w:t xml:space="preserve">электроды) в сочетании с кинематическими признаками педалирования. Итоговый набор</w:t>
      </w:r>
      <w:r>
        <w:t xml:space="preserve"> </w:t>
      </w:r>
      <w:r>
        <w:t xml:space="preserve">содержит</w:t>
      </w:r>
      <w:r>
        <w:t xml:space="preserve"> </w:t>
      </w:r>
      <w:r>
        <w:rPr>
          <w:b/>
          <w:bCs/>
        </w:rPr>
        <w:t xml:space="preserve">~79 признаков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68 z-нормированных ЭМГ-признаков — статистики временного ряда ЭМГ (RMS,</w:t>
      </w:r>
      <w:r>
        <w:t xml:space="preserve"> </w:t>
      </w:r>
      <w:r>
        <w:t xml:space="preserve">среднее, стандартное отклонение, перцентили, энтропийные и спектральные</w:t>
      </w:r>
      <w:r>
        <w:t xml:space="preserve"> </w:t>
      </w:r>
      <w:r>
        <w:t xml:space="preserve">характеристики), вычисленные в пределах скользящего окна;</w:t>
      </w:r>
    </w:p>
    <w:p>
      <w:pPr>
        <w:pStyle w:val="Compact"/>
        <w:numPr>
          <w:ilvl w:val="0"/>
          <w:numId w:val="1003"/>
        </w:numPr>
      </w:pPr>
      <w:r>
        <w:t xml:space="preserve">11 кинематических признаков — характеристики педального цикла: средняя каденс</w:t>
      </w:r>
      <w:r>
        <w:t xml:space="preserve"> </w:t>
      </w:r>
      <w:r>
        <w:t xml:space="preserve">и её вариабельность; длительности фаз нагрузки и отдыха, их коэффициенты</w:t>
      </w:r>
      <w:r>
        <w:t xml:space="preserve"> </w:t>
      </w:r>
      <w:r>
        <w:t xml:space="preserve">вариации и соотношение; трендовые показатели вариабельности за скользящее</w:t>
      </w:r>
      <w:r>
        <w:t xml:space="preserve"> </w:t>
      </w:r>
      <w:r>
        <w:t xml:space="preserve">30-секундное окно; энтропия выборки (Sample Entropy) по каждой фазе.</w:t>
      </w:r>
    </w:p>
    <w:p>
      <w:pPr>
        <w:pStyle w:val="FirstParagraph"/>
      </w:pPr>
      <w:r>
        <w:t xml:space="preserve">Z-нормировка проводилась per-subject: среднее и стандартное отклонение</w:t>
      </w:r>
      <w:r>
        <w:t xml:space="preserve"> </w:t>
      </w:r>
      <w:r>
        <w:t xml:space="preserve">вычислялись по окнам первой ступени нагрузки и применялись ко всей сессии</w:t>
      </w:r>
      <w:r>
        <w:t xml:space="preserve"> </w:t>
      </w:r>
      <w:r>
        <w:t xml:space="preserve">испытуемого без заглядывания вперёд (каузальность сохранена). Полный список</w:t>
      </w:r>
      <w:r>
        <w:t xml:space="preserve"> </w:t>
      </w:r>
      <w:r>
        <w:t xml:space="preserve">признаков с техническими обозначениями приведён в Приложении</w:t>
      </w:r>
      <w:r>
        <w:t xml:space="preserve"> </w:t>
      </w:r>
      <w:r>
        <w:t xml:space="preserve">[ВСТАВИТЬ: номер приложения].</w:t>
      </w:r>
    </w:p>
    <w:bookmarkEnd w:id="15"/>
    <w:bookmarkStart w:id="16" w:name="nirs-ближняя-инфракрасная-спектроскопия"/>
    <w:p>
      <w:pPr>
        <w:pStyle w:val="Heading3"/>
      </w:pPr>
      <w:r>
        <w:t xml:space="preserve">NIRS (ближняя инфракрасная спектроскопия)</w:t>
      </w:r>
    </w:p>
    <w:p>
      <w:pPr>
        <w:pStyle w:val="FirstParagraph"/>
      </w:pPr>
      <w:r>
        <w:t xml:space="preserve">Признаки модальности NIRS получены из сигналов датчика Train.Red (компания</w:t>
      </w:r>
      <w:r>
        <w:t xml:space="preserve"> </w:t>
      </w:r>
      <w:r>
        <w:t xml:space="preserve">TrainRed) и содержат</w:t>
      </w:r>
      <w:r>
        <w:t xml:space="preserve"> </w:t>
      </w:r>
      <w:r>
        <w:rPr>
          <w:b/>
          <w:bCs/>
        </w:rPr>
        <w:t xml:space="preserve">18 признаков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15 оконных признаков Train.Red: для каждого из четырёх показателей — SmO₂,</w:t>
      </w:r>
      <w:r>
        <w:t xml:space="preserve"> </w:t>
      </w:r>
      <w:r>
        <w:t xml:space="preserve">HHb, HbDiff (индекс оксигенации) и THb (общий гемоглобин) — вычислялись</w:t>
      </w:r>
      <w:r>
        <w:t xml:space="preserve"> </w:t>
      </w:r>
      <w:r>
        <w:t xml:space="preserve">среднее значение, скорость изменения (slope), стандартное отклонение и</w:t>
      </w:r>
      <w:r>
        <w:t xml:space="preserve"> </w:t>
      </w:r>
      <w:r>
        <w:t xml:space="preserve">производная в окне; для SmO₂ дополнительно — величина «провала» от начала</w:t>
      </w:r>
      <w:r>
        <w:t xml:space="preserve"> </w:t>
      </w:r>
      <w:r>
        <w:t xml:space="preserve">окна;</w:t>
      </w:r>
    </w:p>
    <w:p>
      <w:pPr>
        <w:pStyle w:val="Compact"/>
        <w:numPr>
          <w:ilvl w:val="0"/>
          <w:numId w:val="1004"/>
        </w:numPr>
      </w:pPr>
      <w:r>
        <w:t xml:space="preserve">3 кумулятивных признака, вычисляемых нарастающим итогом от начала теста:</w:t>
      </w:r>
      <w:r>
        <w:t xml:space="preserve"> </w:t>
      </w:r>
      <w:r>
        <w:t xml:space="preserve">падение SmO₂ от текущего максимума сессии; подъём HHb от текущего минимума</w:t>
      </w:r>
      <w:r>
        <w:t xml:space="preserve"> </w:t>
      </w:r>
      <w:r>
        <w:t xml:space="preserve">сессии; относительное снижение SmO₂ по отношению к базальному уровню (%).</w:t>
      </w:r>
    </w:p>
    <w:p>
      <w:pPr>
        <w:pStyle w:val="FirstParagraph"/>
      </w:pPr>
      <w:r>
        <w:t xml:space="preserve">Кумулятивные признаки отражают накопленный физиологический сдвиг и тем самым</w:t>
      </w:r>
      <w:r>
        <w:t xml:space="preserve"> </w:t>
      </w:r>
      <w:r>
        <w:t xml:space="preserve">кодируют контекст нагрузочного теста, не нарушая каузальности.</w:t>
      </w:r>
    </w:p>
    <w:p>
      <w:pPr>
        <w:pStyle w:val="BodyText"/>
      </w:pPr>
      <w:r>
        <w:t xml:space="preserve">Running-признаки отражают накопленный физиологический сдвиг и тем самым кодируют</w:t>
      </w:r>
      <w:r>
        <w:t xml:space="preserve"> </w:t>
      </w:r>
      <w:r>
        <w:t xml:space="preserve">контекст нагрузочного теста, не нарушая каузальности.</w:t>
      </w:r>
    </w:p>
    <w:bookmarkEnd w:id="16"/>
    <w:bookmarkStart w:id="17" w:name="вср-hrv"/>
    <w:p>
      <w:pPr>
        <w:pStyle w:val="Heading3"/>
      </w:pPr>
      <w:r>
        <w:t xml:space="preserve">ВСР (HRV)</w:t>
      </w:r>
    </w:p>
    <w:p>
      <w:pPr>
        <w:pStyle w:val="FirstParagraph"/>
      </w:pPr>
      <w:r>
        <w:t xml:space="preserve">Признаки модальности HRV вычислялись из временно́го ряда RR-интервалов</w:t>
      </w:r>
      <w:r>
        <w:t xml:space="preserve"> </w:t>
      </w:r>
      <w:r>
        <w:t xml:space="preserve">(кардиоинтервалограмма) в пределах скользящего окна. Набор содержит</w:t>
      </w:r>
      <w:r>
        <w:t xml:space="preserve"> </w:t>
      </w:r>
      <w:r>
        <w:rPr>
          <w:b/>
          <w:bCs/>
        </w:rPr>
        <w:t xml:space="preserve">7 признаков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RR</w:t>
            </w:r>
          </w:p>
        </w:tc>
        <w:tc>
          <w:tcPr/>
          <w:p>
            <w:pPr>
              <w:pStyle w:val="Compact"/>
            </w:pPr>
            <w:r>
              <w:t xml:space="preserve">Среднее значение RR-интервала в окне (обратно пропорционально ЧСС)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SDNN</w:t>
            </w:r>
          </w:p>
        </w:tc>
        <w:tc>
          <w:tcPr/>
          <w:p>
            <w:pPr>
              <w:pStyle w:val="Compact"/>
            </w:pPr>
            <w:r>
              <w:t xml:space="preserve">Стандартное отклонение RR-интервалов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RMSSD</w:t>
            </w:r>
          </w:p>
        </w:tc>
        <w:tc>
          <w:tcPr/>
          <w:p>
            <w:pPr>
              <w:pStyle w:val="Compact"/>
            </w:pPr>
            <w:r>
              <w:t xml:space="preserve">Корень из среднего квадрата последовательных разностей 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SD1</w:t>
            </w:r>
          </w:p>
        </w:tc>
        <w:tc>
          <w:tcPr/>
          <w:p>
            <w:pPr>
              <w:pStyle w:val="Compact"/>
            </w:pPr>
            <w:r>
              <w:t xml:space="preserve">Кратковременная вариабельность по диаграмме Пуанкаре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SD2</w:t>
            </w:r>
          </w:p>
        </w:tc>
        <w:tc>
          <w:tcPr/>
          <w:p>
            <w:pPr>
              <w:pStyle w:val="Compact"/>
            </w:pPr>
            <w:r>
              <w:t xml:space="preserve">Долговременная вариабельность по диаграмме Пуанкаре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SD1/SD2</w:t>
            </w:r>
          </w:p>
        </w:tc>
        <w:tc>
          <w:tcPr/>
          <w:p>
            <w:pPr>
              <w:pStyle w:val="Compact"/>
            </w:pPr>
            <w:r>
              <w:t xml:space="preserve">Отношение SD1 к SD2 (баланс симпатовагальной активации)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DFA-α1</w:t>
            </w:r>
          </w:p>
        </w:tc>
        <w:tc>
          <w:tcPr/>
          <w:p>
            <w:pPr>
              <w:pStyle w:val="Compact"/>
            </w:pPr>
            <w:r>
              <w:t xml:space="preserve">Показатель нелинейного масштабирования (маркер автономной регуляции)</w:t>
            </w:r>
          </w:p>
        </w:tc>
      </w:tr>
    </w:tbl>
    <w:bookmarkEnd w:id="17"/>
    <w:bookmarkStart w:id="18" w:name="взаимодействия-interaction-features"/>
    <w:p>
      <w:pPr>
        <w:pStyle w:val="Heading3"/>
      </w:pPr>
      <w:r>
        <w:t xml:space="preserve">Взаимодействия (interaction features)</w:t>
      </w:r>
    </w:p>
    <w:p>
      <w:pPr>
        <w:pStyle w:val="FirstParagraph"/>
      </w:pPr>
      <w:r>
        <w:t xml:space="preserve">При использовании модальности EMG+NIRS+HRV к признакам добавляются три</w:t>
      </w:r>
      <w:r>
        <w:t xml:space="preserve"> </w:t>
      </w:r>
      <w:r>
        <w:t xml:space="preserve">перекрёстных признака, формализующих физиологические взаимосвязи:</w:t>
      </w:r>
    </w:p>
    <w:p>
      <w:pPr>
        <w:pStyle w:val="Compact"/>
        <w:numPr>
          <w:ilvl w:val="0"/>
          <w:numId w:val="1005"/>
        </w:numPr>
      </w:pPr>
      <w:r>
        <w:t xml:space="preserve">произведение среднего SmO₂ и среднего RR-интервала — совместный маркер</w:t>
      </w:r>
      <w:r>
        <w:t xml:space="preserve"> </w:t>
      </w:r>
      <w:r>
        <w:t xml:space="preserve">оксигенации и ЧСС;</w:t>
      </w:r>
    </w:p>
    <w:p>
      <w:pPr>
        <w:pStyle w:val="Compact"/>
        <w:numPr>
          <w:ilvl w:val="0"/>
          <w:numId w:val="1005"/>
        </w:numPr>
      </w:pPr>
      <w:r>
        <w:t xml:space="preserve">произведение среднего SmO₂ и DFA-α1 — взаимодействие оксигенации мышцы</w:t>
      </w:r>
      <w:r>
        <w:t xml:space="preserve"> </w:t>
      </w:r>
      <w:r>
        <w:t xml:space="preserve">с нелинейным показателем автономной регуляции;</w:t>
      </w:r>
    </w:p>
    <w:p>
      <w:pPr>
        <w:pStyle w:val="Compact"/>
        <w:numPr>
          <w:ilvl w:val="0"/>
          <w:numId w:val="1005"/>
        </w:numPr>
      </w:pPr>
      <w:r>
        <w:t xml:space="preserve">отношение среднего RR-интервала к текущей мощности нагрузки — ЧСС,</w:t>
      </w:r>
      <w:r>
        <w:t xml:space="preserve"> </w:t>
      </w:r>
      <w:r>
        <w:t xml:space="preserve">нормированная на интенсивность работы.</w:t>
      </w:r>
    </w:p>
    <w:bookmarkEnd w:id="18"/>
    <w:bookmarkEnd w:id="19"/>
    <w:bookmarkStart w:id="20" w:name="комбинации-признаков-наборы"/>
    <w:p>
      <w:pPr>
        <w:pStyle w:val="Heading2"/>
      </w:pPr>
      <w:r>
        <w:t xml:space="preserve">Комбинации признаков (наборы)</w:t>
      </w:r>
    </w:p>
    <w:p>
      <w:pPr>
        <w:pStyle w:val="FirstParagraph"/>
      </w:pPr>
      <w:r>
        <w:t xml:space="preserve">Тестировались пять комбинаций модальностей. Обоснование: выявить минимально</w:t>
      </w:r>
      <w:r>
        <w:t xml:space="preserve"> </w:t>
      </w:r>
      <w:r>
        <w:t xml:space="preserve">достаточный набор сенсоров, обеспечивающий точность, сопоставимую с полным</w:t>
      </w:r>
      <w:r>
        <w:t xml:space="preserve"> </w:t>
      </w:r>
      <w:r>
        <w:t xml:space="preserve">мультимодальным набором.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Набор</w:t>
            </w:r>
          </w:p>
        </w:tc>
        <w:tc>
          <w:tcPr/>
          <w:p>
            <w:pPr>
              <w:pStyle w:val="Compact"/>
            </w:pPr>
            <w:r>
              <w:t xml:space="preserve">Состав</w:t>
            </w:r>
          </w:p>
        </w:tc>
        <w:tc>
          <w:tcPr/>
          <w:p>
            <w:pPr>
              <w:pStyle w:val="Compact"/>
            </w:pPr>
            <w:r>
              <w:t xml:space="preserve">Число признаков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EMG</w:t>
            </w:r>
          </w:p>
        </w:tc>
        <w:tc>
          <w:tcPr/>
          <w:p>
            <w:pPr>
              <w:pStyle w:val="Compact"/>
            </w:pPr>
            <w:r>
              <w:t xml:space="preserve">ЭМГ (z-норм.) + кинематика педалирования</w:t>
            </w:r>
          </w:p>
        </w:tc>
        <w:tc>
          <w:tcPr/>
          <w:p>
            <w:pPr>
              <w:pStyle w:val="Compact"/>
            </w:pPr>
            <w:r>
              <w:t xml:space="preserve">~79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NIRS</w:t>
            </w:r>
          </w:p>
        </w:tc>
        <w:tc>
          <w:tcPr/>
          <w:p>
            <w:pPr>
              <w:pStyle w:val="Compact"/>
            </w:pPr>
            <w:r>
              <w:t xml:space="preserve">Оконные + кумулятивные признаки NIRS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HRV</w:t>
            </w:r>
          </w:p>
        </w:tc>
        <w:tc>
          <w:tcPr/>
          <w:p>
            <w:pPr>
              <w:pStyle w:val="Compact"/>
            </w:pPr>
            <w:r>
              <w:t xml:space="preserve">7 признаков ВСР из RR-интервалов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EMG+NIRS</w:t>
            </w:r>
          </w:p>
        </w:tc>
        <w:tc>
          <w:tcPr/>
          <w:p>
            <w:pPr>
              <w:pStyle w:val="Compact"/>
            </w:pPr>
            <w:r>
              <w:t xml:space="preserve">EMG ∪ NIRS</w:t>
            </w:r>
          </w:p>
        </w:tc>
        <w:tc>
          <w:tcPr/>
          <w:p>
            <w:pPr>
              <w:pStyle w:val="Compact"/>
            </w:pPr>
            <w:r>
              <w:t xml:space="preserve">~97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EMG+NIRS+HRV</w:t>
            </w:r>
          </w:p>
        </w:tc>
        <w:tc>
          <w:tcPr/>
          <w:p>
            <w:pPr>
              <w:pStyle w:val="Compact"/>
            </w:pPr>
            <w:r>
              <w:t xml:space="preserve">EMG ∪ NIRS ∪ HRV ∪ взаимодействия</w:t>
            </w:r>
          </w:p>
        </w:tc>
        <w:tc>
          <w:tcPr/>
          <w:p>
            <w:pPr>
              <w:pStyle w:val="Compact"/>
            </w:pPr>
            <w:r>
              <w:t xml:space="preserve">~107</w:t>
            </w:r>
          </w:p>
        </w:tc>
      </w:tr>
    </w:tbl>
    <w:bookmarkEnd w:id="20"/>
    <w:bookmarkStart w:id="21" w:name="вариант-with_abs-noabs"/>
    <w:p>
      <w:pPr>
        <w:pStyle w:val="Heading2"/>
      </w:pPr>
      <w:r>
        <w:t xml:space="preserve">Вариант with_abs / noabs</w:t>
      </w:r>
    </w:p>
    <w:p>
      <w:pPr>
        <w:pStyle w:val="FirstParagraph"/>
      </w:pPr>
      <w:r>
        <w:t xml:space="preserve">Вариант</w:t>
      </w:r>
      <w:r>
        <w:t xml:space="preserve"> </w:t>
      </w:r>
      <w:r>
        <w:rPr>
          <w:b/>
          <w:bCs/>
        </w:rPr>
        <w:t xml:space="preserve">noabs</w:t>
      </w:r>
      <w:r>
        <w:t xml:space="preserve"> </w:t>
      </w:r>
      <w:r>
        <w:t xml:space="preserve">исключает из любого набора шесть признаков, представляющих</w:t>
      </w:r>
      <w:r>
        <w:t xml:space="preserve"> </w:t>
      </w:r>
      <w:r>
        <w:t xml:space="preserve">собой абсолютные уровни сигналов в текущем окне (а не темп их изменения или</w:t>
      </w:r>
      <w:r>
        <w:t xml:space="preserve"> </w:t>
      </w:r>
      <w:r>
        <w:t xml:space="preserve">относительное отклонение): средние значения SmO₂, HHb, HbDiff и THb за окно,</w:t>
      </w:r>
      <w:r>
        <w:t xml:space="preserve"> </w:t>
      </w:r>
      <w:r>
        <w:t xml:space="preserve">среднее RR-интервала, а также их перекрёстный признак (SmO₂ × среднее RR).</w:t>
      </w:r>
      <w:r>
        <w:t xml:space="preserve"> </w:t>
      </w:r>
      <w:r>
        <w:t xml:space="preserve">Полный список технических обозначений этих признаков приведён в Приложении</w:t>
      </w:r>
      <w:r>
        <w:t xml:space="preserve"> </w:t>
      </w:r>
      <w:r>
        <w:t xml:space="preserve">[ВСТАВИТЬ: номер приложения]. Гипотеза, проверяемая</w:t>
      </w:r>
      <w:r>
        <w:t xml:space="preserve"> </w:t>
      </w:r>
      <w:r>
        <w:t xml:space="preserve">аблейшн-тестом: «модель, обученная исключительно на динамических (трендовых)</w:t>
      </w:r>
      <w:r>
        <w:t xml:space="preserve"> </w:t>
      </w:r>
      <w:r>
        <w:t xml:space="preserve">признаках, не уступает модели, включающей абсолютные уровни». Подтверждение этой</w:t>
      </w:r>
      <w:r>
        <w:t xml:space="preserve"> </w:t>
      </w:r>
      <w:r>
        <w:t xml:space="preserve">гипотезы имело бы практическое значение — снижение необходимости индивидуальной</w:t>
      </w:r>
      <w:r>
        <w:t xml:space="preserve"> </w:t>
      </w:r>
      <w:r>
        <w:t xml:space="preserve">базальной калибровки при клиническом применении.</w:t>
      </w:r>
    </w:p>
    <w:p>
      <w:pPr>
        <w:pStyle w:val="BodyText"/>
      </w:pPr>
      <w:r>
        <w:t xml:space="preserve">Для модальности EMG множества with_abs и noabs совпадают: ни один из признаков</w:t>
      </w:r>
      <w:r>
        <w:t xml:space="preserve"> </w:t>
      </w:r>
      <w:r>
        <w:t xml:space="preserve">EMG не входит в EXCLUDE_ABS.</w:t>
      </w:r>
    </w:p>
    <w:bookmarkEnd w:id="21"/>
    <w:bookmarkStart w:id="22" w:name="базальные-признаки-для-маршрутизатора"/>
    <w:p>
      <w:pPr>
        <w:pStyle w:val="Heading2"/>
      </w:pPr>
      <w:r>
        <w:t xml:space="preserve">Базальные признаки для маршрутизатора</w:t>
      </w:r>
    </w:p>
    <w:p>
      <w:pPr>
        <w:pStyle w:val="FirstParagraph"/>
      </w:pPr>
      <w:r>
        <w:t xml:space="preserve">В системе двух специалистов (раздел 2.8.3) используется маршрутизатор, который</w:t>
      </w:r>
      <w:r>
        <w:t xml:space="preserve"> </w:t>
      </w:r>
      <w:r>
        <w:t xml:space="preserve">на основе физиологических характеристик испытуемого</w:t>
      </w:r>
      <w:r>
        <w:t xml:space="preserve"> </w:t>
      </w:r>
      <w:r>
        <w:rPr>
          <w:b/>
          <w:bCs/>
        </w:rPr>
        <w:t xml:space="preserve">до теста</w:t>
      </w:r>
      <w:r>
        <w:t xml:space="preserve"> </w:t>
      </w:r>
      <w:r>
        <w:t xml:space="preserve">определяет,</w:t>
      </w:r>
      <w:r>
        <w:t xml:space="preserve"> </w:t>
      </w:r>
      <w:r>
        <w:t xml:space="preserve">к какому классу подгруппы он относится. Входные признаки маршрутизатора</w:t>
      </w:r>
      <w:r>
        <w:t xml:space="preserve"> </w:t>
      </w:r>
      <w:r>
        <w:t xml:space="preserve">формируются из двух источников: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Антропометрия и состав тела</w:t>
      </w:r>
      <w:r>
        <w:t xml:space="preserve">: возраст, пол, рост, масса тела, ИМТ, процент</w:t>
      </w:r>
      <w:r>
        <w:t xml:space="preserve"> </w:t>
      </w:r>
      <w:r>
        <w:t xml:space="preserve">жировой массы, угол фазы биоимпеданса;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Базальные физиологические показатели</w:t>
      </w:r>
      <w:r>
        <w:t xml:space="preserve"> </w:t>
      </w:r>
      <w:r>
        <w:t xml:space="preserve">(калибровочная ступень 30 Вт):</w:t>
      </w:r>
      <w:r>
        <w:t xml:space="preserve"> </w:t>
      </w:r>
      <w:r>
        <w:t xml:space="preserve">средняя ЧСС, RMSSD, ЭМГ-активность дистального и проксимального электродов,</w:t>
      </w:r>
      <w:r>
        <w:t xml:space="preserve"> </w:t>
      </w:r>
      <w:r>
        <w:t xml:space="preserve">мышечная оксигенация SmO₂.</w:t>
      </w:r>
    </w:p>
    <w:p>
      <w:pPr>
        <w:pStyle w:val="FirstParagraph"/>
      </w:pPr>
      <w:r>
        <w:t xml:space="preserve">Эти признаки не входят в основное признаковое пространство модели предсказания</w:t>
      </w:r>
      <w:r>
        <w:t xml:space="preserve"> </w:t>
      </w:r>
      <w:r>
        <w:t xml:space="preserve">и не создают утечки данных, поскольку относятся к дотестовому периоду и не</w:t>
      </w:r>
      <w:r>
        <w:t xml:space="preserve"> </w:t>
      </w:r>
      <w:r>
        <w:t xml:space="preserve">содержат информации о целевой переменной.</w:t>
      </w:r>
    </w:p>
    <w:bookmarkEnd w:id="22"/>
    <w:bookmarkEnd w:id="23"/>
    <w:bookmarkStart w:id="31" w:name="семейства-моделей"/>
    <w:p>
      <w:pPr>
        <w:pStyle w:val="Heading1"/>
      </w:pPr>
      <w:r>
        <w:t xml:space="preserve">2.8.3 Семейства моделей</w:t>
      </w:r>
    </w:p>
    <w:bookmarkStart w:id="24" w:name="X837ac61f6def442700a65e3fc58f68095895add"/>
    <w:p>
      <w:pPr>
        <w:pStyle w:val="Heading2"/>
      </w:pPr>
      <w:r>
        <w:t xml:space="preserve">Методологическое обоснование широкого перебора</w:t>
      </w:r>
    </w:p>
    <w:p>
      <w:pPr>
        <w:pStyle w:val="FirstParagraph"/>
      </w:pPr>
      <w:r>
        <w:t xml:space="preserve">При малом числе испытуемых (n = 18) нет оснований заранее отдавать предпочтение</w:t>
      </w:r>
      <w:r>
        <w:t xml:space="preserve"> </w:t>
      </w:r>
      <w:r>
        <w:t xml:space="preserve">более сложным архитектурам перед линейными моделями. Поэтому в работе применялась</w:t>
      </w:r>
      <w:r>
        <w:t xml:space="preserve"> </w:t>
      </w:r>
      <w:r>
        <w:t xml:space="preserve">стратегия систематического перебора: одно линейное семейство с зоопарком из</w:t>
      </w:r>
      <w:r>
        <w:t xml:space="preserve"> </w:t>
      </w:r>
      <w:r>
        <w:t xml:space="preserve">классических алгоритмов sklearn и девять нейросетевых архитектур, охватывающих</w:t>
      </w:r>
      <w:r>
        <w:t xml:space="preserve"> </w:t>
      </w:r>
      <w:r>
        <w:t xml:space="preserve">четыре принципиально различных подхода к обработке временны́х рядов. Каждая</w:t>
      </w:r>
      <w:r>
        <w:t xml:space="preserve"> </w:t>
      </w:r>
      <w:r>
        <w:t xml:space="preserve">архитектура тестировалась на всех пяти наборах признаков в двух вариантах</w:t>
      </w:r>
      <w:r>
        <w:t xml:space="preserve"> </w:t>
      </w:r>
      <w:r>
        <w:t xml:space="preserve">(with_abs / noabs), что даёт 164 строки в финальном рейтинге. Широкий перебор —</w:t>
      </w:r>
      <w:r>
        <w:t xml:space="preserve"> </w:t>
      </w:r>
      <w:r>
        <w:t xml:space="preserve">не перебор ради перебора, а явный методологический выбор: он позволяет ответить</w:t>
      </w:r>
      <w:r>
        <w:t xml:space="preserve"> </w:t>
      </w:r>
      <w:r>
        <w:t xml:space="preserve">на вопрос, насколько нейросетевая сложность оправдана при данном объёме выборки.</w:t>
      </w:r>
    </w:p>
    <w:bookmarkEnd w:id="24"/>
    <w:bookmarkStart w:id="25" w:name="линейное-семейство-v0011"/>
    <w:p>
      <w:pPr>
        <w:pStyle w:val="Heading2"/>
      </w:pPr>
      <w:r>
        <w:t xml:space="preserve">Линейное семейство (v0011)</w:t>
      </w:r>
    </w:p>
    <w:p>
      <w:pPr>
        <w:pStyle w:val="FirstParagraph"/>
      </w:pPr>
      <w:r>
        <w:t xml:space="preserve">Версия v0011 реализует «зоопарк» из алгоритмов scikit-learn (версия 1.8.0).</w:t>
      </w:r>
      <w:r>
        <w:t xml:space="preserve"> </w:t>
      </w:r>
      <w:r>
        <w:t xml:space="preserve">Для каждой комбинации (набор признаков × вариант × таргет) перебирались следующие</w:t>
      </w:r>
      <w:r>
        <w:t xml:space="preserve"> </w:t>
      </w:r>
      <w:r>
        <w:t xml:space="preserve">конфигурации: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Алгоритм</w:t>
            </w:r>
          </w:p>
        </w:tc>
        <w:tc>
          <w:tcPr/>
          <w:p>
            <w:pPr>
              <w:pStyle w:val="Compact"/>
            </w:pPr>
            <w:r>
              <w:t xml:space="preserve">Гиперпараметры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α ∈ {1, 10, 100, 1000}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HuberRegressor</w:t>
            </w:r>
          </w:p>
        </w:tc>
        <w:tc>
          <w:tcPr/>
          <w:p>
            <w:pPr>
              <w:pStyle w:val="Compact"/>
            </w:pPr>
            <w:r>
              <w:t xml:space="preserve">ε ∈ {1,1; 1,35; 1,5; 2,0}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ElasticNet</w:t>
            </w:r>
          </w:p>
        </w:tc>
        <w:tc>
          <w:tcPr/>
          <w:p>
            <w:pPr>
              <w:pStyle w:val="Compact"/>
            </w:pPr>
            <w:r>
              <w:t xml:space="preserve">α ∈ {0,01; 0,1; 1,0} × l1_ratio ∈ {0,2; 0,5; 0,9}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GradientBoostingRegressor</w:t>
            </w:r>
          </w:p>
        </w:tc>
        <w:tc>
          <w:tcPr/>
          <w:p>
            <w:pPr>
              <w:pStyle w:val="Compact"/>
            </w:pPr>
            <w:r>
              <w:t xml:space="preserve">n_estimators ∈ {50, 100, 200} × max_depth ∈ {2, 3}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SVR (ядро RBF)</w:t>
            </w:r>
          </w:p>
        </w:tc>
        <w:tc>
          <w:tcPr/>
          <w:p>
            <w:pPr>
              <w:pStyle w:val="Compact"/>
            </w:pPr>
            <w:r>
              <w:t xml:space="preserve">C ∈ {1, 10, 100} × ε ∈ {0,1; 1,0}</w:t>
            </w:r>
          </w:p>
        </w:tc>
      </w:tr>
    </w:tbl>
    <w:p>
      <w:pPr>
        <w:pStyle w:val="BodyText"/>
      </w:pPr>
      <w:r>
        <w:t xml:space="preserve">В рамках LOSO для каждого фолда лучшая конфигурация выбирается как та, которая</w:t>
      </w:r>
      <w:r>
        <w:t xml:space="preserve"> </w:t>
      </w:r>
      <w:r>
        <w:t xml:space="preserve">минимизирует медиану MAE по субъектам (loso_mae_median, раздел 2.8.5) на</w:t>
      </w:r>
      <w:r>
        <w:t xml:space="preserve"> </w:t>
      </w:r>
      <w:r>
        <w:t xml:space="preserve">оставшихся 17 испытуемых обучающего множества.</w:t>
      </w:r>
    </w:p>
    <w:bookmarkEnd w:id="25"/>
    <w:bookmarkStart w:id="29" w:name="нейросетевые-семейства"/>
    <w:p>
      <w:pPr>
        <w:pStyle w:val="Heading2"/>
      </w:pPr>
      <w:r>
        <w:t xml:space="preserve">Нейросетевые семейства</w:t>
      </w:r>
    </w:p>
    <w:p>
      <w:pPr>
        <w:pStyle w:val="FirstParagraph"/>
      </w:pPr>
      <w:r>
        <w:t xml:space="preserve">Все нейросетевые версии обучались на GPU-сервере; предсказания сохранялись в</w:t>
      </w:r>
      <w:r>
        <w:t xml:space="preserve"> </w:t>
      </w:r>
      <w:r>
        <w:t xml:space="preserve">бинарные файлы и используются при финальном анализе без переобучения. Версии</w:t>
      </w:r>
      <w:r>
        <w:t xml:space="preserve"> </w:t>
      </w:r>
      <w:r>
        <w:t xml:space="preserve">сгруппированы по архитектурному принципу.</w:t>
      </w:r>
    </w:p>
    <w:bookmarkStart w:id="26" w:name="семейство-lstm-v0101-v0104"/>
    <w:p>
      <w:pPr>
        <w:pStyle w:val="Heading3"/>
      </w:pPr>
      <w:r>
        <w:t xml:space="preserve">Семейство LSTM (v0101, v0104)</w:t>
      </w:r>
    </w:p>
    <w:p>
      <w:pPr>
        <w:pStyle w:val="FirstParagraph"/>
      </w:pPr>
      <w:r>
        <w:rPr>
          <w:b/>
          <w:bCs/>
        </w:rPr>
        <w:t xml:space="preserve">v0101 — LSTM</w:t>
      </w:r>
      <w:r>
        <w:t xml:space="preserve">. Базовая рекуррентная архитектура на основе LSTM-ячеек</w:t>
      </w:r>
      <w:r>
        <w:t xml:space="preserve"> </w:t>
      </w:r>
      <w:r>
        <w:t xml:space="preserve">(Long Short-Term Memory). Применялось seq_length = 15 смежных окон (~75 с</w:t>
      </w:r>
      <w:r>
        <w:t xml:space="preserve"> </w:t>
      </w:r>
      <w:r>
        <w:t xml:space="preserve">контекста), hidden_size = 128, три скрытых слоя, dropout = 0,4, 100 эпох</w:t>
      </w:r>
      <w:r>
        <w:t xml:space="preserve"> </w:t>
      </w:r>
      <w:r>
        <w:t xml:space="preserve">обучения. Входом служит матрица последовательных векторов признаков размером</w:t>
      </w:r>
      <w:r>
        <w:t xml:space="preserve"> </w:t>
      </w:r>
      <w:r>
        <w:t xml:space="preserve">(seq_length × n_features); выходом — скалярное предсказание оставшегося времени.</w:t>
      </w:r>
    </w:p>
    <w:p>
      <w:pPr>
        <w:pStyle w:val="BodyText"/>
      </w:pPr>
      <w:r>
        <w:rPr>
          <w:b/>
          <w:bCs/>
        </w:rPr>
        <w:t xml:space="preserve">v0104 — Attention-LSTM</w:t>
      </w:r>
      <w:r>
        <w:t xml:space="preserve">. Расширение v0101 механизмом многоголового</w:t>
      </w:r>
      <w:r>
        <w:t xml:space="preserve"> </w:t>
      </w:r>
      <w:r>
        <w:t xml:space="preserve">самовнимания (multi-head self-attention). Позиционное кодирование добавляет</w:t>
      </w:r>
      <w:r>
        <w:t xml:space="preserve"> </w:t>
      </w:r>
      <w:r>
        <w:t xml:space="preserve">информацию о положении окна в последовательности; механизм внимания позволяет</w:t>
      </w:r>
      <w:r>
        <w:t xml:space="preserve"> </w:t>
      </w:r>
      <w:r>
        <w:t xml:space="preserve">взвешивать вклад разных временны́х позиций в итоговое предсказание.</w:t>
      </w:r>
      <w:r>
        <w:t xml:space="preserve"> </w:t>
      </w:r>
      <w:r>
        <w:t xml:space="preserve">seq_length увеличен до 30–40 окон (150–200 с), что обеспечивает охват значительной</w:t>
      </w:r>
      <w:r>
        <w:t xml:space="preserve"> </w:t>
      </w:r>
      <w:r>
        <w:t xml:space="preserve">части нагрузочного теста.</w:t>
      </w:r>
      <w:r>
        <w:t xml:space="preserve"> </w:t>
      </w:r>
      <w:r>
        <w:t xml:space="preserve">### Семейство TCN (v0102, v0105)</w:t>
      </w:r>
    </w:p>
    <w:p>
      <w:pPr>
        <w:pStyle w:val="BodyText"/>
      </w:pPr>
      <w:r>
        <w:rPr>
          <w:b/>
          <w:bCs/>
        </w:rPr>
        <w:t xml:space="preserve">v0102 — TCN (Temporal Convolutional Network)</w:t>
      </w:r>
      <w:r>
        <w:t xml:space="preserve">. Дилатированные причинно</w:t>
      </w:r>
      <w:r>
        <w:t xml:space="preserve"> </w:t>
      </w:r>
      <w:r>
        <w:t xml:space="preserve">направленные свёртки по времени с геометрически возрастающими коэффициентами</w:t>
      </w:r>
      <w:r>
        <w:t xml:space="preserve"> </w:t>
      </w:r>
      <w:r>
        <w:t xml:space="preserve">дилатации [1, 2, 4, 8, 16, 32], kernel_size = 3. Каждый TCN-блок включает две</w:t>
      </w:r>
      <w:r>
        <w:t xml:space="preserve"> </w:t>
      </w:r>
      <w:r>
        <w:t xml:space="preserve">свёрточные операции с нормализацией и активацией ReLU, а также residual-связь</w:t>
      </w:r>
      <w:r>
        <w:t xml:space="preserve"> </w:t>
      </w:r>
      <w:r>
        <w:t xml:space="preserve">для стабилизации градиентного потока. Архитектура содержит 5–7 таких блоков,</w:t>
      </w:r>
      <w:r>
        <w:t xml:space="preserve"> </w:t>
      </w:r>
      <w:r>
        <w:t xml:space="preserve">что обеспечивает рецептивное поле, охватывающее полный диапазон seq_length.</w:t>
      </w:r>
      <w:r>
        <w:t xml:space="preserve"> </w:t>
      </w:r>
      <w:r>
        <w:t xml:space="preserve">Преимущество TCN перед LSTM при данной задаче — параллельная (а не рекуррентная)</w:t>
      </w:r>
      <w:r>
        <w:t xml:space="preserve"> </w:t>
      </w:r>
      <w:r>
        <w:t xml:space="preserve">обработка последовательности, что ликвидирует проблему нахлёстывающихся окон</w:t>
      </w:r>
      <w:r>
        <w:t xml:space="preserve"> </w:t>
      </w:r>
      <w:r>
        <w:t xml:space="preserve">при малом шаге.</w:t>
      </w:r>
    </w:p>
    <w:p>
      <w:pPr>
        <w:pStyle w:val="BodyText"/>
      </w:pPr>
      <w:r>
        <w:rPr>
          <w:b/>
          <w:bCs/>
        </w:rPr>
        <w:t xml:space="preserve">v0105 — Monotonic TCN</w:t>
      </w:r>
      <w:r>
        <w:t xml:space="preserve">. Архитектурно аналогичен v0102, но функция потерь</w:t>
      </w:r>
      <w:r>
        <w:t xml:space="preserve"> </w:t>
      </w:r>
      <w:r>
        <w:t xml:space="preserve">дополнена штрафом монотонности: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вес монотонного штрафа (тестировались значения 1,0 и 10,0).</w:t>
      </w:r>
      <w:r>
        <w:t xml:space="preserve"> </w:t>
      </w:r>
      <w:r>
        <w:t xml:space="preserve">Штраф поощряет убывание предсказаний во времени, кодируя физиологическое</w:t>
      </w:r>
      <w:r>
        <w:t xml:space="preserve"> </w:t>
      </w:r>
      <w:r>
        <w:t xml:space="preserve">ограничение «время до порога не может возрасти в ходе нагрузочного теста».</w:t>
      </w:r>
    </w:p>
    <w:bookmarkEnd w:id="26"/>
    <w:bookmarkStart w:id="27" w:name="X08961533c79eb01a164e58bf2c392f12004e652"/>
    <w:p>
      <w:pPr>
        <w:pStyle w:val="Heading3"/>
      </w:pPr>
      <w:r>
        <w:t xml:space="preserve">Семейство Wavelet (v0103, v0106a, v0106b, v0106c)</w:t>
      </w:r>
    </w:p>
    <w:p>
      <w:pPr>
        <w:pStyle w:val="FirstParagraph"/>
      </w:pPr>
      <w:r>
        <w:rPr>
          <w:b/>
          <w:bCs/>
        </w:rPr>
        <w:t xml:space="preserve">v0103 — Wavelet-CNN-LSTM</w:t>
      </w:r>
      <w:r>
        <w:t xml:space="preserve">. Гибридная архитектура, объединяющая вейвлет-анализ,</w:t>
      </w:r>
      <w:r>
        <w:t xml:space="preserve"> </w:t>
      </w:r>
      <w:r>
        <w:t xml:space="preserve">сверточные сети и рекуррентный блок. Пайплайн: для каждого признака в пределах</w:t>
      </w:r>
      <w:r>
        <w:t xml:space="preserve"> </w:t>
      </w:r>
      <w:r>
        <w:t xml:space="preserve">скользящего окна вычислялось непрерывное вейвлет-преобразование (CWT) с материнским</w:t>
      </w:r>
      <w:r>
        <w:t xml:space="preserve"> </w:t>
      </w:r>
      <w:r>
        <w:t xml:space="preserve">вейвлетом Морле (масштабы 1–99), формируя двумерные скалограммы (время × масштаб).</w:t>
      </w:r>
      <w:r>
        <w:t xml:space="preserve"> </w:t>
      </w:r>
      <w:r>
        <w:t xml:space="preserve">Двумерная сверточная сеть (три сверточных блока с числом фильтров 64, 128, 256,</w:t>
      </w:r>
      <w:r>
        <w:t xml:space="preserve"> </w:t>
      </w:r>
      <w:r>
        <w:t xml:space="preserve">нормализация по батчу, максимальный пулинг) извлекала пространственно-частотные</w:t>
      </w:r>
      <w:r>
        <w:t xml:space="preserve"> </w:t>
      </w:r>
      <w:r>
        <w:t xml:space="preserve">признаки из скалограмм. Полученный вектор признаков обрабатывался двуслойным LSTM</w:t>
      </w:r>
      <w:r>
        <w:t xml:space="preserve"> </w:t>
      </w:r>
      <w:r>
        <w:t xml:space="preserve">(hidden_size = 128) для захвата последовательной зависимости, и линейный слой</w:t>
      </w:r>
      <w:r>
        <w:t xml:space="preserve"> </w:t>
      </w:r>
      <w:r>
        <w:t xml:space="preserve">давал итоговое предсказание. Вейвлет-декомпозиция позволяет явно разделить</w:t>
      </w:r>
      <w:r>
        <w:t xml:space="preserve"> </w:t>
      </w:r>
      <w:r>
        <w:t xml:space="preserve">быстроизменяющиеся (мышечная усталость, ВСР) и медленные (тренды оксигенации)</w:t>
      </w:r>
      <w:r>
        <w:t xml:space="preserve"> </w:t>
      </w:r>
      <w:r>
        <w:t xml:space="preserve">компоненты физиологических сигналов.</w:t>
      </w:r>
    </w:p>
    <w:p>
      <w:pPr>
        <w:pStyle w:val="BodyText"/>
      </w:pPr>
      <w:r>
        <w:rPr>
          <w:b/>
          <w:bCs/>
        </w:rPr>
        <w:t xml:space="preserve">v0106a, v0106b, v0106c</w:t>
      </w:r>
      <w:r>
        <w:t xml:space="preserve"> </w:t>
      </w:r>
      <w:r>
        <w:t xml:space="preserve">— три альтернативные конфигурации вейвлет-архитектуры,</w:t>
      </w:r>
      <w:r>
        <w:t xml:space="preserve"> </w:t>
      </w:r>
      <w:r>
        <w:t xml:space="preserve">различающиеся гиперпараметрами (seq_length, глубина CNN/LSTM, масштабы CWT). Каждая</w:t>
      </w:r>
      <w:r>
        <w:t xml:space="preserve"> </w:t>
      </w:r>
      <w:r>
        <w:t xml:space="preserve">конфигурация обучалась и оценивалась независимо, что позволяет оценить</w:t>
      </w:r>
      <w:r>
        <w:t xml:space="preserve"> </w:t>
      </w:r>
      <w:r>
        <w:t xml:space="preserve">чувствительность вейвлет-подхода к выбору архитектурных параметров.</w:t>
      </w:r>
    </w:p>
    <w:bookmarkEnd w:id="27"/>
    <w:bookmarkStart w:id="28" w:name="ансамблевое-семейство-v0107"/>
    <w:p>
      <w:pPr>
        <w:pStyle w:val="Heading3"/>
      </w:pPr>
      <w:r>
        <w:t xml:space="preserve">Ансамблевое семейство (v0107)</w:t>
      </w:r>
    </w:p>
    <w:p>
      <w:pPr>
        <w:pStyle w:val="FirstParagraph"/>
      </w:pPr>
      <w:r>
        <w:rPr>
          <w:b/>
          <w:bCs/>
        </w:rPr>
        <w:t xml:space="preserve">v0107 — Ensemble</w:t>
      </w:r>
      <w:r>
        <w:t xml:space="preserve">. Ансамбль, объединяющий предсказания лучших одиночных</w:t>
      </w:r>
      <w:r>
        <w:t xml:space="preserve"> </w:t>
      </w:r>
      <w:r>
        <w:t xml:space="preserve">архитектур (LSTM, TCN, линейной модели) через взвешенное усреднение. Веса</w:t>
      </w:r>
      <w:r>
        <w:t xml:space="preserve"> </w:t>
      </w:r>
      <w:r>
        <w:t xml:space="preserve">ансамбля могут быть равными (1/K каждый) или оптимизированными на валидационном</w:t>
      </w:r>
      <w:r>
        <w:t xml:space="preserve"> </w:t>
      </w:r>
      <w:r>
        <w:t xml:space="preserve">фолде. Ансамблирование снижает дисперсию предсказания за счёт компенсации</w:t>
      </w:r>
      <w:r>
        <w:t xml:space="preserve"> </w:t>
      </w:r>
      <w:r>
        <w:t xml:space="preserve">ошибок разнородных архитектур.</w:t>
      </w:r>
      <w:r>
        <w:t xml:space="preserve"> </w:t>
      </w:r>
      <w:r>
        <w:t xml:space="preserve">## Сводная таблица семейств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Семейство</w:t>
            </w:r>
          </w:p>
        </w:tc>
        <w:tc>
          <w:tcPr/>
          <w:p>
            <w:pPr>
              <w:pStyle w:val="Compact"/>
            </w:pPr>
            <w:r>
              <w:t xml:space="preserve">Ключевая идея</w:t>
            </w:r>
          </w:p>
        </w:tc>
        <w:tc>
          <w:tcPr/>
          <w:p>
            <w:pPr>
              <w:pStyle w:val="Compact"/>
            </w:pPr>
            <w:r>
              <w:t xml:space="preserve">Число NN-вариантов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v0011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sklearn-зоопарк, 5 алгоритмов, перебор гиперпараметров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v0101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LSTM (seq=15, 3 слоя, attention=нет)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v0104</w:t>
            </w:r>
          </w:p>
        </w:tc>
        <w:tc>
          <w:tcPr/>
          <w:p>
            <w:pPr>
              <w:pStyle w:val="Compact"/>
            </w:pPr>
            <w:r>
              <w:t xml:space="preserve">lstm</w:t>
            </w:r>
          </w:p>
        </w:tc>
        <w:tc>
          <w:tcPr/>
          <w:p>
            <w:pPr>
              <w:pStyle w:val="Compact"/>
            </w:pPr>
            <w:r>
              <w:t xml:space="preserve">Attention-LSTM (seq=30–40, self-attention)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v0102</w:t>
            </w:r>
          </w:p>
        </w:tc>
        <w:tc>
          <w:tcPr/>
          <w:p>
            <w:pPr>
              <w:pStyle w:val="Compact"/>
            </w:pPr>
            <w:r>
              <w:t xml:space="preserve">tcn</w:t>
            </w:r>
          </w:p>
        </w:tc>
        <w:tc>
          <w:tcPr/>
          <w:p>
            <w:pPr>
              <w:pStyle w:val="Compact"/>
            </w:pPr>
            <w:r>
              <w:t xml:space="preserve">Dilated TCN, residual-блоки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v0105</w:t>
            </w:r>
          </w:p>
        </w:tc>
        <w:tc>
          <w:tcPr/>
          <w:p>
            <w:pPr>
              <w:pStyle w:val="Compact"/>
            </w:pPr>
            <w:r>
              <w:t xml:space="preserve">tcn</w:t>
            </w:r>
          </w:p>
        </w:tc>
        <w:tc>
          <w:tcPr/>
          <w:p>
            <w:pPr>
              <w:pStyle w:val="Compact"/>
            </w:pPr>
            <w:r>
              <w:t xml:space="preserve">Monotonic TCN (штраф монотонности)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v0103</w:t>
            </w:r>
          </w:p>
        </w:tc>
        <w:tc>
          <w:tcPr/>
          <w:p>
            <w:pPr>
              <w:pStyle w:val="Compact"/>
            </w:pPr>
            <w:r>
              <w:t xml:space="preserve">wavelet</w:t>
            </w:r>
          </w:p>
        </w:tc>
        <w:tc>
          <w:tcPr/>
          <w:p>
            <w:pPr>
              <w:pStyle w:val="Compact"/>
            </w:pPr>
            <w:r>
              <w:t xml:space="preserve">CWT + 2D-CNN + LSTM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v0106a/b/c</w:t>
            </w:r>
          </w:p>
        </w:tc>
        <w:tc>
          <w:tcPr/>
          <w:p>
            <w:pPr>
              <w:pStyle w:val="Compact"/>
            </w:pPr>
            <w:r>
              <w:t xml:space="preserve">wavelet</w:t>
            </w:r>
          </w:p>
        </w:tc>
        <w:tc>
          <w:tcPr/>
          <w:p>
            <w:pPr>
              <w:pStyle w:val="Compact"/>
            </w:pPr>
            <w:r>
              <w:t xml:space="preserve">Вейвлет (3 конфигурации)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v0107</w:t>
            </w:r>
          </w:p>
        </w:tc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Взвешенный ансамбль архитектур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Итого:</w:t>
      </w:r>
      <w:r>
        <w:t xml:space="preserve"> </w:t>
      </w:r>
      <w:r>
        <w:rPr>
          <w:b/>
          <w:bCs/>
        </w:rPr>
        <w:t xml:space="preserve">1 линейная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9 нейросетевых</w:t>
      </w:r>
      <w:r>
        <w:t xml:space="preserve"> </w:t>
      </w:r>
      <w:r>
        <w:t xml:space="preserve">версий.</w:t>
      </w:r>
    </w:p>
    <w:bookmarkEnd w:id="28"/>
    <w:bookmarkEnd w:id="29"/>
    <w:bookmarkStart w:id="30" w:name="система-двух-специалистов-v0011-lt1"/>
    <w:p>
      <w:pPr>
        <w:pStyle w:val="Heading2"/>
      </w:pPr>
      <w:r>
        <w:t xml:space="preserve">Система двух специалистов (v0011, LT1)</w:t>
      </w:r>
    </w:p>
    <w:p>
      <w:pPr>
        <w:pStyle w:val="FirstParagraph"/>
      </w:pPr>
      <w:r>
        <w:t xml:space="preserve">Дополнительно для таргета LT1 тестировалась гипотеза о том, что специализированные</w:t>
      </w:r>
      <w:r>
        <w:t xml:space="preserve"> </w:t>
      </w:r>
      <w:r>
        <w:t xml:space="preserve">модели — отдельно для тренированных и нетренированных испытуемых — превосходят</w:t>
      </w:r>
      <w:r>
        <w:t xml:space="preserve"> </w:t>
      </w:r>
      <w:r>
        <w:t xml:space="preserve">единую обобщённую модель (generalist). Разметка: испытуемый считается</w:t>
      </w:r>
      <w:r>
        <w:t xml:space="preserve"> </w:t>
      </w:r>
      <w:r>
        <w:t xml:space="preserve">«тренированным», если время_до_LT2 &gt; 13 мин (6 субъектов); остальные 12 —</w:t>
      </w:r>
      <w:r>
        <w:t xml:space="preserve"> </w:t>
      </w:r>
      <w:r>
        <w:t xml:space="preserve">«нетренированные». В качестве базовой модели для обоих специалистов использовалась</w:t>
      </w:r>
      <w:r>
        <w:t xml:space="preserve"> </w:t>
      </w:r>
      <w:r>
        <w:t xml:space="preserve">Ridge-регрессия (α = 1000, выбран по LOSO на полной выборке), модальность EMG+NIRS.</w:t>
      </w:r>
    </w:p>
    <w:p>
      <w:pPr>
        <w:pStyle w:val="BodyText"/>
      </w:pPr>
      <w:r>
        <w:t xml:space="preserve">Маршрутизатор — логистическая регрессия, обученная в режиме LOSO по 17 субъектам</w:t>
      </w:r>
      <w:r>
        <w:t xml:space="preserve"> </w:t>
      </w:r>
      <w:r>
        <w:t xml:space="preserve">на каждой итерации, с входными признаками: антропометрия и состав тела (возраст,</w:t>
      </w:r>
      <w:r>
        <w:t xml:space="preserve"> </w:t>
      </w:r>
      <w:r>
        <w:t xml:space="preserve">ИМТ, процент жировой массы, угол фазы биоимпеданса, рост, масса тела), базальная</w:t>
      </w:r>
      <w:r>
        <w:t xml:space="preserve"> </w:t>
      </w:r>
      <w:r>
        <w:t xml:space="preserve">ЧСС и RMSSD (по 30-секундной записи на калибровочной ступени 30 Вт), а также</w:t>
      </w:r>
      <w:r>
        <w:t xml:space="preserve"> </w:t>
      </w:r>
      <w:r>
        <w:t xml:space="preserve">базальная ЭМГ-активность дистального и проксимального электродов и базальная</w:t>
      </w:r>
      <w:r>
        <w:t xml:space="preserve"> </w:t>
      </w:r>
      <w:r>
        <w:t xml:space="preserve">мышечная оксигенация SmO₂ (состав признаков маршрутизатора подробно описан</w:t>
      </w:r>
      <w:r>
        <w:t xml:space="preserve"> </w:t>
      </w:r>
      <w:r>
        <w:t xml:space="preserve">в разделе 2.8.2).</w:t>
      </w:r>
    </w:p>
    <w:bookmarkEnd w:id="30"/>
    <w:bookmarkEnd w:id="31"/>
    <w:bookmarkStart w:id="36" w:name="схема-валидации"/>
    <w:p>
      <w:pPr>
        <w:pStyle w:val="Heading1"/>
      </w:pPr>
      <w:r>
        <w:t xml:space="preserve">2.8.4 Схема валидации</w:t>
      </w:r>
    </w:p>
    <w:bookmarkStart w:id="32" w:name="выбор-стратегии-валидации"/>
    <w:p>
      <w:pPr>
        <w:pStyle w:val="Heading2"/>
      </w:pPr>
      <w:r>
        <w:t xml:space="preserve">Выбор стратегии валидации</w:t>
      </w:r>
    </w:p>
    <w:p>
      <w:pPr>
        <w:pStyle w:val="FirstParagraph"/>
      </w:pPr>
      <w:r>
        <w:t xml:space="preserve">В качестве единственной схемы валидации во всех экспериментах применялась</w:t>
      </w:r>
      <w:r>
        <w:t xml:space="preserve"> </w:t>
      </w:r>
      <w:r>
        <w:t xml:space="preserve">стратегия Leave-One-Subject-Out (LOSO). Суть метода: на каждой итерации один</w:t>
      </w:r>
      <w:r>
        <w:t xml:space="preserve"> </w:t>
      </w:r>
      <w:r>
        <w:t xml:space="preserve">испытуемый целиком выносится в тестовое множество, остальные 17 формируют</w:t>
      </w:r>
      <w:r>
        <w:t xml:space="preserve"> </w:t>
      </w:r>
      <w:r>
        <w:t xml:space="preserve">обучающее множество; процедура повторяется для каждого из 18 испытуемых.</w:t>
      </w:r>
    </w:p>
    <w:p>
      <w:pPr>
        <w:pStyle w:val="BodyText"/>
      </w:pPr>
      <w:r>
        <w:t xml:space="preserve">Выбор LOSO обусловлен целевой областью применения модели: предсказание должно</w:t>
      </w:r>
      <w:r>
        <w:t xml:space="preserve"> </w:t>
      </w:r>
      <w:r>
        <w:t xml:space="preserve">работать на</w:t>
      </w:r>
      <w:r>
        <w:t xml:space="preserve"> </w:t>
      </w:r>
      <w:r>
        <w:rPr>
          <w:b/>
          <w:bCs/>
        </w:rPr>
        <w:t xml:space="preserve">новом, ранее не встречавшемся человеке</w:t>
      </w:r>
      <w:r>
        <w:t xml:space="preserve">, а не только на субъектах,</w:t>
      </w:r>
      <w:r>
        <w:t xml:space="preserve"> </w:t>
      </w:r>
      <w:r>
        <w:t xml:space="preserve">чьи данные присутствовали при обучении. Альтернативные стратегии (случайное</w:t>
      </w:r>
      <w:r>
        <w:t xml:space="preserve"> </w:t>
      </w:r>
      <w:r>
        <w:t xml:space="preserve">разбиение окон, k-fold по окнам) приводят к утечке субъект-специфичной информации</w:t>
      </w:r>
      <w:r>
        <w:t xml:space="preserve"> </w:t>
      </w:r>
      <w:r>
        <w:t xml:space="preserve">между обучающим и тестовым множеством, искусственно завышают метрики и не</w:t>
      </w:r>
      <w:r>
        <w:t xml:space="preserve"> </w:t>
      </w:r>
      <w:r>
        <w:t xml:space="preserve">позволяют оценить способность модели к кросс-субъектному обобщению. При n = 18</w:t>
      </w:r>
      <w:r>
        <w:t xml:space="preserve"> </w:t>
      </w:r>
      <w:r>
        <w:t xml:space="preserve">испытуемых LOSO к тому же максимизирует объём обучающего множества на каждой</w:t>
      </w:r>
      <w:r>
        <w:t xml:space="preserve"> </w:t>
      </w:r>
      <w:r>
        <w:t xml:space="preserve">итерации.</w:t>
      </w:r>
    </w:p>
    <w:bookmarkEnd w:id="32"/>
    <w:bookmarkStart w:id="33" w:name="объём-выборки-и-исключения"/>
    <w:p>
      <w:pPr>
        <w:pStyle w:val="Heading2"/>
      </w:pPr>
      <w:r>
        <w:t xml:space="preserve">Объём выборки и исключения</w:t>
      </w:r>
    </w:p>
    <w:p>
      <w:pPr>
        <w:pStyle w:val="FirstParagraph"/>
      </w:pPr>
      <w:r>
        <w:t xml:space="preserve">Полная схема LOSO включала</w:t>
      </w:r>
      <w:r>
        <w:t xml:space="preserve"> </w:t>
      </w:r>
      <w:r>
        <w:rPr>
          <w:b/>
          <w:bCs/>
        </w:rPr>
        <w:t xml:space="preserve">n = 18 испытуемых</w:t>
      </w:r>
      <w:r>
        <w:t xml:space="preserve"> </w:t>
      </w:r>
      <w:r>
        <w:t xml:space="preserve">для всех конфигураций линейного</w:t>
      </w:r>
      <w:r>
        <w:t xml:space="preserve"> </w:t>
      </w:r>
      <w:r>
        <w:t xml:space="preserve">семейства (v0011) и для всех таргетов в нейросетевых версиях при предсказании LT1.</w:t>
      </w:r>
      <w:r>
        <w:t xml:space="preserve"> </w:t>
      </w:r>
      <w:r>
        <w:t xml:space="preserve">Часть нейросетевых архитектур при предсказании LT2 охватывает 16–17 испытуемых:</w:t>
      </w:r>
      <w:r>
        <w:t xml:space="preserve"> </w:t>
      </w:r>
      <w:r>
        <w:t xml:space="preserve">версии v0102 и v0105 —</w:t>
      </w:r>
      <w:r>
        <w:t xml:space="preserve"> </w:t>
      </w:r>
      <w:r>
        <w:rPr>
          <w:b/>
          <w:bCs/>
        </w:rPr>
        <w:t xml:space="preserve">n = 16</w:t>
      </w:r>
      <w:r>
        <w:t xml:space="preserve">, версии v0103, v0104, v0106a, v0106b, v0106c и</w:t>
      </w:r>
      <w:r>
        <w:t xml:space="preserve"> </w:t>
      </w:r>
      <w:r>
        <w:t xml:space="preserve">v0107 —</w:t>
      </w:r>
      <w:r>
        <w:t xml:space="preserve"> </w:t>
      </w:r>
      <w:r>
        <w:rPr>
          <w:b/>
          <w:bCs/>
        </w:rPr>
        <w:t xml:space="preserve">n = 17</w:t>
      </w:r>
      <w:r>
        <w:t xml:space="preserve">. Расхождение обусловлено внутренними операциями удаления</w:t>
      </w:r>
      <w:r>
        <w:t xml:space="preserve"> </w:t>
      </w:r>
      <w:r>
        <w:t xml:space="preserve">пропущенных значений в соответствующих скриптах обучения, которые в ряде</w:t>
      </w:r>
      <w:r>
        <w:t xml:space="preserve"> </w:t>
      </w:r>
      <w:r>
        <w:t xml:space="preserve">конфигураций исключали данные одного-двух испытуемых.</w:t>
      </w:r>
      <w:r>
        <w:t xml:space="preserve"> </w:t>
      </w:r>
      <w:r>
        <w:t xml:space="preserve">При сравнении моделей с разным n парные статистические тесты применяются только</w:t>
      </w:r>
      <w:r>
        <w:t xml:space="preserve"> </w:t>
      </w:r>
      <w:r>
        <w:t xml:space="preserve">на пересечении субъектов (раздел 2.9).</w:t>
      </w:r>
    </w:p>
    <w:p>
      <w:pPr>
        <w:pStyle w:val="BodyText"/>
      </w:pPr>
      <w:r>
        <w:t xml:space="preserve">Малая выборка (n = 18) является ограничением настоящей работы; его последствия</w:t>
      </w:r>
      <w:r>
        <w:t xml:space="preserve"> </w:t>
      </w:r>
      <w:r>
        <w:t xml:space="preserve">обсуждаются в разделе [ВСТАВИТЬ: ссылка на раздел «Ограничения»].</w:t>
      </w:r>
    </w:p>
    <w:bookmarkEnd w:id="33"/>
    <w:bookmarkStart w:id="34" w:name="предотвращение-утечки-данных"/>
    <w:p>
      <w:pPr>
        <w:pStyle w:val="Heading2"/>
      </w:pPr>
      <w:r>
        <w:t xml:space="preserve">Предотвращение утечки данных</w:t>
      </w:r>
    </w:p>
    <w:p>
      <w:pPr>
        <w:pStyle w:val="FirstParagraph"/>
      </w:pPr>
      <w:r>
        <w:t xml:space="preserve">На каждой итерации LOSO предобработка признаков обучалась</w:t>
      </w:r>
      <w:r>
        <w:t xml:space="preserve"> </w:t>
      </w:r>
      <w:r>
        <w:rPr>
          <w:b/>
          <w:bCs/>
        </w:rPr>
        <w:t xml:space="preserve">исключительно на</w:t>
      </w:r>
      <w:r>
        <w:rPr>
          <w:b/>
          <w:bCs/>
        </w:rPr>
        <w:t xml:space="preserve"> </w:t>
      </w:r>
      <w:r>
        <w:rPr>
          <w:b/>
          <w:bCs/>
        </w:rPr>
        <w:t xml:space="preserve">обучающем множестве</w:t>
      </w:r>
      <w:r>
        <w:t xml:space="preserve"> </w:t>
      </w:r>
      <w:r>
        <w:t xml:space="preserve">и затем без переобучения применялась к тестовому. В частности: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Импутация пропущенных значений</w:t>
      </w:r>
      <w:r>
        <w:t xml:space="preserve"> </w:t>
      </w:r>
      <w:r>
        <w:t xml:space="preserve">(замена медианой) — медианы по признакам</w:t>
      </w:r>
      <w:r>
        <w:t xml:space="preserve"> </w:t>
      </w:r>
      <w:r>
        <w:t xml:space="preserve">вычислялись на обучающем множестве фолда и применялись к тестовому субъекту.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Стандартизация признаков</w:t>
      </w:r>
      <w:r>
        <w:t xml:space="preserve"> </w:t>
      </w:r>
      <w:r>
        <w:t xml:space="preserve">(z-score) — среднее и стандартное отклонение</w:t>
      </w:r>
      <w:r>
        <w:t xml:space="preserve"> </w:t>
      </w:r>
      <w:r>
        <w:t xml:space="preserve">вычислялись на обучающем множестве; тестовые значения пересчитывались с</w:t>
      </w:r>
      <w:r>
        <w:t xml:space="preserve"> </w:t>
      </w:r>
      <w:r>
        <w:t xml:space="preserve">этими же параметрами.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Per-subject z-нормировка ЭМГ</w:t>
      </w:r>
      <w:r>
        <w:t xml:space="preserve"> </w:t>
      </w:r>
      <w:r>
        <w:t xml:space="preserve">(раздел 2.8.2) проводилась на уровне</w:t>
      </w:r>
      <w:r>
        <w:t xml:space="preserve"> </w:t>
      </w:r>
      <w:r>
        <w:t xml:space="preserve">отдельного испытуемого по его собственным данным первой ступени нагрузки и</w:t>
      </w:r>
      <w:r>
        <w:t xml:space="preserve"> </w:t>
      </w:r>
      <w:r>
        <w:t xml:space="preserve">не предполагала обращения к данным других субъектов; утечки не возникает.</w:t>
      </w:r>
    </w:p>
    <w:p>
      <w:pPr>
        <w:pStyle w:val="FirstParagraph"/>
      </w:pPr>
      <w:r>
        <w:t xml:space="preserve">Таким образом, все нормировочные статистики, применявшиеся к тестовому субъекту,</w:t>
      </w:r>
      <w:r>
        <w:t xml:space="preserve"> </w:t>
      </w:r>
      <w:r>
        <w:t xml:space="preserve">были получены из обучающего множества и не содержат информации о тестовом</w:t>
      </w:r>
      <w:r>
        <w:t xml:space="preserve"> </w:t>
      </w:r>
      <w:r>
        <w:t xml:space="preserve">субъекте.</w:t>
      </w:r>
    </w:p>
    <w:bookmarkEnd w:id="34"/>
    <w:bookmarkStart w:id="35" w:name="X5d732d16d50266410d22015c705b394545a0067"/>
    <w:p>
      <w:pPr>
        <w:pStyle w:val="Heading2"/>
      </w:pPr>
      <w:r>
        <w:t xml:space="preserve">Пересборка per-subject метрик из npy-артефактов</w:t>
      </w:r>
    </w:p>
    <w:p>
      <w:pPr>
        <w:pStyle w:val="FirstParagraph"/>
      </w:pPr>
      <w:r>
        <w:t xml:space="preserve">Предсказания всех моделей сохранялись в бинарные файлы в формате отсортированных</w:t>
      </w:r>
      <w:r>
        <w:t xml:space="preserve"> </w:t>
      </w:r>
      <w:r>
        <w:t xml:space="preserve">по субъекту последовательностей окон. На этапе финальной агрегации метрик</w:t>
      </w:r>
      <w:r>
        <w:t xml:space="preserve"> </w:t>
      </w:r>
      <w:r>
        <w:t xml:space="preserve">выполнялась детерминированная пересборка: разбиение окон по субъектам</w:t>
      </w:r>
      <w:r>
        <w:t xml:space="preserve"> </w:t>
      </w:r>
      <w:r>
        <w:t xml:space="preserve">восстанавливалось по тем же правилам фильтрации и сортировки, что применялись</w:t>
      </w:r>
      <w:r>
        <w:t xml:space="preserve"> </w:t>
      </w:r>
      <w:r>
        <w:t xml:space="preserve">при обучении, и для каждого субъекта вычислялась индивидуальная MAE по его</w:t>
      </w:r>
      <w:r>
        <w:t xml:space="preserve"> </w:t>
      </w:r>
      <w:r>
        <w:t xml:space="preserve">тестовым окнам.</w:t>
      </w:r>
    </w:p>
    <w:p>
      <w:pPr>
        <w:pStyle w:val="BodyText"/>
      </w:pPr>
      <w:r>
        <w:t xml:space="preserve">Полученные per-subject значения MAE сверялись с ранее записанными сводными</w:t>
      </w:r>
      <w:r>
        <w:t xml:space="preserve"> </w:t>
      </w:r>
      <w:r>
        <w:t xml:space="preserve">файлами: расхождение для нейросетевых версий составило не более 0,01 мин</w:t>
      </w:r>
      <w:r>
        <w:t xml:space="preserve"> </w:t>
      </w:r>
      <w:r>
        <w:t xml:space="preserve">(максимальное |Δ|), что подтверждает детерминизм процедуры и консистентность</w:t>
      </w:r>
      <w:r>
        <w:t xml:space="preserve"> </w:t>
      </w:r>
      <w:r>
        <w:t xml:space="preserve">артефактов. Детерминизм линейных моделей гарантирован отсутствием стохастических</w:t>
      </w:r>
      <w:r>
        <w:t xml:space="preserve"> </w:t>
      </w:r>
      <w:r>
        <w:t xml:space="preserve">операций в sklearn-зоопарке (раздел 2.8.3). Для нейросетевых версий</w:t>
      </w:r>
      <w:r>
        <w:t xml:space="preserve"> </w:t>
      </w:r>
      <w:r>
        <w:t xml:space="preserve">воспроизведение предполагает использование сохранённых файлов предсказаний,</w:t>
      </w:r>
      <w:r>
        <w:t xml:space="preserve"> </w:t>
      </w:r>
      <w:r>
        <w:t xml:space="preserve">а не переобучение.</w:t>
      </w:r>
    </w:p>
    <w:p>
      <w:pPr>
        <w:pStyle w:val="BodyText"/>
      </w:pPr>
      <w:r>
        <w:t xml:space="preserve">Итоговое покрытие после пересборки: для LT1 — все 10 архитектурных версий на</w:t>
      </w:r>
      <w:r>
        <w:t xml:space="preserve"> </w:t>
      </w:r>
      <w:r>
        <w:t xml:space="preserve">18 субъектах; для LT2 — линейная v0011 на 18 субъектах, нейросетевые — на 16–17</w:t>
      </w:r>
      <w:r>
        <w:t xml:space="preserve"> </w:t>
      </w:r>
      <w:r>
        <w:t xml:space="preserve">субъектах (по версиям, см. выше).</w:t>
      </w:r>
    </w:p>
    <w:bookmarkEnd w:id="35"/>
    <w:bookmarkEnd w:id="36"/>
    <w:bookmarkStart w:id="43" w:name="X4087a840f5955fc9670daf2afb4b6bd35b6dfc7"/>
    <w:p>
      <w:pPr>
        <w:pStyle w:val="Heading1"/>
      </w:pPr>
      <w:r>
        <w:t xml:space="preserve">2.8.5 Метрики качества и постобработка предсказаний</w:t>
      </w:r>
    </w:p>
    <w:bookmarkStart w:id="40" w:name="метрики-качества"/>
    <w:p>
      <w:pPr>
        <w:pStyle w:val="Heading2"/>
      </w:pPr>
      <w:r>
        <w:t xml:space="preserve">Метрики качества</w:t>
      </w:r>
    </w:p>
    <w:bookmarkStart w:id="37" w:name="три-варианта-mae"/>
    <w:p>
      <w:pPr>
        <w:pStyle w:val="Heading3"/>
      </w:pPr>
      <w:r>
        <w:t xml:space="preserve">Три варианта MAE</w:t>
      </w:r>
    </w:p>
    <w:p>
      <w:pPr>
        <w:pStyle w:val="FirstParagraph"/>
      </w:pPr>
      <w:r>
        <w:t xml:space="preserve">Центральной метрикой в работе служит средняя абсолютная ошибка (MAE, mean</w:t>
      </w:r>
      <w:r>
        <w:t xml:space="preserve"> </w:t>
      </w:r>
      <w:r>
        <w:t xml:space="preserve">absolute error). Поскольку при LOSO-валидации на 18 субъектах отдельные субъекты</w:t>
      </w:r>
      <w:r>
        <w:t xml:space="preserve"> </w:t>
      </w:r>
      <w:r>
        <w:t xml:space="preserve">вносят в итоговую статистику неодинаковое число окон, различаются три связанных,</w:t>
      </w:r>
      <w:r>
        <w:t xml:space="preserve"> </w:t>
      </w:r>
      <w:r>
        <w:t xml:space="preserve">но различных показателя: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Субъект-взвешенная медиана MAE</w:t>
      </w:r>
      <w:r>
        <w:t xml:space="preserve"> </w:t>
      </w:r>
      <w:r>
        <w:t xml:space="preserve">(в таблицах:</w:t>
      </w:r>
      <w:r>
        <w:t xml:space="preserve"> </w:t>
      </w:r>
      <w:r>
        <w:rPr>
          <w:i/>
          <w:iCs/>
        </w:rPr>
        <w:t xml:space="preserve">loso_mae_median</w:t>
      </w:r>
      <w:r>
        <w:t xml:space="preserve">) — для</w:t>
      </w:r>
      <w:r>
        <w:t xml:space="preserve"> </w:t>
      </w:r>
      <w:r>
        <w:t xml:space="preserve">каждого из 18 испытуемых вычислялась MAE по его тестовым окнам; итоговый</w:t>
      </w:r>
      <w:r>
        <w:t xml:space="preserve"> </w:t>
      </w:r>
      <w:r>
        <w:t xml:space="preserve">показатель — медиана этих 18 значений. Каждый испытуемый имеет вес 1</w:t>
      </w:r>
      <w:r>
        <w:t xml:space="preserve"> </w:t>
      </w:r>
      <w:r>
        <w:t xml:space="preserve">вне зависимости от числа его окон. Это</w:t>
      </w:r>
      <w:r>
        <w:t xml:space="preserve"> </w:t>
      </w:r>
      <w:r>
        <w:rPr>
          <w:b/>
          <w:bCs/>
        </w:rPr>
        <w:t xml:space="preserve">основная метрика</w:t>
      </w:r>
      <w:r>
        <w:t xml:space="preserve"> </w:t>
      </w:r>
      <w:r>
        <w:t xml:space="preserve">в сводных</w:t>
      </w:r>
      <w:r>
        <w:t xml:space="preserve"> </w:t>
      </w:r>
      <w:r>
        <w:t xml:space="preserve">таблицах настоящей работы.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Медиана по окнам</w:t>
      </w:r>
      <w:r>
        <w:t xml:space="preserve"> </w:t>
      </w:r>
      <w:r>
        <w:t xml:space="preserve">— медиана абсолютных ошибок по всем тестовым окнам</w:t>
      </w:r>
      <w:r>
        <w:t xml:space="preserve"> </w:t>
      </w:r>
      <w:r>
        <w:t xml:space="preserve">объединённо (каждое окно имеет вес 1). Устойчива к выбросам; применяется</w:t>
      </w:r>
      <w:r>
        <w:t xml:space="preserve"> </w:t>
      </w:r>
      <w:r>
        <w:t xml:space="preserve">при анализе распределения ошибки.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Среднее MAE по окнам</w:t>
      </w:r>
      <w:r>
        <w:t xml:space="preserve"> </w:t>
      </w:r>
      <w:r>
        <w:t xml:space="preserve">(в таблицах:</w:t>
      </w:r>
      <w:r>
        <w:t xml:space="preserve"> </w:t>
      </w:r>
      <w:r>
        <w:rPr>
          <w:i/>
          <w:iCs/>
        </w:rPr>
        <w:t xml:space="preserve">raw MAE</w:t>
      </w:r>
      <w:r>
        <w:t xml:space="preserve">) — среднеарифметическое</w:t>
      </w:r>
      <w:r>
        <w:t xml:space="preserve"> </w:t>
      </w:r>
      <w:r>
        <w:t xml:space="preserve">абсолютных ошибок по всем тестовым окнам всех субъектов. Субъекты с</w:t>
      </w:r>
      <w:r>
        <w:t xml:space="preserve"> </w:t>
      </w:r>
      <w:r>
        <w:t xml:space="preserve">большим числом окон имеют больший вес.</w:t>
      </w:r>
    </w:p>
    <w:p>
      <w:pPr>
        <w:pStyle w:val="FirstParagraph"/>
      </w:pPr>
      <w:r>
        <w:t xml:space="preserve">Соотношение между показателями: субъект-взвешенная медиана систематически ниже</w:t>
      </w:r>
      <w:r>
        <w:t xml:space="preserve"> </w:t>
      </w:r>
      <w:r>
        <w:t xml:space="preserve">среднего по окнам при наличии испытуемых с высоким разбросом ошибок: тяжёлые</w:t>
      </w:r>
      <w:r>
        <w:t xml:space="preserve"> </w:t>
      </w:r>
      <w:r>
        <w:t xml:space="preserve">случаи порождают длинный правый хвост при усреднении по окнам, но учитываются</w:t>
      </w:r>
      <w:r>
        <w:t xml:space="preserve"> </w:t>
      </w:r>
      <w:r>
        <w:t xml:space="preserve">как одна точка при субъект-взвешенной медиане. При цитировании метрик в тексте</w:t>
      </w:r>
      <w:r>
        <w:t xml:space="preserve"> </w:t>
      </w:r>
      <w:r>
        <w:t xml:space="preserve">всегда указывается, какой именно из трёх показателей приводится.</w:t>
      </w:r>
    </w:p>
    <w:p>
      <w:pPr>
        <w:pStyle w:val="BodyText"/>
      </w:pPr>
      <w:r>
        <w:t xml:space="preserve">Единица измерения для всех трёх вариантов —</w:t>
      </w:r>
      <w:r>
        <w:t xml:space="preserve"> </w:t>
      </w:r>
      <w:r>
        <w:rPr>
          <w:b/>
          <w:bCs/>
        </w:rPr>
        <w:t xml:space="preserve">минуты</w:t>
      </w:r>
      <w:r>
        <w:t xml:space="preserve"> </w:t>
      </w:r>
      <w:r>
        <w:t xml:space="preserve">(целевая переменная</w:t>
      </w:r>
      <w:r>
        <w:t xml:space="preserve"> </w:t>
      </w:r>
      <w:r>
        <w:t xml:space="preserve">конвертируется из секунд при подсчёте MAE делением на 60).</w:t>
      </w:r>
    </w:p>
    <w:bookmarkEnd w:id="37"/>
    <w:bookmarkStart w:id="38" w:name="коэффициент-детерминации-r²"/>
    <w:p>
      <w:pPr>
        <w:pStyle w:val="Heading3"/>
      </w:pPr>
      <w:r>
        <w:t xml:space="preserve">Коэффициент детерминации R²</w:t>
      </w:r>
    </w:p>
    <w:p>
      <w:pPr>
        <w:pStyle w:val="FirstParagraph"/>
      </w:pPr>
      <w:r>
        <w:t xml:space="preserve">Вычислялся стандартным образом по формуле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суммирование ведётся по всем тестовым окнам всех испытуемых совместно (взвешивание по окнам, аналогично raw MAE). В рамках LOSO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для конкретного фолда означает, что модель не извлекла никакой полезной информации из физиологических сигналов и предсказывает хуже, чем константа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вычисленная по обучающему множеству. Доля субъектов с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отслеживалась отдельно как индикатор робастности модели.</w:t>
      </w:r>
    </w:p>
    <w:bookmarkEnd w:id="38"/>
    <w:bookmarkStart w:id="39" w:name="ранговая-корреляция-спирмена-ρ"/>
    <w:p>
      <w:pPr>
        <w:pStyle w:val="Heading3"/>
      </w:pPr>
      <w:r>
        <w:t xml:space="preserve">Ранговая корреляция Спирмена (ρ)</w:t>
      </w:r>
    </w:p>
    <w:p>
      <w:pPr>
        <w:pStyle w:val="FirstParagraph"/>
      </w:pPr>
      <w:r>
        <w:t xml:space="preserve">Коэффициент ранговой корреляции Спирмена вычислялся между предсказанными и</w:t>
      </w:r>
      <w:r>
        <w:t xml:space="preserve"> </w:t>
      </w:r>
      <w:r>
        <w:t xml:space="preserve">истинными значениями по всем тестовым окнам. Этот показатель устойчив к</w:t>
      </w:r>
      <w:r>
        <w:t xml:space="preserve"> </w:t>
      </w:r>
      <w:r>
        <w:t xml:space="preserve">монотонным нелинейным искажениям шкалы и особенно информативен для задачи</w:t>
      </w:r>
      <w:r>
        <w:t xml:space="preserve"> </w:t>
      </w:r>
      <w:r>
        <w:t xml:space="preserve">«когда наступит порог»: высокий ρ означает, что модель правильно ранжирует</w:t>
      </w:r>
      <w:r>
        <w:t xml:space="preserve"> </w:t>
      </w:r>
      <w:r>
        <w:t xml:space="preserve">окна по близости к порогу даже при систематическом смещении абсолютных</w:t>
      </w:r>
      <w:r>
        <w:t xml:space="preserve"> </w:t>
      </w:r>
      <w:r>
        <w:t xml:space="preserve">значений.</w:t>
      </w:r>
    </w:p>
    <w:bookmarkEnd w:id="39"/>
    <w:bookmarkEnd w:id="40"/>
    <w:bookmarkStart w:id="41" w:name="честные-базовые-предсказатели"/>
    <w:p>
      <w:pPr>
        <w:pStyle w:val="Heading2"/>
      </w:pPr>
      <w:r>
        <w:t xml:space="preserve">Честные базовые предсказатели</w:t>
      </w:r>
    </w:p>
    <w:p>
      <w:pPr>
        <w:pStyle w:val="FirstParagraph"/>
      </w:pPr>
      <w:r>
        <w:t xml:space="preserve">Для оценки нижней границы сложности задачи использовались два тривиальных</w:t>
      </w:r>
      <w:r>
        <w:t xml:space="preserve"> </w:t>
      </w:r>
      <w:r>
        <w:t xml:space="preserve">предсказателя: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MeanPredictor</w:t>
      </w:r>
      <w:r>
        <w:t xml:space="preserve"> </w:t>
      </w:r>
      <w:r>
        <w:t xml:space="preserve">— предсказывает константу, равную среднему значению</w:t>
      </w:r>
      <w:r>
        <w:t xml:space="preserve"> </w:t>
      </w:r>
      <w:r>
        <w:t xml:space="preserve">целевой переменной по обучающему множеству фолда; не использует ни</w:t>
      </w:r>
      <w:r>
        <w:t xml:space="preserve"> </w:t>
      </w:r>
      <w:r>
        <w:t xml:space="preserve">физиологические сигналы, ни временну́ю структуру теста. Служит абсолютной</w:t>
      </w:r>
      <w:r>
        <w:t xml:space="preserve"> </w:t>
      </w:r>
      <w:r>
        <w:t xml:space="preserve">нижней границей: модель, не превосходящая MeanPredictor, не извлекает</w:t>
      </w:r>
      <w:r>
        <w:t xml:space="preserve"> </w:t>
      </w:r>
      <w:r>
        <w:t xml:space="preserve">никакой полезной информации.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FirstWindowPredictor</w:t>
      </w:r>
      <w:r>
        <w:t xml:space="preserve"> </w:t>
      </w:r>
      <w:r>
        <w:t xml:space="preserve">— предсказывает для каждого окна значение целевой</w:t>
      </w:r>
      <w:r>
        <w:t xml:space="preserve"> </w:t>
      </w:r>
      <w:r>
        <w:t xml:space="preserve">переменной, зафиксированное в первом окне сессии данного испытуемого.</w:t>
      </w:r>
      <w:r>
        <w:t xml:space="preserve"> </w:t>
      </w:r>
      <w:r>
        <w:t xml:space="preserve">Поскольку время до порога монотонно убывает в ходе теста, первое окно несёт</w:t>
      </w:r>
      <w:r>
        <w:t xml:space="preserve"> </w:t>
      </w:r>
      <w:r>
        <w:t xml:space="preserve">информацию о начальной удалённости от порога даже без обращения к сигналам.</w:t>
      </w:r>
      <w:r>
        <w:t xml:space="preserve"> </w:t>
      </w:r>
      <w:r>
        <w:t xml:space="preserve">Этот предсказатель проверяет более строгое условие: превзойти его означает,</w:t>
      </w:r>
      <w:r>
        <w:t xml:space="preserve"> </w:t>
      </w:r>
      <w:r>
        <w:t xml:space="preserve">что физиологические сигналы добавляют информацию сверх одной лишь временно́й</w:t>
      </w:r>
      <w:r>
        <w:t xml:space="preserve"> </w:t>
      </w:r>
      <w:r>
        <w:t xml:space="preserve">структуры нагрузочного теста.</w:t>
      </w:r>
    </w:p>
    <w:p>
      <w:pPr>
        <w:pStyle w:val="FirstParagraph"/>
      </w:pPr>
      <w:r>
        <w:t xml:space="preserve">Обе базовые линии воспроизводились в рамках LOSO совместно с основным</w:t>
      </w:r>
      <w:r>
        <w:t xml:space="preserve"> </w:t>
      </w:r>
      <w:r>
        <w:t xml:space="preserve">экспериментом. Превышение точности модели над соответствующей базовой линией</w:t>
      </w:r>
      <w:r>
        <w:t xml:space="preserve"> </w:t>
      </w:r>
      <w:r>
        <w:t xml:space="preserve">количественно характеризует вклад физиологических сигналов в предсказание.</w:t>
      </w:r>
    </w:p>
    <w:bookmarkEnd w:id="41"/>
    <w:bookmarkStart w:id="42" w:name="фильтр-калмана-как-постобработка"/>
    <w:p>
      <w:pPr>
        <w:pStyle w:val="Heading2"/>
      </w:pPr>
      <w:r>
        <w:t xml:space="preserve">Фильтр Калмана как постобработка</w:t>
      </w:r>
    </w:p>
    <w:p>
      <w:pPr>
        <w:pStyle w:val="FirstParagraph"/>
      </w:pPr>
      <w:r>
        <w:t xml:space="preserve">Предсказания модели по отдельным окнам содержат высокочастотные флуктуации,</w:t>
      </w:r>
      <w:r>
        <w:t xml:space="preserve"> </w:t>
      </w:r>
      <w:r>
        <w:t xml:space="preserve">не согласующиеся с физиологическим ожиданием монотонного убывания времени до</w:t>
      </w:r>
      <w:r>
        <w:t xml:space="preserve"> </w:t>
      </w:r>
      <w:r>
        <w:t xml:space="preserve">порога. Для сглаживания последовательности предсказаний применялся</w:t>
      </w:r>
      <w:r>
        <w:t xml:space="preserve"> </w:t>
      </w:r>
      <w:r>
        <w:rPr>
          <w:b/>
          <w:bCs/>
        </w:rPr>
        <w:t xml:space="preserve">одномерный фильтр Калмана</w:t>
      </w:r>
      <w:r>
        <w:t xml:space="preserve"> </w:t>
      </w:r>
      <w:r>
        <w:t xml:space="preserve">с физически мотивированной моделью перехода: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sSubSup>
            <m:e>
              <m:r>
                <m:t>σ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sSubSup>
            <m:e>
              <m:r>
                <m:t>σ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состояние (оценка оставшегося времени в секундах),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с — шаг окна,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предсказание «сырой» модели для окна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с — шум модели перехода (фиксирован),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— шум наблюдения (подбирался по сетке).</w:t>
      </w:r>
    </w:p>
    <w:p>
      <w:pPr>
        <w:pStyle w:val="BodyText"/>
      </w:pPr>
      <w:r>
        <w:t xml:space="preserve">Фильтрация проводилась раздельно для каждого испытуемого в пределах его тестового</w:t>
      </w:r>
      <w:r>
        <w:t xml:space="preserve"> </w:t>
      </w:r>
      <w:r>
        <w:t xml:space="preserve">фолда. Значение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перебиралось по сетке</w:t>
      </w:r>
      <w:r>
        <w:t xml:space="preserve"> </w:t>
      </w:r>
      <m:oMath>
        <m:r>
          <m:rPr>
            <m:sty m:val="p"/>
          </m:rPr>
          <m:t>{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,</m:t>
        </m:r>
        <m:r>
          <m:t>150</m:t>
        </m:r>
        <m:r>
          <m:rPr>
            <m:sty m:val="p"/>
          </m:rPr>
          <m:t>}</m:t>
        </m:r>
      </m:oMath>
      <w:r>
        <w:t xml:space="preserve"> </w:t>
      </w:r>
      <w:r>
        <w:t xml:space="preserve">с; для каждой конфигурации (версия × набор признаков × таргет) выбиралось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t xml:space="preserve">, минимизирующее MAE после фильтрации на полном тестовом</w:t>
      </w:r>
      <w:r>
        <w:t xml:space="preserve"> </w:t>
      </w:r>
      <w:r>
        <w:t xml:space="preserve">множестве. Эффект сглаживания количественно описывается показателем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положительные значения которого соответствуют улучшению при применении фильтра,</w:t>
      </w:r>
      <w:r>
        <w:t xml:space="preserve"> </w:t>
      </w:r>
      <w:r>
        <w:t xml:space="preserve">отрицательные — ухудшению (избыточное сглаживание).</w:t>
      </w:r>
    </w:p>
    <w:p>
      <w:pPr>
        <w:pStyle w:val="BodyText"/>
      </w:pPr>
      <w:r>
        <w:t xml:space="preserve">Фильтр Калмана не является компонентом процедуры обучения и не нарушает</w:t>
      </w:r>
      <w:r>
        <w:t xml:space="preserve"> </w:t>
      </w:r>
      <w:r>
        <w:t xml:space="preserve">каузальности: на момент обновления оценки для окна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используются только</w:t>
      </w:r>
      <w:r>
        <w:t xml:space="preserve"> </w:t>
      </w:r>
      <w:r>
        <w:t xml:space="preserve">предсказания модели для окон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</m:oMath>
      <w:r>
        <w:t xml:space="preserve">.</w:t>
      </w:r>
    </w:p>
    <w:bookmarkEnd w:id="42"/>
    <w:bookmarkEnd w:id="43"/>
    <w:bookmarkStart w:id="50" w:name="статистическая-обработка-данных"/>
    <w:p>
      <w:pPr>
        <w:pStyle w:val="Heading1"/>
      </w:pPr>
      <w:r>
        <w:t xml:space="preserve">2.9 Статистическая обработка данных</w:t>
      </w:r>
    </w:p>
    <w:p>
      <w:pPr>
        <w:pStyle w:val="FirstParagraph"/>
      </w:pPr>
      <w:r>
        <w:t xml:space="preserve">В настоящем разделе описываются статистические методы, применявшиеся для</w:t>
      </w:r>
      <w:r>
        <w:t xml:space="preserve"> </w:t>
      </w:r>
      <w:r>
        <w:t xml:space="preserve">сравнения моделей и проверки исследовательских гипотез. Конкретные результаты</w:t>
      </w:r>
      <w:r>
        <w:t xml:space="preserve"> </w:t>
      </w:r>
      <w:r>
        <w:t xml:space="preserve">тестов (p-значения, размеры эффекта, выводы о превосходстве конкретных</w:t>
      </w:r>
      <w:r>
        <w:t xml:space="preserve"> </w:t>
      </w:r>
      <w:r>
        <w:t xml:space="preserve">конфигураций) приводятся в главе 3.</w:t>
      </w:r>
    </w:p>
    <w:bookmarkStart w:id="44" w:name="X254bf46285b954335b44007edcc0083eea236aa"/>
    <w:p>
      <w:pPr>
        <w:pStyle w:val="Heading2"/>
      </w:pPr>
      <w:r>
        <w:t xml:space="preserve">Парные сравнения моделей: критерий Уилкоксона с поправкой Холма</w:t>
      </w:r>
    </w:p>
    <w:p>
      <w:pPr>
        <w:pStyle w:val="FirstParagraph"/>
      </w:pPr>
      <w:r>
        <w:t xml:space="preserve">Для сравнения двух произвольных конфигураций моделей (по версии, набору признаков</w:t>
      </w:r>
      <w:r>
        <w:t xml:space="preserve"> </w:t>
      </w:r>
      <w:r>
        <w:t xml:space="preserve">или варианту) применялся</w:t>
      </w:r>
      <w:r>
        <w:t xml:space="preserve"> </w:t>
      </w:r>
      <w:r>
        <w:rPr>
          <w:b/>
          <w:bCs/>
        </w:rPr>
        <w:t xml:space="preserve">парный критерий знаковых рангов Уилкоксона</w:t>
      </w:r>
      <w:r>
        <w:t xml:space="preserve"> </w:t>
      </w:r>
      <w:r>
        <w:t xml:space="preserve">(двусторонний). Тест</w:t>
      </w:r>
      <w:r>
        <w:t xml:space="preserve"> </w:t>
      </w:r>
      <w:r>
        <w:t xml:space="preserve">строился на векторах per-subject MAE: для каждого испытуемого вычислялась MAE</w:t>
      </w:r>
      <w:r>
        <w:t xml:space="preserve"> </w:t>
      </w:r>
      <w:r>
        <w:t xml:space="preserve">на его тестовом фолде, и сравнивались пары значений MAE одного и того же</w:t>
      </w:r>
      <w:r>
        <w:t xml:space="preserve"> </w:t>
      </w:r>
      <w:r>
        <w:t xml:space="preserve">испытуемого под двумя конфигурациями. При сравнении моделей с разным числом</w:t>
      </w:r>
      <w:r>
        <w:t xml:space="preserve"> </w:t>
      </w:r>
      <w:r>
        <w:t xml:space="preserve">субъектов (n = 16, 17 или 18) в анализ включались только испытуемые,</w:t>
      </w:r>
      <w:r>
        <w:t xml:space="preserve"> </w:t>
      </w:r>
      <w:r>
        <w:t xml:space="preserve">присутствующие в обоих тестовых фолдах. Пары с числом совпадающих субъектов</w:t>
      </w:r>
      <w:r>
        <w:t xml:space="preserve"> </w:t>
      </w:r>
      <w:r>
        <w:t xml:space="preserve">менее 12 отмечались как недостаточно мощные и в финальные выводы не включались.</w:t>
      </w:r>
    </w:p>
    <w:p>
      <w:pPr>
        <w:pStyle w:val="BodyText"/>
      </w:pPr>
      <w:r>
        <w:t xml:space="preserve">При проведении множественных попарных сравнений внутри одной группы</w:t>
      </w:r>
      <w:r>
        <w:t xml:space="preserve"> </w:t>
      </w:r>
      <w:r>
        <w:t xml:space="preserve">(target × feature_set × variant) применялась</w:t>
      </w:r>
      <w:r>
        <w:t xml:space="preserve"> </w:t>
      </w:r>
      <w:r>
        <w:rPr>
          <w:b/>
          <w:bCs/>
        </w:rPr>
        <w:t xml:space="preserve">поправка Холма (Holm–Bonferroni)</w:t>
      </w:r>
      <w:r>
        <w:t xml:space="preserve"> </w:t>
      </w:r>
      <w:r>
        <w:t xml:space="preserve">на контроль familywise error rate. Порог значимости:</w:t>
      </w:r>
      <w:r>
        <w:t xml:space="preserve"> </w:t>
      </w:r>
      <w:r>
        <w:rPr>
          <w:b/>
          <w:bCs/>
        </w:rPr>
        <w:t xml:space="preserve">α = 0,05</w:t>
      </w:r>
      <w:r>
        <w:t xml:space="preserve">.</w:t>
      </w:r>
    </w:p>
    <w:p>
      <w:pPr>
        <w:pStyle w:val="BodyText"/>
      </w:pPr>
      <w:r>
        <w:t xml:space="preserve">Вычисления выполнялись средствами библиотеки scipy 1.17.1; поправка Холма —</w:t>
      </w:r>
      <w:r>
        <w:t xml:space="preserve"> </w:t>
      </w:r>
      <w:r>
        <w:t xml:space="preserve">методом Holm–Bonferroni.</w:t>
      </w:r>
    </w:p>
    <w:bookmarkEnd w:id="44"/>
    <w:bookmarkStart w:id="45" w:name="X7a4b4638bf4c0afc9233fa68c8f6543eb6af8ea"/>
    <w:p>
      <w:pPr>
        <w:pStyle w:val="Heading2"/>
      </w:pPr>
      <w:r>
        <w:t xml:space="preserve">Сравнение независимых групп: критерий Манна–Уитни</w:t>
      </w:r>
    </w:p>
    <w:p>
      <w:pPr>
        <w:pStyle w:val="FirstParagraph"/>
      </w:pPr>
      <w:r>
        <w:t xml:space="preserve">Для проверки различий между тренированными и нетренированными испытуемыми</w:t>
      </w:r>
      <w:r>
        <w:t xml:space="preserve"> </w:t>
      </w:r>
      <w:r>
        <w:t xml:space="preserve">применялся</w:t>
      </w:r>
      <w:r>
        <w:t xml:space="preserve"> </w:t>
      </w:r>
      <w:r>
        <w:rPr>
          <w:b/>
          <w:bCs/>
        </w:rPr>
        <w:t xml:space="preserve">критерий Манна–Уитни</w:t>
      </w:r>
      <w:r>
        <w:t xml:space="preserve"> </w:t>
      </w:r>
      <w:r>
        <w:t xml:space="preserve">(Mann–Whitney U-test, двусторонний), поскольку</w:t>
      </w:r>
      <w:r>
        <w:t xml:space="preserve"> </w:t>
      </w:r>
      <w:r>
        <w:t xml:space="preserve">эти подгруппы являются независимыми выборками. Сравнивались распределения per-subject MAE внутри двух подгрупп: 6 тренированных</w:t>
      </w:r>
      <w:r>
        <w:t xml:space="preserve"> </w:t>
      </w:r>
      <w:r>
        <w:t xml:space="preserve">(время до LT2 более 13 мин) и 12 нетренированных. Вычисления — средствами</w:t>
      </w:r>
      <w:r>
        <w:t xml:space="preserve"> </w:t>
      </w:r>
      <w:r>
        <w:t xml:space="preserve">библиотеки scipy 1.17.1.</w:t>
      </w:r>
    </w:p>
    <w:bookmarkEnd w:id="45"/>
    <w:bookmarkStart w:id="46" w:name="X803570ae3d780f6ab0cde68f76a9345b1469463"/>
    <w:p>
      <w:pPr>
        <w:pStyle w:val="Heading2"/>
      </w:pPr>
      <w:r>
        <w:t xml:space="preserve">Исключение абсолютных значений: критерий эквивалентности</w:t>
      </w:r>
    </w:p>
    <w:p>
      <w:pPr>
        <w:pStyle w:val="FirstParagraph"/>
      </w:pPr>
      <w:r>
        <w:t xml:space="preserve">Для оценки практической значимости вариантов with_abs и noabs использовалась</w:t>
      </w:r>
      <w:r>
        <w:t xml:space="preserve"> </w:t>
      </w:r>
      <w:r>
        <w:t xml:space="preserve">операциональная</w:t>
      </w:r>
      <w:r>
        <w:t xml:space="preserve"> </w:t>
      </w:r>
      <w:r>
        <w:rPr>
          <w:b/>
          <w:bCs/>
        </w:rPr>
        <w:t xml:space="preserve">предметная граница эквивалентности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Различие признаётся</w:t>
      </w:r>
      <w:r>
        <w:t xml:space="preserve"> </w:t>
      </w:r>
      <w:r>
        <w:rPr>
          <w:b/>
          <w:bCs/>
        </w:rPr>
        <w:t xml:space="preserve">несущественным</w:t>
      </w:r>
      <w:r>
        <w:t xml:space="preserve"> </w:t>
      </w:r>
      <w:r>
        <w:t xml:space="preserve">(«эквивалентно»), если одновременно</w:t>
      </w:r>
      <w:r>
        <w:t xml:space="preserve"> </w:t>
      </w:r>
      <w:r>
        <w:t xml:space="preserve">выполняются: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мин И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(парный Уилкоксон на per-subject MAE);</w:t>
      </w:r>
    </w:p>
    <w:p>
      <w:pPr>
        <w:pStyle w:val="Compact"/>
        <w:numPr>
          <w:ilvl w:val="0"/>
          <w:numId w:val="1010"/>
        </w:numPr>
      </w:pPr>
      <w:r>
        <w:t xml:space="preserve">При нарушении хотя бы одного условия выносится вердикт «лучше with_abs»</w:t>
      </w:r>
      <w:r>
        <w:t xml:space="preserve"> </w:t>
      </w:r>
      <w:r>
        <w:t xml:space="preserve">или «лучше noabs» в зависимости от знака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</w:t>
      </w:r>
    </w:p>
    <w:p>
      <w:pPr>
        <w:pStyle w:val="FirstParagraph"/>
      </w:pPr>
      <w:r>
        <w:t xml:space="preserve">Порог 0,3 мин (~18 с) отражает минимальное клинически различимое улучшение:</w:t>
      </w:r>
      <w:r>
        <w:t xml:space="preserve"> </w:t>
      </w:r>
      <w:r>
        <w:t xml:space="preserve">отклонение меньше этого значения не изменяет практических рекомендаций по</w:t>
      </w:r>
      <w:r>
        <w:t xml:space="preserve"> </w:t>
      </w:r>
      <w:r>
        <w:t xml:space="preserve">выбору набора сенсоров. Поправка Холма в данном аблейшн-анализе не применялась —</w:t>
      </w:r>
      <w:r>
        <w:t xml:space="preserve"> </w:t>
      </w:r>
      <w:r>
        <w:t xml:space="preserve">он носит поисковый (exploratory), а не подтверждающий (confirmatory) характер.</w:t>
      </w:r>
      <w:r>
        <w:t xml:space="preserve"> </w:t>
      </w:r>
      <w:r>
        <w:t xml:space="preserve">Анализ проводился по 9 нейросетевым версиям (v0101–v0107) на пересечении</w:t>
      </w:r>
      <w:r>
        <w:t xml:space="preserve"> </w:t>
      </w:r>
      <w:r>
        <w:t xml:space="preserve">субъектов, присутствующих в обоих вариантах. Линейная модель v0011 в данный</w:t>
      </w:r>
      <w:r>
        <w:t xml:space="preserve"> </w:t>
      </w:r>
      <w:r>
        <w:t xml:space="preserve">анализ не включалась, поскольку для неё вариант noabs не имеет сохранённых</w:t>
      </w:r>
      <w:r>
        <w:t xml:space="preserve"> </w:t>
      </w:r>
      <w:r>
        <w:t xml:space="preserve">предсказаний (причины описаны в разделе 2.8.3).</w:t>
      </w:r>
    </w:p>
    <w:bookmarkEnd w:id="46"/>
    <w:bookmarkStart w:id="47" w:name="Xf54533918d0807a222630cc70bfef9a83632a33"/>
    <w:p>
      <w:pPr>
        <w:pStyle w:val="Heading2"/>
      </w:pPr>
      <w:r>
        <w:t xml:space="preserve">Конформное предсказание (conformal prediction)</w:t>
      </w:r>
    </w:p>
    <w:p>
      <w:pPr>
        <w:pStyle w:val="FirstParagraph"/>
      </w:pPr>
      <w:r>
        <w:t xml:space="preserve">Для построения предсказательных интервалов с гарантированным покрытием применялся</w:t>
      </w:r>
      <w:r>
        <w:t xml:space="preserve"> </w:t>
      </w:r>
      <w:r>
        <w:t xml:space="preserve">метод</w:t>
      </w:r>
      <w:r>
        <w:t xml:space="preserve"> </w:t>
      </w:r>
      <w:r>
        <w:rPr>
          <w:b/>
          <w:bCs/>
        </w:rPr>
        <w:t xml:space="preserve">LOSO split-conformal prediction</w:t>
      </w:r>
      <w:r>
        <w:t xml:space="preserve">. Метод основан на принципе обменности</w:t>
      </w:r>
      <w:r>
        <w:t xml:space="preserve"> </w:t>
      </w:r>
      <w:r>
        <w:t xml:space="preserve">(exchangeability) остатков модели: при условии, что тестовый объект обменим с</w:t>
      </w:r>
      <w:r>
        <w:t xml:space="preserve"> </w:t>
      </w:r>
      <w:r>
        <w:t xml:space="preserve">обучающими, интервал с целевым покрытием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выполняется на конечных</w:t>
      </w:r>
      <w:r>
        <w:t xml:space="preserve"> </w:t>
      </w:r>
      <w:r>
        <w:t xml:space="preserve">выборках без параметрических допущений о распределении ошибок.</w:t>
      </w:r>
    </w:p>
    <w:p>
      <w:pPr>
        <w:pStyle w:val="BodyText"/>
      </w:pPr>
      <w:r>
        <w:t xml:space="preserve">В реализации LOSO split-conformal:</w:t>
      </w:r>
    </w:p>
    <w:p>
      <w:pPr>
        <w:pStyle w:val="Compact"/>
        <w:numPr>
          <w:ilvl w:val="0"/>
          <w:numId w:val="1011"/>
        </w:numPr>
      </w:pPr>
      <w:r>
        <w:t xml:space="preserve">На каждой итерации LOSO обученная модель применялась к тестовому субъекту;</w:t>
      </w:r>
      <w:r>
        <w:t xml:space="preserve"> </w:t>
      </w:r>
      <w:r>
        <w:t xml:space="preserve">его предсказания формировали «тестовый» набор.</w:t>
      </w:r>
    </w:p>
    <w:p>
      <w:pPr>
        <w:pStyle w:val="Compact"/>
        <w:numPr>
          <w:ilvl w:val="0"/>
          <w:numId w:val="1011"/>
        </w:numPr>
      </w:pPr>
      <w:r>
        <w:t xml:space="preserve">Остатки модели на оставшихся 17 субъектах (обучающий фолд) использовались</w:t>
      </w:r>
      <w:r>
        <w:t xml:space="preserve"> </w:t>
      </w:r>
      <w:r>
        <w:t xml:space="preserve">как калибровочный набор для вычисления квантиля конформных оценок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Предсказательный интервал для окна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тестового субъекта: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±</m:t>
          </m:r>
          <m:sSubSup>
            <m:e>
              <m:r>
                <m:t>q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sub>
            <m:sup>
              <m:r>
                <m:rPr>
                  <m:nor/>
                  <m:sty m:val="p"/>
                </m:rPr>
                <m:t>cal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Тестировались два уровня покрытия: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и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). Уровень покрытия задаёт, какую долю тестовых окон интервал</w:t>
      </w:r>
      <w:r>
        <w:t xml:space="preserve"> </w:t>
      </w:r>
      <w:r>
        <w:t xml:space="preserve">должен накрывать: при 90% истинное значение должно попадать в интервал не менее</w:t>
      </w:r>
      <w:r>
        <w:t xml:space="preserve"> </w:t>
      </w:r>
      <w:r>
        <w:t xml:space="preserve">чем в 9 случаях из 10. Более высокий уровень даёт более широкий интервал.</w:t>
      </w:r>
    </w:p>
    <w:p>
      <w:pPr>
        <w:pStyle w:val="BodyText"/>
      </w:pPr>
      <w:r>
        <w:t xml:space="preserve">Качество интервалов оценивалось по двум характеристикам: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эмпирическое покрытие</w:t>
      </w:r>
      <w:r>
        <w:t xml:space="preserve"> </w:t>
      </w:r>
      <w:r>
        <w:t xml:space="preserve">— фактическая доля тестовых окон, в которые попало</w:t>
      </w:r>
      <w:r>
        <w:t xml:space="preserve"> </w:t>
      </w:r>
      <w:r>
        <w:t xml:space="preserve">истинное значение (сравнивается с целевым уровнем);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полуширина</w:t>
      </w:r>
      <w:r>
        <w:t xml:space="preserve"> </w:t>
      </w:r>
      <w:r>
        <w:t xml:space="preserve">(в минутах) — величина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</m:sSub>
      </m:oMath>
      <w:r>
        <w:t xml:space="preserve">, то есть отклонение</w:t>
      </w:r>
      <w:r>
        <w:t xml:space="preserve"> </w:t>
      </w:r>
      <w:r>
        <w:t xml:space="preserve">«±» от точечного предсказания.</w:t>
      </w:r>
    </w:p>
    <w:p>
      <w:pPr>
        <w:pStyle w:val="BodyText"/>
      </w:pPr>
      <w:r>
        <w:t xml:space="preserve">Анализ проводился для финальных моделей-победителей (раздел 2.8.3): линейная</w:t>
      </w:r>
      <w:r>
        <w:t xml:space="preserve"> </w:t>
      </w:r>
      <w:r>
        <w:t xml:space="preserve">регрессия на HRV и на EMG+NIRS+HRV для LT2; линейная регрессия на EMG+NIRS и</w:t>
      </w:r>
      <w:r>
        <w:t xml:space="preserve"> </w:t>
      </w:r>
      <w:r>
        <w:t xml:space="preserve">на EMG+NIRS+HRV для LT1. Покрытие оценивалось раздельно для тренированных и</w:t>
      </w:r>
      <w:r>
        <w:t xml:space="preserve"> </w:t>
      </w:r>
      <w:r>
        <w:t xml:space="preserve">нетренированных субъектов.</w:t>
      </w:r>
    </w:p>
    <w:bookmarkEnd w:id="47"/>
    <w:bookmarkStart w:id="48" w:name="X8000d17086e189c28091bed1a8e9efd15c72788"/>
    <w:p>
      <w:pPr>
        <w:pStyle w:val="Heading2"/>
      </w:pPr>
      <w:r>
        <w:t xml:space="preserve">Интерпретация модели: анализ важности признаков (SHAP)</w:t>
      </w:r>
    </w:p>
    <w:p>
      <w:pPr>
        <w:pStyle w:val="FirstParagraph"/>
      </w:pPr>
      <w:r>
        <w:t xml:space="preserve">Чтобы понять, какие физиологические сигналы вносят наибольший вклад в</w:t>
      </w:r>
      <w:r>
        <w:t xml:space="preserve"> </w:t>
      </w:r>
      <w:r>
        <w:t xml:space="preserve">предсказание времени до порога, применялся метод SHAP (SHapley Additive</w:t>
      </w:r>
      <w:r>
        <w:t xml:space="preserve"> </w:t>
      </w:r>
      <w:r>
        <w:t xml:space="preserve">exPlanations). Для каждого окна SHAP разбивает предсказание модели на вклады</w:t>
      </w:r>
      <w:r>
        <w:t xml:space="preserve"> </w:t>
      </w:r>
      <w:r>
        <w:t xml:space="preserve">отдельных признаков: положительный вклад означает, что признак сдвигает</w:t>
      </w:r>
      <w:r>
        <w:t xml:space="preserve"> </w:t>
      </w:r>
      <w:r>
        <w:t xml:space="preserve">предсказание вверх (дальше от порога), отрицательный — вниз (ближе к порогу).</w:t>
      </w:r>
    </w:p>
    <w:p>
      <w:pPr>
        <w:pStyle w:val="BodyText"/>
      </w:pPr>
      <w:r>
        <w:t xml:space="preserve">Для линейных моделей семейства v0011 значения SHAP вычислялись аналитически</w:t>
      </w:r>
      <w:r>
        <w:t xml:space="preserve"> </w:t>
      </w:r>
      <w:r>
        <w:t xml:space="preserve">с помощью линейного SHAP-explainer (библиотека shap 0.51.0) — без приближений.</w:t>
      </w:r>
    </w:p>
    <w:p>
      <w:pPr>
        <w:pStyle w:val="BodyText"/>
      </w:pPr>
      <w:r>
        <w:t xml:space="preserve">Важность каждого признака оценивалась как среднее абсолютное значение SHAP</w:t>
      </w:r>
      <w:r>
        <w:t xml:space="preserve"> </w:t>
      </w:r>
      <w:r>
        <w:t xml:space="preserve">по всем тестовым окнам всех субъектов</w:t>
      </w:r>
      <w:r>
        <w:t xml:space="preserve"> </w:t>
      </w:r>
      <m:oMath>
        <m:acc>
          <m:accPr>
            <m:chr m:val="‾"/>
          </m:accPr>
          <m:e>
            <m:r>
              <m:rPr>
                <m:sty m:val="p"/>
              </m:rPr>
              <m:t>|</m:t>
            </m:r>
            <m:sSub>
              <m:e>
                <m:r>
                  <m:t>ϕ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|</m:t>
            </m:r>
          </m:e>
        </m:acc>
      </m:oMath>
      <w:r>
        <w:t xml:space="preserve">. Дополнительно признаки</w:t>
      </w:r>
      <w:r>
        <w:t xml:space="preserve"> </w:t>
      </w:r>
      <w:r>
        <w:t xml:space="preserve">объединялись в группы по модальности (EMG, NIRS, HRV, кинематика,</w:t>
      </w:r>
      <w:r>
        <w:t xml:space="preserve"> </w:t>
      </w:r>
      <w:r>
        <w:t xml:space="preserve">взаимодействия) — это позволяет оценить относительный вклад каждого источника</w:t>
      </w:r>
      <w:r>
        <w:t xml:space="preserve"> </w:t>
      </w:r>
      <w:r>
        <w:t xml:space="preserve">сигнала в целом, а не отдельных признаков.</w:t>
      </w:r>
    </w:p>
    <w:p>
      <w:pPr>
        <w:pStyle w:val="BodyText"/>
      </w:pPr>
      <w:r>
        <w:t xml:space="preserve">Стандартный набор визуализаций включал: beeswarm-диаграмму (распределение</w:t>
      </w:r>
      <w:r>
        <w:t xml:space="preserve"> </w:t>
      </w:r>
      <w:r>
        <w:t xml:space="preserve">значений SHAP по признакам), bar-диаграмму средних абсолютных вкладов признаков</w:t>
      </w:r>
      <w:r>
        <w:t xml:space="preserve"> </w:t>
      </w:r>
      <w:r>
        <w:t xml:space="preserve">и waterfall-диаграмму для отдельных субъектов.</w:t>
      </w:r>
    </w:p>
    <w:bookmarkEnd w:id="48"/>
    <w:bookmarkStart w:id="49" w:name="программное-обеспечение-и-версии"/>
    <w:p>
      <w:pPr>
        <w:pStyle w:val="Heading2"/>
      </w:pPr>
      <w:r>
        <w:t xml:space="preserve">Программное обеспечение и версии</w:t>
      </w:r>
    </w:p>
    <w:p>
      <w:pPr>
        <w:pStyle w:val="FirstParagraph"/>
      </w:pPr>
      <w:r>
        <w:t xml:space="preserve">Все статистические расчёты выполнены в среде Python 3.13.5. Версии ключевых пакетов: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Пакет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1.17.1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1.8.0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0.51.0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2.4.4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3.0.2</w:t>
            </w:r>
          </w:p>
        </w:tc>
      </w:tr>
    </w:tbl>
    <w:p>
      <w:pPr>
        <w:pStyle w:val="BodyText"/>
      </w:pPr>
      <w:r>
        <w:t xml:space="preserve">Все вычисления детерминированы: линейные модели и конформные процедуры не</w:t>
      </w:r>
      <w:r>
        <w:t xml:space="preserve"> </w:t>
      </w:r>
      <w:r>
        <w:t xml:space="preserve">содержат стохастических операций. Полный порядок воспроизведения расчётов</w:t>
      </w:r>
      <w:r>
        <w:t xml:space="preserve"> </w:t>
      </w:r>
      <w:r>
        <w:t xml:space="preserve">задокументирован в сопроводительных материалах к настоящей работе.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2026-05-14T17:51:14Z</dcterms:created>
  <dcterms:modified xsi:type="dcterms:W3CDTF">2026-05-14T17:51:14Z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