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70DB" w14:textId="77777777" w:rsidR="00AD039F" w:rsidRDefault="00431EEE">
      <w:pPr>
        <w:spacing w:after="240"/>
        <w:jc w:val="center"/>
      </w:pPr>
      <w:r>
        <w:rPr>
          <w:b/>
          <w:bCs/>
        </w:rPr>
        <w:t>2 ОБЗОР ЛИТЕРАТУРЫ</w:t>
      </w:r>
    </w:p>
    <w:p w14:paraId="24EB58C7" w14:textId="77777777" w:rsidR="00AD039F" w:rsidRDefault="00431EEE">
      <w:pPr>
        <w:spacing w:before="240" w:after="120"/>
      </w:pPr>
      <w:r>
        <w:rPr>
          <w:b/>
          <w:bCs/>
        </w:rPr>
        <w:t>2.1 Аэробно-анаэробный переход: физиологические механизмы</w:t>
      </w:r>
    </w:p>
    <w:p w14:paraId="73B98E40" w14:textId="68F7B1DF" w:rsidR="00AD039F" w:rsidRDefault="00431EEE">
      <w:pPr>
        <w:ind w:firstLine="708"/>
        <w:jc w:val="both"/>
      </w:pPr>
      <w:r>
        <w:t xml:space="preserve">Аэробно-анаэробный переход представляет собой диапазон интенсивности нагрузки, при котором анаэробный гликолиз начинает вносить существенный вклад в энергообеспечение мышечной работы, и </w:t>
      </w:r>
      <w:proofErr w:type="spellStart"/>
      <w:r>
        <w:t>лактат</w:t>
      </w:r>
      <w:proofErr w:type="spellEnd"/>
      <w:r>
        <w:t xml:space="preserve"> в крови начинает накапливаться быстрее, чем может быть удалён. Концептуально различают два качественно различных переходных состояния: первый порог (VT1/LT1) и второй порог (VT2/LT2/MLSS). Первый порог соответствует первому достоверному росту концентрации </w:t>
      </w:r>
      <w:proofErr w:type="spellStart"/>
      <w:r>
        <w:t>лактата</w:t>
      </w:r>
      <w:proofErr w:type="spellEnd"/>
      <w:r>
        <w:t xml:space="preserve"> выше базального уровня — приблизительно 2,0–2,5 </w:t>
      </w:r>
      <w:proofErr w:type="spellStart"/>
      <w:r>
        <w:t>ммоль</w:t>
      </w:r>
      <w:proofErr w:type="spellEnd"/>
      <w:r>
        <w:t xml:space="preserve">/л — и сопровождается начальными вентиляционными изменениями. Второй порог, нередко именуемый анаэробным порогом или максимальным </w:t>
      </w:r>
      <w:proofErr w:type="spellStart"/>
      <w:r>
        <w:t>лактатным</w:t>
      </w:r>
      <w:proofErr w:type="spellEnd"/>
      <w:r>
        <w:t xml:space="preserve"> стационарным состоянием (MLSS), соответствует интенсивности, при которой производство </w:t>
      </w:r>
      <w:proofErr w:type="spellStart"/>
      <w:r>
        <w:t>лактата</w:t>
      </w:r>
      <w:proofErr w:type="spellEnd"/>
      <w:r>
        <w:t xml:space="preserve"> окончательно превосходит скорость его клиренса; при фиксированном протоколе 4 </w:t>
      </w:r>
      <w:proofErr w:type="spellStart"/>
      <w:r>
        <w:t>ммоль</w:t>
      </w:r>
      <w:proofErr w:type="spellEnd"/>
      <w:r>
        <w:t>/л он часто используется как его приближение [</w:t>
      </w:r>
      <w:proofErr w:type="spellStart"/>
      <w:r>
        <w:t>Wackerhage</w:t>
      </w:r>
      <w:proofErr w:type="spellEnd"/>
      <w:r>
        <w:t xml:space="preserve">, </w:t>
      </w:r>
      <w:proofErr w:type="spellStart"/>
      <w:r>
        <w:t>Gehlert</w:t>
      </w:r>
      <w:proofErr w:type="spellEnd"/>
      <w:r>
        <w:t xml:space="preserve">, 2022; </w:t>
      </w:r>
      <w:proofErr w:type="spellStart"/>
      <w:r>
        <w:t>Fiedler</w:t>
      </w:r>
      <w:proofErr w:type="spellEnd"/>
      <w:r>
        <w:t xml:space="preserve">, </w:t>
      </w:r>
      <w:proofErr w:type="spellStart"/>
      <w:r>
        <w:t>Woll</w:t>
      </w:r>
      <w:proofErr w:type="spellEnd"/>
      <w:r>
        <w:t>, 2025].</w:t>
      </w:r>
    </w:p>
    <w:p w14:paraId="016FB406" w14:textId="562EA12E" w:rsidR="00431EEE" w:rsidRDefault="00431EEE" w:rsidP="00431EEE">
      <w:pPr>
        <w:jc w:val="both"/>
      </w:pPr>
      <w:r>
        <w:rPr>
          <w:noProof/>
        </w:rPr>
        <w:drawing>
          <wp:inline distT="0" distB="0" distL="0" distR="0" wp14:anchorId="55EA4CD2" wp14:editId="28D06A44">
            <wp:extent cx="5940425" cy="3203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23CA" w14:textId="77777777" w:rsidR="00AD039F" w:rsidRDefault="00431EEE">
      <w:pPr>
        <w:ind w:firstLine="708"/>
        <w:jc w:val="both"/>
      </w:pPr>
      <w:r>
        <w:t xml:space="preserve">Ключевую роль в понимании </w:t>
      </w:r>
      <w:proofErr w:type="spellStart"/>
      <w:r>
        <w:t>лактатного</w:t>
      </w:r>
      <w:proofErr w:type="spellEnd"/>
      <w:r>
        <w:t xml:space="preserve"> порога сыграли работы по кинетике </w:t>
      </w:r>
      <w:proofErr w:type="spellStart"/>
      <w:r>
        <w:t>лактата</w:t>
      </w:r>
      <w:proofErr w:type="spellEnd"/>
      <w:r>
        <w:t xml:space="preserve">. </w:t>
      </w:r>
      <w:proofErr w:type="spellStart"/>
      <w:r>
        <w:t>Messonnier</w:t>
      </w:r>
      <w:proofErr w:type="spellEnd"/>
      <w:r>
        <w:t xml:space="preserve"> с соавторами [</w:t>
      </w:r>
      <w:proofErr w:type="spellStart"/>
      <w:r>
        <w:t>Messonnier</w:t>
      </w:r>
      <w:proofErr w:type="spellEnd"/>
      <w:r>
        <w:t xml:space="preserve">, </w:t>
      </w:r>
      <w:proofErr w:type="spellStart"/>
      <w:r>
        <w:t>Emhoff</w:t>
      </w:r>
      <w:proofErr w:type="spellEnd"/>
      <w:r>
        <w:t xml:space="preserve">, 2013] в серии </w:t>
      </w:r>
      <w:r>
        <w:lastRenderedPageBreak/>
        <w:t xml:space="preserve">экспериментов с изотопными метками показали, что </w:t>
      </w:r>
      <w:proofErr w:type="spellStart"/>
      <w:r>
        <w:t>лактатный</w:t>
      </w:r>
      <w:proofErr w:type="spellEnd"/>
      <w:r>
        <w:t xml:space="preserve"> порог соответствует точке, при которой скорость удаления и утилизации </w:t>
      </w:r>
      <w:proofErr w:type="spellStart"/>
      <w:r>
        <w:t>лактата</w:t>
      </w:r>
      <w:proofErr w:type="spellEnd"/>
      <w:r>
        <w:t xml:space="preserve"> тканями — метаболический клиренс </w:t>
      </w:r>
      <w:proofErr w:type="spellStart"/>
      <w:r>
        <w:t>лактата</w:t>
      </w:r>
      <w:proofErr w:type="spellEnd"/>
      <w:r>
        <w:t xml:space="preserve"> (MCR) — достигает максимума: при переходе от интенсивности LT−10% к уровню LT MCR снижается на 30%, а у тренированных спортсменов MCR при LT был на 34% выше, чем у нетренированных (62,5 против 46,5 мл·кг⁻¹·мин⁻¹, p&lt;0,05). Таким образом, порог отражает не просто момент появления </w:t>
      </w:r>
      <w:proofErr w:type="spellStart"/>
      <w:r>
        <w:t>лактата</w:t>
      </w:r>
      <w:proofErr w:type="spellEnd"/>
      <w:r>
        <w:t xml:space="preserve">, а точку ограничения его клиренса. Примерно 70–80% утилизируемого </w:t>
      </w:r>
      <w:proofErr w:type="spellStart"/>
      <w:r>
        <w:t>лактата</w:t>
      </w:r>
      <w:proofErr w:type="spellEnd"/>
      <w:r>
        <w:t xml:space="preserve"> окисляется непосредственно, а 20–30% служат субстратом для </w:t>
      </w:r>
      <w:proofErr w:type="spellStart"/>
      <w:r>
        <w:t>глюконеогенеза</w:t>
      </w:r>
      <w:proofErr w:type="spellEnd"/>
      <w:r>
        <w:t xml:space="preserve"> [</w:t>
      </w:r>
      <w:proofErr w:type="spellStart"/>
      <w:r>
        <w:t>Messonnier</w:t>
      </w:r>
      <w:proofErr w:type="spellEnd"/>
      <w:r>
        <w:t xml:space="preserve">, </w:t>
      </w:r>
      <w:proofErr w:type="spellStart"/>
      <w:r>
        <w:t>Emhoff</w:t>
      </w:r>
      <w:proofErr w:type="spellEnd"/>
      <w:r>
        <w:t xml:space="preserve">, 2013]. Транспортные белки MCT1 и MCT4, которые переносят </w:t>
      </w:r>
      <w:proofErr w:type="spellStart"/>
      <w:r>
        <w:t>лактат</w:t>
      </w:r>
      <w:proofErr w:type="spellEnd"/>
      <w:r>
        <w:t xml:space="preserve"> через мембрану мышечной клетки, играют роль лимитирующего звена при высокой интенсивности: семидневная тренировка увеличивает содержание MCT1 в мышечной ткани на 118%, что сопровождается повышением скорости выхода </w:t>
      </w:r>
      <w:proofErr w:type="spellStart"/>
      <w:r>
        <w:t>лактата</w:t>
      </w:r>
      <w:proofErr w:type="spellEnd"/>
      <w:r>
        <w:t xml:space="preserve"> из мышечного волокна в венозную кровь [</w:t>
      </w:r>
      <w:proofErr w:type="spellStart"/>
      <w:r>
        <w:t>Bonen</w:t>
      </w:r>
      <w:proofErr w:type="spellEnd"/>
      <w:r>
        <w:t xml:space="preserve">, </w:t>
      </w:r>
      <w:proofErr w:type="spellStart"/>
      <w:r>
        <w:t>McCullagh</w:t>
      </w:r>
      <w:proofErr w:type="spellEnd"/>
      <w:r>
        <w:t>, 1998].</w:t>
      </w:r>
    </w:p>
    <w:p w14:paraId="17D0BDA6" w14:textId="77777777" w:rsidR="00AD039F" w:rsidRDefault="00431EEE">
      <w:pPr>
        <w:ind w:firstLine="708"/>
        <w:jc w:val="both"/>
      </w:pPr>
      <w:r>
        <w:t xml:space="preserve">Разграничение двух порогов тесно связано с физиологией </w:t>
      </w:r>
      <w:proofErr w:type="spellStart"/>
      <w:r>
        <w:t>рекрутирования</w:t>
      </w:r>
      <w:proofErr w:type="spellEnd"/>
      <w:r>
        <w:t xml:space="preserve"> двигательных единиц (ДЕ). При умеренной нагрузке работа поддерживается преимущественно медленными окислительными волокнами (тип I), способными к высокой скорости окислительного </w:t>
      </w:r>
      <w:proofErr w:type="spellStart"/>
      <w:r>
        <w:t>фосфорилирования</w:t>
      </w:r>
      <w:proofErr w:type="spellEnd"/>
      <w:r>
        <w:t xml:space="preserve">. По мере роста нагрузки в работу постепенно вовлекаются быстрые гликолитические ДЕ (тип II), обладающие более высокой максимальной скоростью образования </w:t>
      </w:r>
      <w:proofErr w:type="spellStart"/>
      <w:r>
        <w:t>лактата</w:t>
      </w:r>
      <w:proofErr w:type="spellEnd"/>
      <w:r>
        <w:t xml:space="preserve"> (</w:t>
      </w:r>
      <w:proofErr w:type="spellStart"/>
      <w:r>
        <w:rPr>
          <w:i/>
        </w:rPr>
        <w:t>VLa</w:t>
      </w:r>
      <w:r>
        <w:t>max</w:t>
      </w:r>
      <w:proofErr w:type="spellEnd"/>
      <w:r>
        <w:t xml:space="preserve">). Именно этот рекрутирующий сдвиг является физиологической основой первого порога: к нему </w:t>
      </w:r>
      <w:proofErr w:type="spellStart"/>
      <w:r>
        <w:t>лактат</w:t>
      </w:r>
      <w:proofErr w:type="spellEnd"/>
      <w:r>
        <w:t xml:space="preserve"> начинает накапливаться, поскольку быстрые волокна производят его быстрее, чем соседние медленные волокна и сердечная мышца успевают его утилизировать [</w:t>
      </w:r>
      <w:proofErr w:type="spellStart"/>
      <w:r>
        <w:t>Wackerhage</w:t>
      </w:r>
      <w:proofErr w:type="spellEnd"/>
      <w:r>
        <w:t xml:space="preserve">, </w:t>
      </w:r>
      <w:proofErr w:type="spellStart"/>
      <w:r>
        <w:t>Gehlert</w:t>
      </w:r>
      <w:proofErr w:type="spellEnd"/>
      <w:r>
        <w:t xml:space="preserve">, 2022; </w:t>
      </w:r>
      <w:proofErr w:type="spellStart"/>
      <w:r>
        <w:t>Brooks</w:t>
      </w:r>
      <w:proofErr w:type="spellEnd"/>
      <w:r>
        <w:t xml:space="preserve">, 2023]. Количественно этот сдвиг можно описать через модель Мадера, детально рассмотренную </w:t>
      </w:r>
      <w:proofErr w:type="spellStart"/>
      <w:r>
        <w:t>Wackerhage</w:t>
      </w:r>
      <w:proofErr w:type="spellEnd"/>
      <w:r>
        <w:t xml:space="preserve"> и </w:t>
      </w:r>
      <w:proofErr w:type="spellStart"/>
      <w:r>
        <w:t>Gehlert</w:t>
      </w:r>
      <w:proofErr w:type="spellEnd"/>
      <w:r>
        <w:t xml:space="preserve"> [2022]: в ней активация гликолиза и окислительного </w:t>
      </w:r>
      <w:proofErr w:type="spellStart"/>
      <w:r>
        <w:t>фосфорилирования</w:t>
      </w:r>
      <w:proofErr w:type="spellEnd"/>
      <w:r>
        <w:t xml:space="preserve"> задаётся концентрацией свободного АДФ, а высокая </w:t>
      </w:r>
      <w:proofErr w:type="spellStart"/>
      <w:r>
        <w:rPr>
          <w:i/>
        </w:rPr>
        <w:t>VLa</w:t>
      </w:r>
      <w:r>
        <w:t>max</w:t>
      </w:r>
      <w:proofErr w:type="spellEnd"/>
      <w:r>
        <w:t xml:space="preserve"> снижает мощность на ПАНО и ухудшает результативность на длинных дистанциях.</w:t>
      </w:r>
    </w:p>
    <w:p w14:paraId="3E0844CC" w14:textId="77777777" w:rsidR="00AD039F" w:rsidRDefault="00431EEE">
      <w:pPr>
        <w:ind w:firstLine="708"/>
        <w:jc w:val="both"/>
      </w:pPr>
      <w:r>
        <w:lastRenderedPageBreak/>
        <w:t xml:space="preserve">Почему детектируются именно два порога, а не один, объясняется разными механизмами формирования буферной ёмкости и вентиляционного ответа. Первый порог (VT1/LT1) отражает начальное включение бикарбонатной буферной системы для компенсации появляющегося </w:t>
      </w:r>
      <w:proofErr w:type="spellStart"/>
      <w:r>
        <w:t>лактата</w:t>
      </w:r>
      <w:proofErr w:type="spellEnd"/>
      <w:r>
        <w:t xml:space="preserve"> — у молодых здоровых испытуемых VT1 наступает при 59,4% </w:t>
      </w:r>
      <w:proofErr w:type="spellStart"/>
      <w:r>
        <w:t>VO₂max</w:t>
      </w:r>
      <w:proofErr w:type="spellEnd"/>
      <w:r>
        <w:t xml:space="preserve"> [</w:t>
      </w:r>
      <w:proofErr w:type="spellStart"/>
      <w:r>
        <w:t>Lin</w:t>
      </w:r>
      <w:proofErr w:type="spellEnd"/>
      <w:r>
        <w:t xml:space="preserve">, </w:t>
      </w:r>
      <w:proofErr w:type="spellStart"/>
      <w:r>
        <w:t>Huang</w:t>
      </w:r>
      <w:proofErr w:type="spellEnd"/>
      <w:r>
        <w:t xml:space="preserve">, 2020]. Второй порог (VT2/LT2) маркирует исчерпание буферной ёмкости и начало дыхательной компенсации метаболического ацидоза; в той же популяции VT2 соответствовал 86,1% </w:t>
      </w:r>
      <w:proofErr w:type="spellStart"/>
      <w:r>
        <w:t>VO₂max</w:t>
      </w:r>
      <w:proofErr w:type="spellEnd"/>
      <w:r>
        <w:t xml:space="preserve"> [</w:t>
      </w:r>
      <w:proofErr w:type="spellStart"/>
      <w:r>
        <w:t>Lin</w:t>
      </w:r>
      <w:proofErr w:type="spellEnd"/>
      <w:r>
        <w:t xml:space="preserve">, </w:t>
      </w:r>
      <w:proofErr w:type="spellStart"/>
      <w:r>
        <w:t>Huang</w:t>
      </w:r>
      <w:proofErr w:type="spellEnd"/>
      <w:r>
        <w:t xml:space="preserve">, 2020]. При медленных рамп-протоколах тестирования </w:t>
      </w:r>
      <w:proofErr w:type="spellStart"/>
      <w:r>
        <w:t>лактатный</w:t>
      </w:r>
      <w:proofErr w:type="spellEnd"/>
      <w:r>
        <w:t xml:space="preserve"> порог может выявляться существенно раньше вентиляционного — </w:t>
      </w:r>
      <w:proofErr w:type="spellStart"/>
      <w:r>
        <w:t>Kominami</w:t>
      </w:r>
      <w:proofErr w:type="spellEnd"/>
      <w:r>
        <w:t xml:space="preserve"> и </w:t>
      </w:r>
      <w:proofErr w:type="spellStart"/>
      <w:r>
        <w:t>Nishijima</w:t>
      </w:r>
      <w:proofErr w:type="spellEnd"/>
      <w:r>
        <w:t xml:space="preserve"> [2015] показали, что у части испытуемых LT наступает уже при ~30% </w:t>
      </w:r>
      <w:proofErr w:type="spellStart"/>
      <w:r>
        <w:t>VO₂peak</w:t>
      </w:r>
      <w:proofErr w:type="spellEnd"/>
      <w:r>
        <w:t xml:space="preserve">, опережая VT (~38% </w:t>
      </w:r>
      <w:proofErr w:type="spellStart"/>
      <w:r>
        <w:t>VO₂peak</w:t>
      </w:r>
      <w:proofErr w:type="spellEnd"/>
      <w:r>
        <w:t xml:space="preserve">), что объясняется временем диффузии </w:t>
      </w:r>
      <w:proofErr w:type="spellStart"/>
      <w:r>
        <w:t>лактата</w:t>
      </w:r>
      <w:proofErr w:type="spellEnd"/>
      <w:r>
        <w:t xml:space="preserve"> из интерстициального пространства в капиллярную кровь. Это разграничение между биохимическим и вентиляционным порогами принципиально важно при интерпретации данных ступенчатого теста.</w:t>
      </w:r>
    </w:p>
    <w:p w14:paraId="5E44287D" w14:textId="77777777" w:rsidR="00AD039F" w:rsidRDefault="00431EEE">
      <w:pPr>
        <w:ind w:firstLine="708"/>
        <w:jc w:val="both"/>
      </w:pPr>
      <w:r>
        <w:t xml:space="preserve">Первый </w:t>
      </w:r>
      <w:proofErr w:type="spellStart"/>
      <w:r>
        <w:t>лактатный</w:t>
      </w:r>
      <w:proofErr w:type="spellEnd"/>
      <w:r>
        <w:t xml:space="preserve"> порог (LT1) несёт практическое значение не только для спорта, но и для физиологии труда. </w:t>
      </w:r>
      <w:proofErr w:type="spellStart"/>
      <w:r>
        <w:t>Fasching</w:t>
      </w:r>
      <w:proofErr w:type="spellEnd"/>
      <w:r>
        <w:t xml:space="preserve"> и </w:t>
      </w:r>
      <w:proofErr w:type="spellStart"/>
      <w:r>
        <w:t>Rinnerhofer</w:t>
      </w:r>
      <w:proofErr w:type="spellEnd"/>
      <w:r>
        <w:t xml:space="preserve"> [2020] в исследовании 188 мужчин и 52 женщин рабочих специальностей показали, что 95,4% выполняли обычную профессиональную деятельность при интенсивности ниже LT1: именно этот порог является физиологическим верхним пределом для продолжительной тяжёлой работы длительностью до 8 часов. Превышение LT1 сопровождается ростом концентрации катехоламинов и активацией симпатической нервной системы, что ускоряет развитие утомления. Таким образом, точное определение обоих порогов критично как в контексте управления тренировочным процессом, так и при оценке функциональных возможностей человека.</w:t>
      </w:r>
    </w:p>
    <w:p w14:paraId="77D23034" w14:textId="77777777" w:rsidR="00AD039F" w:rsidRDefault="00431EEE">
      <w:pPr>
        <w:ind w:firstLine="708"/>
        <w:jc w:val="both"/>
      </w:pPr>
      <w:r>
        <w:rPr>
          <w:i/>
          <w:iCs/>
        </w:rPr>
        <w:t xml:space="preserve">Несмотря на хорошо разработанную физиологическую концепцию двух порогов, существующие методы их определения остаются либо инвазивными (заборы крови для </w:t>
      </w:r>
      <w:proofErr w:type="spellStart"/>
      <w:r>
        <w:rPr>
          <w:i/>
          <w:iCs/>
        </w:rPr>
        <w:t>лактатного</w:t>
      </w:r>
      <w:proofErr w:type="spellEnd"/>
      <w:r>
        <w:rPr>
          <w:i/>
          <w:iCs/>
        </w:rPr>
        <w:t xml:space="preserve"> анализа), либо требуют специализированного газоаналитического оборудования. Определение обоих порогов — LT1 и LT2 — </w:t>
      </w:r>
      <w:r>
        <w:rPr>
          <w:i/>
          <w:iCs/>
        </w:rPr>
        <w:lastRenderedPageBreak/>
        <w:t xml:space="preserve">в реальном времени непрерывно, по локальным </w:t>
      </w:r>
      <w:proofErr w:type="spellStart"/>
      <w:r>
        <w:rPr>
          <w:i/>
          <w:iCs/>
        </w:rPr>
        <w:t>неинвазивным</w:t>
      </w:r>
      <w:proofErr w:type="spellEnd"/>
      <w:r>
        <w:rPr>
          <w:i/>
          <w:iCs/>
        </w:rPr>
        <w:t xml:space="preserve"> сигналам работающей мышцы, на сегодняшний день не реализовано.</w:t>
      </w:r>
    </w:p>
    <w:p w14:paraId="55903134" w14:textId="77777777" w:rsidR="00AD039F" w:rsidRDefault="00431EEE">
      <w:pPr>
        <w:spacing w:before="240" w:after="120"/>
      </w:pPr>
      <w:r>
        <w:rPr>
          <w:b/>
          <w:bCs/>
        </w:rPr>
        <w:t xml:space="preserve">2.2 Электромиография как </w:t>
      </w:r>
      <w:proofErr w:type="spellStart"/>
      <w:r>
        <w:rPr>
          <w:b/>
          <w:bCs/>
        </w:rPr>
        <w:t>неинвазивный</w:t>
      </w:r>
      <w:proofErr w:type="spellEnd"/>
      <w:r>
        <w:rPr>
          <w:b/>
          <w:bCs/>
        </w:rPr>
        <w:t xml:space="preserve"> маркер порога при велоэргометрии</w:t>
      </w:r>
    </w:p>
    <w:p w14:paraId="17BC6A8A" w14:textId="77777777" w:rsidR="00AD039F" w:rsidRDefault="00431EEE">
      <w:pPr>
        <w:spacing w:before="200" w:after="120"/>
      </w:pPr>
      <w:r>
        <w:rPr>
          <w:b/>
          <w:bCs/>
          <w:i/>
          <w:iCs/>
        </w:rPr>
        <w:t>2.2.1 Классические признаки: RMS, MDF и ЭМГ-порог</w:t>
      </w:r>
    </w:p>
    <w:p w14:paraId="324FF106" w14:textId="77777777" w:rsidR="00AD039F" w:rsidRDefault="00431EEE">
      <w:pPr>
        <w:ind w:firstLine="708"/>
        <w:jc w:val="both"/>
      </w:pPr>
      <w:r>
        <w:t>Поверхностная электромиография (</w:t>
      </w:r>
      <w:proofErr w:type="spellStart"/>
      <w:r>
        <w:rPr>
          <w:i/>
        </w:rPr>
        <w:t>sEMG</w:t>
      </w:r>
      <w:proofErr w:type="spellEnd"/>
      <w:r>
        <w:t xml:space="preserve">) позволяет </w:t>
      </w:r>
      <w:proofErr w:type="spellStart"/>
      <w:r>
        <w:t>неинвазивно</w:t>
      </w:r>
      <w:proofErr w:type="spellEnd"/>
      <w:r>
        <w:t xml:space="preserve"> регистрировать электрическую активность скелетных мышц и тем самым косвенно отражать паттерн </w:t>
      </w:r>
      <w:proofErr w:type="spellStart"/>
      <w:r>
        <w:t>рекрутирования</w:t>
      </w:r>
      <w:proofErr w:type="spellEnd"/>
      <w:r>
        <w:t xml:space="preserve"> двигательных единиц, то есть последовательность и степень включения различных двигательных единиц мышцы в работу. Принципиальная возможность использования ЭМГ для определения анаэробного порога была продемонстрирована ещё в работе </w:t>
      </w:r>
      <w:proofErr w:type="spellStart"/>
      <w:r>
        <w:t>Nagata</w:t>
      </w:r>
      <w:proofErr w:type="spellEnd"/>
      <w:r>
        <w:t xml:space="preserve"> и соавторов [</w:t>
      </w:r>
      <w:proofErr w:type="spellStart"/>
      <w:r>
        <w:t>Nagata</w:t>
      </w:r>
      <w:proofErr w:type="spellEnd"/>
      <w:r>
        <w:t xml:space="preserve">, </w:t>
      </w:r>
      <w:proofErr w:type="spellStart"/>
      <w:r>
        <w:t>Moritani</w:t>
      </w:r>
      <w:proofErr w:type="spellEnd"/>
      <w:r>
        <w:t xml:space="preserve">, 1981], в которой была обнаружена высокая корреляция между ЭМГ-порогом по интегрированной ЭМГ (IEMG-AT) и кровяным анаэробным порогом (r=0,921, </w:t>
      </w:r>
      <w:proofErr w:type="gramStart"/>
      <w:r>
        <w:t>p&lt;</w:t>
      </w:r>
      <w:proofErr w:type="gramEnd"/>
      <w:r>
        <w:t>0,001, n=10). В той же работе было показано, что значимое увеличение ширины частотной полосы FRQ70% (полоса на уровне 70% пиковой частоты спектра) происходит непосредственно после достижения кровяного анаэробного порога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. = 10,3 Гц, t=2,82, </w:t>
      </w:r>
      <w:proofErr w:type="gramStart"/>
      <w:r>
        <w:t>p&lt;</w:t>
      </w:r>
      <w:proofErr w:type="gramEnd"/>
      <w:r>
        <w:t>0,05), тогда как пиковая частота (PFR) не меняется значимо. При этом ЭМГ-порог по VO₂ определяется с незначительной задержкой относительно кровяного AT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. = 0,20 л/мин, t=3,98, </w:t>
      </w:r>
      <w:proofErr w:type="gramStart"/>
      <w:r>
        <w:t>p&lt;</w:t>
      </w:r>
      <w:proofErr w:type="gramEnd"/>
      <w:r>
        <w:t>0,05), хотя в 4 из 10 случаев оба порога совпадали точно.</w:t>
      </w:r>
    </w:p>
    <w:p w14:paraId="3FDE3232" w14:textId="77777777" w:rsidR="00AD039F" w:rsidRDefault="00431EEE">
      <w:pPr>
        <w:ind w:firstLine="708"/>
        <w:jc w:val="both"/>
      </w:pPr>
      <w:r>
        <w:t xml:space="preserve">Механизм формирования ЭМГ-порога связан с физиологией </w:t>
      </w:r>
      <w:proofErr w:type="spellStart"/>
      <w:r>
        <w:t>рекрутирования</w:t>
      </w:r>
      <w:proofErr w:type="spellEnd"/>
      <w:r>
        <w:t xml:space="preserve">. При нарастании интенсивности нагрузки, когда медленные окислительные волокна типа I начинают испытывать локальное утомление в условиях нарастающего ацидоза, в работу вовлекаются быстрые двигательные единицы типа II: быстро </w:t>
      </w:r>
      <w:proofErr w:type="spellStart"/>
      <w:r>
        <w:t>окислительно</w:t>
      </w:r>
      <w:proofErr w:type="spellEnd"/>
      <w:r>
        <w:t xml:space="preserve">-гликолитические (FOG) и быстро гликолитические (FG). Это приводит к двум связанным эффектам: амплитуда ЭМГ (RMS/IEMG) нелинейно возрастает за счёт увеличения числа и вклада активных мышечных волокон, а средняя (MNF) и медианная (MDF) частоты </w:t>
      </w:r>
      <w:r>
        <w:lastRenderedPageBreak/>
        <w:t xml:space="preserve">спектра смещаются вниз вследствие снижения скорости проведения потенциала действия по волокнам при накоплении </w:t>
      </w:r>
      <w:proofErr w:type="spellStart"/>
      <w:r>
        <w:t>лактата</w:t>
      </w:r>
      <w:proofErr w:type="spellEnd"/>
      <w:r>
        <w:t xml:space="preserve"> и падении внутримышечного </w:t>
      </w:r>
      <w:proofErr w:type="spellStart"/>
      <w:r>
        <w:t>pH</w:t>
      </w:r>
      <w:proofErr w:type="spellEnd"/>
      <w:r>
        <w:t xml:space="preserve"> [</w:t>
      </w:r>
      <w:proofErr w:type="spellStart"/>
      <w:r>
        <w:t>Nagata</w:t>
      </w:r>
      <w:proofErr w:type="spellEnd"/>
      <w:r>
        <w:t xml:space="preserve">, </w:t>
      </w:r>
      <w:proofErr w:type="spellStart"/>
      <w:r>
        <w:t>Moritani</w:t>
      </w:r>
      <w:proofErr w:type="spellEnd"/>
      <w:r>
        <w:t xml:space="preserve">, 1981]. — вследствие снижения скорости проведения потенциала действия по мышечным волокнам при накоплении </w:t>
      </w:r>
      <w:proofErr w:type="spellStart"/>
      <w:r>
        <w:t>лактата</w:t>
      </w:r>
      <w:proofErr w:type="spellEnd"/>
      <w:r>
        <w:t xml:space="preserve"> и падении внутримышечного </w:t>
      </w:r>
      <w:proofErr w:type="spellStart"/>
      <w:r>
        <w:t>pH</w:t>
      </w:r>
      <w:proofErr w:type="spellEnd"/>
      <w:r>
        <w:t xml:space="preserve"> [</w:t>
      </w:r>
      <w:proofErr w:type="spellStart"/>
      <w:r>
        <w:t>Nagata</w:t>
      </w:r>
      <w:proofErr w:type="spellEnd"/>
      <w:r>
        <w:t xml:space="preserve">, </w:t>
      </w:r>
      <w:proofErr w:type="spellStart"/>
      <w:r>
        <w:t>Moritani</w:t>
      </w:r>
      <w:proofErr w:type="spellEnd"/>
      <w:r>
        <w:t xml:space="preserve">, 1981]. Совместная регистрация NIRS и </w:t>
      </w:r>
      <w:proofErr w:type="spellStart"/>
      <w:r>
        <w:rPr>
          <w:i/>
        </w:rPr>
        <w:t>sEMG</w:t>
      </w:r>
      <w:proofErr w:type="spellEnd"/>
      <w:r>
        <w:t xml:space="preserve"> позволяет верифицировать этот механизм напрямую: </w:t>
      </w:r>
      <w:proofErr w:type="spellStart"/>
      <w:r>
        <w:t>Şayli</w:t>
      </w:r>
      <w:proofErr w:type="spellEnd"/>
      <w:r>
        <w:t xml:space="preserve"> и </w:t>
      </w:r>
      <w:proofErr w:type="spellStart"/>
      <w:r>
        <w:t>Akin</w:t>
      </w:r>
      <w:proofErr w:type="spellEnd"/>
      <w:r>
        <w:t xml:space="preserve"> [2014] при изометрических нагрузках 50% и 75% MVC обнаружили значимую отрицательную корреляцию между длительностью быстрой фазы снижения NIRS-сигнала и наклоном MNF ЭМГ, что подтверждает взаимосвязь между электрической активностью и локальной </w:t>
      </w:r>
      <w:proofErr w:type="spellStart"/>
      <w:r>
        <w:t>оксигенацией</w:t>
      </w:r>
      <w:proofErr w:type="spellEnd"/>
      <w:r>
        <w:t xml:space="preserve"> мышцы.</w:t>
      </w:r>
    </w:p>
    <w:p w14:paraId="4A3878C9" w14:textId="77777777" w:rsidR="00AD039F" w:rsidRDefault="00431EEE">
      <w:pPr>
        <w:ind w:firstLine="708"/>
        <w:jc w:val="both"/>
      </w:pPr>
      <w:r>
        <w:t xml:space="preserve">При велоэргометрии паттерны ЭМГ-активации существенно различаются для разных мышц. </w:t>
      </w:r>
      <w:proofErr w:type="spellStart"/>
      <w:r>
        <w:rPr>
          <w:i/>
        </w:rPr>
        <w:t>Vastus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lateralis</w:t>
      </w:r>
      <w:proofErr w:type="spellEnd"/>
      <w:r>
        <w:t xml:space="preserve"> (VL) является главным разгибателем коленного сустава и обеспечивает преобладающий вклад в фазу давления на педаль (</w:t>
      </w:r>
      <w:proofErr w:type="spellStart"/>
      <w:r>
        <w:t>push</w:t>
      </w:r>
      <w:proofErr w:type="spellEnd"/>
      <w:r>
        <w:t xml:space="preserve">-фаза, ~0°–180° цикла </w:t>
      </w:r>
      <w:proofErr w:type="spellStart"/>
      <w:r>
        <w:t>педалирования</w:t>
      </w:r>
      <w:proofErr w:type="spellEnd"/>
      <w:r>
        <w:t xml:space="preserve">). </w:t>
      </w:r>
      <w:proofErr w:type="spellStart"/>
      <w:r>
        <w:rPr>
          <w:i/>
        </w:rPr>
        <w:t>Rectus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femoris</w:t>
      </w:r>
      <w:proofErr w:type="spellEnd"/>
      <w:r>
        <w:t xml:space="preserve"> (RF), пересекающая тазобедренный и коленный суставы </w:t>
      </w:r>
      <w:proofErr w:type="spellStart"/>
      <w:r>
        <w:t>биартикулярная</w:t>
      </w:r>
      <w:proofErr w:type="spellEnd"/>
      <w:r>
        <w:t xml:space="preserve"> мышца, активируется преимущественно в начале </w:t>
      </w:r>
      <w:proofErr w:type="spellStart"/>
      <w:r>
        <w:t>push</w:t>
      </w:r>
      <w:proofErr w:type="spellEnd"/>
      <w:r>
        <w:t xml:space="preserve">-фазы и несёт существенно меньшую долю нагрузки при стандартных интенсивностях. Метод </w:t>
      </w:r>
      <w:proofErr w:type="spellStart"/>
      <w:r>
        <w:t>ATHHb</w:t>
      </w:r>
      <w:proofErr w:type="spellEnd"/>
      <w:r>
        <w:t xml:space="preserve">-ЭМГ, разработанный и </w:t>
      </w:r>
      <w:proofErr w:type="spellStart"/>
      <w:r>
        <w:t>валидированный</w:t>
      </w:r>
      <w:proofErr w:type="spellEnd"/>
      <w:r>
        <w:t xml:space="preserve"> Поповым с соавторами [</w:t>
      </w:r>
      <w:proofErr w:type="spellStart"/>
      <w:r>
        <w:t>Popov</w:t>
      </w:r>
      <w:proofErr w:type="spellEnd"/>
      <w:r>
        <w:t xml:space="preserve">, </w:t>
      </w:r>
      <w:proofErr w:type="spellStart"/>
      <w:r>
        <w:t>Vinogradova</w:t>
      </w:r>
      <w:proofErr w:type="spellEnd"/>
      <w:r>
        <w:t>, 2019; Попов, Кузнецов, 2019], основан на совместном анализе нормированного сигнала ЭМГ (</w:t>
      </w:r>
      <w:proofErr w:type="spellStart"/>
      <w:r>
        <w:t>nEMG</w:t>
      </w:r>
      <w:proofErr w:type="spellEnd"/>
      <w:r>
        <w:t xml:space="preserve">) и нормированного </w:t>
      </w:r>
      <w:proofErr w:type="spellStart"/>
      <w:r>
        <w:t>дезоксигемоглобина</w:t>
      </w:r>
      <w:proofErr w:type="spellEnd"/>
      <w:r>
        <w:t xml:space="preserve"> (</w:t>
      </w:r>
      <w:proofErr w:type="spellStart"/>
      <w:r>
        <w:t>nHHb</w:t>
      </w:r>
      <w:proofErr w:type="spellEnd"/>
      <w:r>
        <w:t xml:space="preserve">) по VL. В </w:t>
      </w:r>
      <w:proofErr w:type="spellStart"/>
      <w:r>
        <w:t>велоэргометрическом</w:t>
      </w:r>
      <w:proofErr w:type="spellEnd"/>
      <w:r>
        <w:t xml:space="preserve"> тесте с нарастающей нагрузкой (n=40) корреляция метода с </w:t>
      </w:r>
      <w:proofErr w:type="spellStart"/>
      <w:r>
        <w:t>лактатным</w:t>
      </w:r>
      <w:proofErr w:type="spellEnd"/>
      <w:r>
        <w:t xml:space="preserve"> порогом LT4 составила r=0,89 (</w:t>
      </w:r>
      <w:proofErr w:type="gramStart"/>
      <w:r>
        <w:t>p&lt;</w:t>
      </w:r>
      <w:proofErr w:type="gramEnd"/>
      <w:r>
        <w:t>0,001), а коэффициент вариации при тест-</w:t>
      </w:r>
      <w:proofErr w:type="spellStart"/>
      <w:r>
        <w:t>ретесте</w:t>
      </w:r>
      <w:proofErr w:type="spellEnd"/>
      <w:r>
        <w:t xml:space="preserve"> — около 3%, что значительно превышает </w:t>
      </w:r>
      <w:proofErr w:type="spellStart"/>
      <w:r>
        <w:t>воспроизводимость</w:t>
      </w:r>
      <w:proofErr w:type="spellEnd"/>
      <w:r>
        <w:t xml:space="preserve"> традиционных ЭМГ-пороговых методов [</w:t>
      </w:r>
      <w:proofErr w:type="spellStart"/>
      <w:r>
        <w:t>Popov</w:t>
      </w:r>
      <w:proofErr w:type="spellEnd"/>
      <w:r>
        <w:t xml:space="preserve">, </w:t>
      </w:r>
      <w:proofErr w:type="spellStart"/>
      <w:r>
        <w:t>Vinogradova</w:t>
      </w:r>
      <w:proofErr w:type="spellEnd"/>
      <w:r>
        <w:t>, 2019]. Алгоритм использует V-</w:t>
      </w:r>
      <w:proofErr w:type="spellStart"/>
      <w:r>
        <w:t>slope</w:t>
      </w:r>
      <w:proofErr w:type="spellEnd"/>
      <w:r>
        <w:t xml:space="preserve"> метод (минимальная сумма квадратов остатков при двух кусочно-линейных регрессиях) и аппроксимацию </w:t>
      </w:r>
      <w:proofErr w:type="spellStart"/>
      <w:r>
        <w:t>nEMG</w:t>
      </w:r>
      <w:proofErr w:type="spellEnd"/>
      <w:r>
        <w:t xml:space="preserve"> полиномом 5-й степени для определения мощности на пороге.</w:t>
      </w:r>
    </w:p>
    <w:p w14:paraId="737EA1F0" w14:textId="77777777" w:rsidR="00AD039F" w:rsidRDefault="00431EEE">
      <w:pPr>
        <w:ind w:firstLine="708"/>
        <w:jc w:val="both"/>
      </w:pPr>
      <w:r>
        <w:lastRenderedPageBreak/>
        <w:t xml:space="preserve">Важным методологическим подтверждением запаздывающего характера ЭМГ-порога относительно мышечной </w:t>
      </w:r>
      <w:proofErr w:type="spellStart"/>
      <w:r>
        <w:t>оксигенации</w:t>
      </w:r>
      <w:proofErr w:type="spellEnd"/>
      <w:r>
        <w:t xml:space="preserve"> служит исследование </w:t>
      </w:r>
      <w:proofErr w:type="spellStart"/>
      <w:r>
        <w:t>Racinais</w:t>
      </w:r>
      <w:proofErr w:type="spellEnd"/>
      <w:r>
        <w:t xml:space="preserve"> с соавторами [</w:t>
      </w:r>
      <w:proofErr w:type="spellStart"/>
      <w:r>
        <w:t>Racinais</w:t>
      </w:r>
      <w:proofErr w:type="spellEnd"/>
      <w:r>
        <w:t xml:space="preserve"> и др., 2014], в котором на 25 велосипедистах одновременно регистрировались NIRS на VL, ЭМГ на VL, RF и BF, а также газоаналитические показатели в инкрементальном тесте. Авторы установили, что ЭМГ-порог по VL наступает уже после VT2 (89±5% от пиковой нагрузки), а на RF — при 82±14% (оба значимо позже VT2, </w:t>
      </w:r>
      <w:proofErr w:type="gramStart"/>
      <w:r>
        <w:t>p&lt;</w:t>
      </w:r>
      <w:proofErr w:type="gramEnd"/>
      <w:r>
        <w:t xml:space="preserve">0,05, d&gt;0,6), тогда как мышечный NIRS </w:t>
      </w:r>
      <w:proofErr w:type="spellStart"/>
      <w:r>
        <w:t>breakpoint</w:t>
      </w:r>
      <w:proofErr w:type="spellEnd"/>
      <w:r>
        <w:t xml:space="preserve"> совпадает с VT2 (около 78–80% нагрузки). Полученный временной градиент означает, что NIRS реагирует на метаболические события второго порога раньше, чем ЭМГ способна отразить </w:t>
      </w:r>
      <w:proofErr w:type="spellStart"/>
      <w:r>
        <w:t>рекрутирование</w:t>
      </w:r>
      <w:proofErr w:type="spellEnd"/>
      <w:r>
        <w:t xml:space="preserve"> </w:t>
      </w:r>
      <w:proofErr w:type="spellStart"/>
      <w:r>
        <w:t>высокопороговых</w:t>
      </w:r>
      <w:proofErr w:type="spellEnd"/>
      <w:r>
        <w:t xml:space="preserve"> ДЕ. Этот вывод имеет прямое значение для архитектуры </w:t>
      </w:r>
      <w:proofErr w:type="spellStart"/>
      <w:r>
        <w:t>мультимодального</w:t>
      </w:r>
      <w:proofErr w:type="spellEnd"/>
      <w:r>
        <w:t xml:space="preserve"> предиктора: ЭМГ как сигнал по природе запаздывает, тогда как NIRS — опережающий маркер, и комбинация этих модальностей восполняет ограничения каждой по отдельности.</w:t>
      </w:r>
    </w:p>
    <w:p w14:paraId="5C177C1B" w14:textId="77777777" w:rsidR="00AD039F" w:rsidRDefault="00431EEE">
      <w:pPr>
        <w:ind w:firstLine="708"/>
        <w:jc w:val="both"/>
      </w:pPr>
      <w:r>
        <w:t xml:space="preserve">Разделение ЭМГ-активности по фазам </w:t>
      </w:r>
      <w:proofErr w:type="spellStart"/>
      <w:r>
        <w:t>педалирования</w:t>
      </w:r>
      <w:proofErr w:type="spellEnd"/>
      <w:r>
        <w:t xml:space="preserve"> открывает дополнительный аналитический потенциал. Гироскоп, интегрированный в датчик </w:t>
      </w:r>
      <w:proofErr w:type="spellStart"/>
      <w:r>
        <w:t>Delsys</w:t>
      </w:r>
      <w:proofErr w:type="spellEnd"/>
      <w:r>
        <w:t xml:space="preserve"> </w:t>
      </w:r>
      <w:proofErr w:type="spellStart"/>
      <w:r>
        <w:t>Trigno</w:t>
      </w:r>
      <w:proofErr w:type="spellEnd"/>
      <w:r>
        <w:t xml:space="preserve"> (угловая скорость оси педали), позволяет в реальном времени идентифицировать </w:t>
      </w:r>
      <w:proofErr w:type="spellStart"/>
      <w:r>
        <w:t>push</w:t>
      </w:r>
      <w:proofErr w:type="spellEnd"/>
      <w:r>
        <w:t xml:space="preserve">- и </w:t>
      </w:r>
      <w:proofErr w:type="spellStart"/>
      <w:r>
        <w:t>pull</w:t>
      </w:r>
      <w:proofErr w:type="spellEnd"/>
      <w:r>
        <w:t xml:space="preserve">-фазы цикла. При нарастании интенсивности изменяется относительный вклад фаз в суммарную ЭМГ-активность: растёт доля </w:t>
      </w:r>
      <w:proofErr w:type="spellStart"/>
      <w:r>
        <w:t>push</w:t>
      </w:r>
      <w:proofErr w:type="spellEnd"/>
      <w:r>
        <w:t>-фазы, что отражает увеличение вербовки ДЕ в наиболее нагруженный период цикла. Этот признак, практически не исследованный в литературе как маркер порога, представляет собой потенциальный информационный канал для повышения точности ML-модели. Для модели это важно потому, что одинаковая суммарная ЭМГ-активность может соответствовать разному распределению усилия по фазам цикла, а значит фазовый признак добавляет информацию, которой нет в обычных усреднённых амплитудных метриках. Существующие же работы по ЭМГ и порогу сосредоточены преимущественно на амплитудных и спектральных характеристиках без учёта фазовой структуры педального цикла.</w:t>
      </w:r>
    </w:p>
    <w:p w14:paraId="0C0104D5" w14:textId="77777777" w:rsidR="00AD039F" w:rsidRDefault="00431EEE">
      <w:pPr>
        <w:ind w:firstLine="708"/>
        <w:jc w:val="both"/>
      </w:pPr>
      <w:r>
        <w:lastRenderedPageBreak/>
        <w:t xml:space="preserve">Среди методологических ограничений метода </w:t>
      </w:r>
      <w:proofErr w:type="spellStart"/>
      <w:r>
        <w:t>sEMG</w:t>
      </w:r>
      <w:proofErr w:type="spellEnd"/>
      <w:r>
        <w:t xml:space="preserve"> при велоэргометрии следует выделить несколько принципиальных. Во-первых, межэлектродные расстояния и положение электрода относительно двигательных точек и зон иннервации существенно влияют на амплитуду и форму сигнала, что затрудняет межсессионное сравнение без точного воспроизведения наложения. Во-вторых, нормализация IEMG/RMS — обязательное условие для корректного сравнения между испытуемыми: без нормировки абсолютные значения несопоставимы из-за различий в толщине подкожного жира, морфологии мышцы и импедансе кожи. В методе Попова [</w:t>
      </w:r>
      <w:proofErr w:type="spellStart"/>
      <w:r>
        <w:t>Popov</w:t>
      </w:r>
      <w:proofErr w:type="spellEnd"/>
      <w:r>
        <w:t xml:space="preserve">, </w:t>
      </w:r>
      <w:proofErr w:type="spellStart"/>
      <w:r>
        <w:t>Vinogradova</w:t>
      </w:r>
      <w:proofErr w:type="spellEnd"/>
      <w:r>
        <w:t>, 2019] нормировка выполняется на диапазон [</w:t>
      </w:r>
      <w:proofErr w:type="spellStart"/>
      <w:r>
        <w:t>EMGmax</w:t>
      </w:r>
      <w:proofErr w:type="spellEnd"/>
      <w:r>
        <w:t xml:space="preserve"> − </w:t>
      </w:r>
      <w:proofErr w:type="spellStart"/>
      <w:r>
        <w:t>EMGmin</w:t>
      </w:r>
      <w:proofErr w:type="spellEnd"/>
      <w:r>
        <w:t xml:space="preserve">] по всему тесту, что исключает необходимость максимального произвольного сокращения. В-третьих, у пациентов с нейромышечными расстройствами ЭМГ-пороги значимо смещены и имеют более низкую </w:t>
      </w:r>
      <w:proofErr w:type="spellStart"/>
      <w:r>
        <w:t>воспроизводимость</w:t>
      </w:r>
      <w:proofErr w:type="spellEnd"/>
      <w:r>
        <w:t xml:space="preserve"> [</w:t>
      </w:r>
      <w:proofErr w:type="spellStart"/>
      <w:r>
        <w:t>Voet</w:t>
      </w:r>
      <w:proofErr w:type="spellEnd"/>
      <w:r>
        <w:t xml:space="preserve">, </w:t>
      </w:r>
      <w:proofErr w:type="spellStart"/>
      <w:r>
        <w:t>Janssen</w:t>
      </w:r>
      <w:proofErr w:type="spellEnd"/>
      <w:r>
        <w:t xml:space="preserve">, 2022], однако для популяции тренированных </w:t>
      </w:r>
      <w:proofErr w:type="spellStart"/>
      <w:r>
        <w:t>триатлонистов</w:t>
      </w:r>
      <w:proofErr w:type="spellEnd"/>
      <w:r>
        <w:t xml:space="preserve"> данное ограничение </w:t>
      </w:r>
      <w:proofErr w:type="spellStart"/>
      <w:r>
        <w:t>нерелевантно</w:t>
      </w:r>
      <w:proofErr w:type="spellEnd"/>
      <w:r>
        <w:t>.</w:t>
      </w:r>
    </w:p>
    <w:p w14:paraId="1E231DDF" w14:textId="77777777" w:rsidR="00AD039F" w:rsidRDefault="00431EEE">
      <w:pPr>
        <w:ind w:firstLine="708"/>
        <w:jc w:val="both"/>
      </w:pPr>
      <w:r>
        <w:rPr>
          <w:i/>
          <w:iCs/>
        </w:rPr>
        <w:t xml:space="preserve">Несмотря на демонстрацию принципиальной работоспособности ЭМГ как маркера </w:t>
      </w:r>
      <w:proofErr w:type="spellStart"/>
      <w:r>
        <w:rPr>
          <w:i/>
          <w:iCs/>
        </w:rPr>
        <w:t>лактатного</w:t>
      </w:r>
      <w:proofErr w:type="spellEnd"/>
      <w:r>
        <w:rPr>
          <w:i/>
          <w:iCs/>
        </w:rPr>
        <w:t xml:space="preserve"> порога, существующие подходы не обеспечивают онлайн-</w:t>
      </w:r>
      <w:proofErr w:type="spellStart"/>
      <w:r>
        <w:rPr>
          <w:i/>
          <w:iCs/>
        </w:rPr>
        <w:t>детекцию</w:t>
      </w:r>
      <w:proofErr w:type="spellEnd"/>
      <w:r>
        <w:rPr>
          <w:i/>
          <w:iCs/>
        </w:rPr>
        <w:t xml:space="preserve"> в скользящем окне с учётом фазовой структуры педального цикла, а комбинированный анализ ЭМГ VL и RF с синхронной NIRS на той же мышце — как основа </w:t>
      </w:r>
      <w:proofErr w:type="spellStart"/>
      <w:r>
        <w:rPr>
          <w:i/>
          <w:iCs/>
        </w:rPr>
        <w:t>мультимодального</w:t>
      </w:r>
      <w:proofErr w:type="spellEnd"/>
      <w:r>
        <w:rPr>
          <w:i/>
          <w:iCs/>
        </w:rPr>
        <w:t xml:space="preserve"> предиктора — в литературе не реализован.</w:t>
      </w:r>
    </w:p>
    <w:p w14:paraId="443DBA38" w14:textId="77777777" w:rsidR="00AD039F" w:rsidRDefault="00431EEE">
      <w:pPr>
        <w:spacing w:before="200" w:after="120"/>
      </w:pPr>
      <w:r>
        <w:rPr>
          <w:b/>
          <w:bCs/>
          <w:i/>
          <w:iCs/>
        </w:rPr>
        <w:t xml:space="preserve">2.2.2 </w:t>
      </w:r>
      <w:proofErr w:type="spellStart"/>
      <w:r>
        <w:rPr>
          <w:b/>
          <w:bCs/>
          <w:i/>
          <w:iCs/>
        </w:rPr>
        <w:t>Вейвлетный</w:t>
      </w:r>
      <w:proofErr w:type="spellEnd"/>
      <w:r>
        <w:rPr>
          <w:b/>
          <w:bCs/>
          <w:i/>
          <w:iCs/>
        </w:rPr>
        <w:t xml:space="preserve"> анализ ЭМГ</w:t>
      </w:r>
    </w:p>
    <w:p w14:paraId="0F1DD7C1" w14:textId="77777777" w:rsidR="00AD039F" w:rsidRDefault="00431EEE">
      <w:pPr>
        <w:ind w:firstLine="708"/>
        <w:jc w:val="both"/>
      </w:pPr>
      <w:r>
        <w:t xml:space="preserve">Классические признаки ЭМГ — RMS, MNF, MDF — извлекаются на основе быстрого преобразования Фурье (FFT) либо его оконных модификаций (STFT) и предполагают локальную стационарность сигнала в пределах окна анализа, то есть считают, что на коротком временном отрезке статистические свойства сигнала существенно не меняются. Однако сама природа ЭМГ при динамических нагрузках на велоэргометре противоречит этому допущению: </w:t>
      </w:r>
      <w:proofErr w:type="spellStart"/>
      <w:r>
        <w:t>рекрутирование</w:t>
      </w:r>
      <w:proofErr w:type="spellEnd"/>
      <w:r>
        <w:t xml:space="preserve"> двигательных единиц меняется циклически в пределах </w:t>
      </w:r>
      <w:r>
        <w:lastRenderedPageBreak/>
        <w:t xml:space="preserve">педального оборота, а интенсивность нагрузки изменяется ступенчато, что делает ЭМГ принципиально нестационарным сигналом. </w:t>
      </w:r>
      <w:proofErr w:type="spellStart"/>
      <w:r>
        <w:t>Graham</w:t>
      </w:r>
      <w:proofErr w:type="spellEnd"/>
      <w:r>
        <w:t xml:space="preserve"> и соавторы [</w:t>
      </w:r>
      <w:proofErr w:type="spellStart"/>
      <w:r>
        <w:t>Graham</w:t>
      </w:r>
      <w:proofErr w:type="spellEnd"/>
      <w:r>
        <w:t xml:space="preserve"> и др., 2015] показали, что STFT ограничен фиксированным временным разрешением порядка 500 </w:t>
      </w:r>
      <w:proofErr w:type="spellStart"/>
      <w:r>
        <w:t>мс</w:t>
      </w:r>
      <w:proofErr w:type="spellEnd"/>
      <w:r>
        <w:t xml:space="preserve">, что недостаточно для разрешения быстрых частотных сдвигов при </w:t>
      </w:r>
      <w:proofErr w:type="spellStart"/>
      <w:r>
        <w:t>супрамаксимальных</w:t>
      </w:r>
      <w:proofErr w:type="spellEnd"/>
      <w:r>
        <w:t xml:space="preserve"> и переходных нагрузках; FFT же не сохраняет временную привязку частотного содержимого вовсе. Альтернативный класс методов — </w:t>
      </w:r>
      <w:proofErr w:type="spellStart"/>
      <w:r>
        <w:t>вейвлетный</w:t>
      </w:r>
      <w:proofErr w:type="spellEnd"/>
      <w:r>
        <w:t xml:space="preserve"> анализ — был разработан именно для обработки нестационарных сигналов и обеспечивает компромисс между временным и частотным разрешением, адаптивный к масштабу анализируемой особенности.</w:t>
      </w:r>
    </w:p>
    <w:p w14:paraId="06EABFB0" w14:textId="77777777" w:rsidR="00AD039F" w:rsidRDefault="00431EEE">
      <w:pPr>
        <w:ind w:firstLine="708"/>
        <w:jc w:val="both"/>
      </w:pPr>
      <w:r>
        <w:t xml:space="preserve">Дискретное </w:t>
      </w:r>
      <w:proofErr w:type="spellStart"/>
      <w:r>
        <w:t>вейвлетное</w:t>
      </w:r>
      <w:proofErr w:type="spellEnd"/>
      <w:r>
        <w:t xml:space="preserve"> преобразование (DWT) разлагает ЭМГ-сигнал на иерархию уровней декомпозиции, каждый из которых соответствует определённому поддиапазону частот. Для ЭМГ с частотой дискретизации 2000 Гц при использовании </w:t>
      </w:r>
      <w:proofErr w:type="spellStart"/>
      <w:r>
        <w:t>вейвлета</w:t>
      </w:r>
      <w:proofErr w:type="spellEnd"/>
      <w:r>
        <w:t xml:space="preserve"> </w:t>
      </w:r>
      <w:proofErr w:type="spellStart"/>
      <w:r>
        <w:t>Daubechies</w:t>
      </w:r>
      <w:proofErr w:type="spellEnd"/>
      <w:r>
        <w:t xml:space="preserve"> 6-го порядка (db6) уровни d1–d2 (~500–1000 Гц) преимущественно содержат высокочастотный шум, уровни d3–d5 (~50–250 Гц) — основную мышечную активность, а более низкие уровни — медленные тренды и артефакты движения. На каждом уровне могут вычисляться количественные признаки: энергия (сумма квадратов </w:t>
      </w:r>
      <w:proofErr w:type="spellStart"/>
      <w:r>
        <w:t>вейвлет</w:t>
      </w:r>
      <w:proofErr w:type="spellEnd"/>
      <w:r>
        <w:t xml:space="preserve">-коэффициентов), дисперсия и </w:t>
      </w:r>
      <w:proofErr w:type="spellStart"/>
      <w:r>
        <w:t>вейвлет</w:t>
      </w:r>
      <w:proofErr w:type="spellEnd"/>
      <w:r>
        <w:t>-энтропия; в ML-</w:t>
      </w:r>
      <w:proofErr w:type="spellStart"/>
      <w:r>
        <w:t>пайплайне</w:t>
      </w:r>
      <w:proofErr w:type="spellEnd"/>
      <w:r>
        <w:t xml:space="preserve"> такие величины образуют входной вектор признаков, по которому модель оценивает состояние утомления или вероятность приближения к пороговой зоне. </w:t>
      </w:r>
      <w:proofErr w:type="spellStart"/>
      <w:r>
        <w:t>Wang</w:t>
      </w:r>
      <w:proofErr w:type="spellEnd"/>
      <w:r>
        <w:t xml:space="preserve"> и соавторы [</w:t>
      </w:r>
      <w:proofErr w:type="spellStart"/>
      <w:r>
        <w:t>Wang</w:t>
      </w:r>
      <w:proofErr w:type="spellEnd"/>
      <w:r>
        <w:t xml:space="preserve"> и др., 2018] провели сопоставление ЭМГ-индексов на VL в 30-секундном </w:t>
      </w:r>
      <w:proofErr w:type="spellStart"/>
      <w:r>
        <w:t>all-out</w:t>
      </w:r>
      <w:proofErr w:type="spellEnd"/>
      <w:r>
        <w:t xml:space="preserve"> </w:t>
      </w:r>
      <w:proofErr w:type="spellStart"/>
      <w:r>
        <w:t>велоэргометрическом</w:t>
      </w:r>
      <w:proofErr w:type="spellEnd"/>
      <w:r>
        <w:t xml:space="preserve"> тесте (n=10) и показали, что MNF, рассчитанная по </w:t>
      </w:r>
      <w:proofErr w:type="spellStart"/>
      <w:r>
        <w:t>вейвлет</w:t>
      </w:r>
      <w:proofErr w:type="spellEnd"/>
      <w:r>
        <w:t xml:space="preserve">-пакетному разложению с db6, по </w:t>
      </w:r>
      <w:proofErr w:type="spellStart"/>
      <w:r>
        <w:t>grey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 — мере близости динамики признака к выбранной </w:t>
      </w:r>
      <w:proofErr w:type="spellStart"/>
      <w:r>
        <w:t>референсной</w:t>
      </w:r>
      <w:proofErr w:type="spellEnd"/>
      <w:r>
        <w:t xml:space="preserve"> кривой утомления — значимо превзошла классические индексы — RMS, MF и MPF на основе FFT, MDF, а также сложность Лемпеля-Зива — для оценки мышечного утомления при динамическом </w:t>
      </w:r>
      <w:proofErr w:type="spellStart"/>
      <w:r>
        <w:t>педалировании</w:t>
      </w:r>
      <w:proofErr w:type="spellEnd"/>
      <w:r>
        <w:t xml:space="preserve">. </w:t>
      </w:r>
      <w:proofErr w:type="spellStart"/>
      <w:r>
        <w:t>Jamaluddin</w:t>
      </w:r>
      <w:proofErr w:type="spellEnd"/>
      <w:r>
        <w:t xml:space="preserve"> и соавторы [</w:t>
      </w:r>
      <w:proofErr w:type="spellStart"/>
      <w:r>
        <w:t>Jamaluddin</w:t>
      </w:r>
      <w:proofErr w:type="spellEnd"/>
      <w:r>
        <w:t xml:space="preserve"> и др., 2023] ввели семейство </w:t>
      </w:r>
      <w:proofErr w:type="spellStart"/>
      <w:r>
        <w:t>Wavelet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(WI) признаков (WIRM1551, WIRE51 и др.), отражающих распределение энергии </w:t>
      </w:r>
      <w:r>
        <w:lastRenderedPageBreak/>
        <w:t xml:space="preserve">по шкалам и частотным диапазонам, и применили их к задаче </w:t>
      </w:r>
      <w:proofErr w:type="spellStart"/>
      <w:r>
        <w:t>неинвазивной</w:t>
      </w:r>
      <w:proofErr w:type="spellEnd"/>
      <w:r>
        <w:t xml:space="preserve"> идентификации затяжной мышечной усталости (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fatigue</w:t>
      </w:r>
      <w:proofErr w:type="spellEnd"/>
      <w:r>
        <w:t xml:space="preserve">) у 20 участников по 5-дневному протоколу. Классификатор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на наборе WI и классических признаков достиг точности 98% на </w:t>
      </w:r>
      <w:r>
        <w:rPr>
          <w:i/>
        </w:rPr>
        <w:t xml:space="preserve">m. </w:t>
      </w:r>
      <w:proofErr w:type="spellStart"/>
      <w:r>
        <w:rPr>
          <w:i/>
        </w:rPr>
        <w:t>rectus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femoris</w:t>
      </w:r>
      <w:proofErr w:type="spellEnd"/>
      <w:r>
        <w:t xml:space="preserve">, 97% на </w:t>
      </w:r>
      <w:r>
        <w:rPr>
          <w:i/>
        </w:rPr>
        <w:t xml:space="preserve">m. </w:t>
      </w:r>
      <w:proofErr w:type="spellStart"/>
      <w:r>
        <w:rPr>
          <w:i/>
        </w:rPr>
        <w:t>vastus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medialis</w:t>
      </w:r>
      <w:proofErr w:type="spellEnd"/>
      <w:r>
        <w:t xml:space="preserve"> и 94% на </w:t>
      </w:r>
      <w:r>
        <w:rPr>
          <w:i/>
        </w:rPr>
        <w:t xml:space="preserve">m. </w:t>
      </w:r>
      <w:proofErr w:type="spellStart"/>
      <w:r>
        <w:rPr>
          <w:i/>
        </w:rPr>
        <w:t>biceps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femoris</w:t>
      </w:r>
      <w:proofErr w:type="spellEnd"/>
      <w:r>
        <w:t xml:space="preserve">. Принципиально важным для настоящей работы является то, что на </w:t>
      </w:r>
      <w:r>
        <w:rPr>
          <w:i/>
        </w:rPr>
        <w:t xml:space="preserve">m. </w:t>
      </w:r>
      <w:proofErr w:type="spellStart"/>
      <w:r>
        <w:rPr>
          <w:i/>
        </w:rPr>
        <w:t>vastus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lateralis</w:t>
      </w:r>
      <w:proofErr w:type="spellEnd"/>
      <w:r>
        <w:t xml:space="preserve"> точность того же классификатора составила лишь 9% — на порядки ниже, чем на других мышцах квадрицепса, и изменения классических индексов (</w:t>
      </w:r>
      <w:proofErr w:type="spellStart"/>
      <w:r>
        <w:t>ΔFmed</w:t>
      </w:r>
      <w:proofErr w:type="spellEnd"/>
      <w:r>
        <w:t xml:space="preserve">, ΔRMS, ΔMAV) между нормальным состоянием и состоянием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fatigue</w:t>
      </w:r>
      <w:proofErr w:type="spellEnd"/>
      <w:r>
        <w:t xml:space="preserve"> были статистически незначимыми именно на VL. Этот результат свидетельствует о специфической вариабельности ЭМГ VL при длительной утомляемости и требует осторожной интерпретации </w:t>
      </w:r>
      <w:proofErr w:type="spellStart"/>
      <w:r>
        <w:t>вейвлетных</w:t>
      </w:r>
      <w:proofErr w:type="spellEnd"/>
      <w:r>
        <w:t xml:space="preserve"> признаков на этой мышце в контексте задачи </w:t>
      </w:r>
      <w:proofErr w:type="spellStart"/>
      <w:r>
        <w:t>детекции</w:t>
      </w:r>
      <w:proofErr w:type="spellEnd"/>
      <w:r>
        <w:t xml:space="preserve"> </w:t>
      </w:r>
      <w:proofErr w:type="spellStart"/>
      <w:r>
        <w:t>лактатного</w:t>
      </w:r>
      <w:proofErr w:type="spellEnd"/>
      <w:r>
        <w:t xml:space="preserve"> порога.</w:t>
      </w:r>
    </w:p>
    <w:p w14:paraId="76C87BBB" w14:textId="77777777" w:rsidR="00AD039F" w:rsidRDefault="00431EEE">
      <w:pPr>
        <w:ind w:firstLine="708"/>
        <w:jc w:val="both"/>
      </w:pPr>
      <w:r>
        <w:t xml:space="preserve">Непрерывное </w:t>
      </w:r>
      <w:proofErr w:type="spellStart"/>
      <w:r>
        <w:t>вейвлетное</w:t>
      </w:r>
      <w:proofErr w:type="spellEnd"/>
      <w:r>
        <w:t xml:space="preserve"> преобразование (CWT) предоставляет более гибкий, хотя и вычислительно более затратный, инструмент для разведочного анализа ЭМГ. В отличие от DWT, где анализ выполняется только на заранее заданных уровнях масштаба, CWT обеспечивает почти непрерывное покрытие частотно-временной плоскости, формируя </w:t>
      </w:r>
      <w:proofErr w:type="spellStart"/>
      <w:r>
        <w:t>скалограмму</w:t>
      </w:r>
      <w:proofErr w:type="spellEnd"/>
      <w:r>
        <w:t xml:space="preserve"> — двумерную карту того, как энергия сигнала распределяется по времени и частоте, что удобно для визуализации структурных изменений сигнала. </w:t>
      </w:r>
      <w:proofErr w:type="spellStart"/>
      <w:r>
        <w:t>Graham</w:t>
      </w:r>
      <w:proofErr w:type="spellEnd"/>
      <w:r>
        <w:t xml:space="preserve"> и соавторы [</w:t>
      </w:r>
      <w:proofErr w:type="spellStart"/>
      <w:r>
        <w:t>Graham</w:t>
      </w:r>
      <w:proofErr w:type="spellEnd"/>
      <w:r>
        <w:t xml:space="preserve"> и др., 2015] применили CWT к ЭМГ-данным </w:t>
      </w:r>
      <w:proofErr w:type="spellStart"/>
      <w:r>
        <w:t>велоэргометрических</w:t>
      </w:r>
      <w:proofErr w:type="spellEnd"/>
      <w:r>
        <w:t xml:space="preserve"> испытаний при трёх интенсивностях — 73%, 100% и 133% </w:t>
      </w:r>
      <w:proofErr w:type="spellStart"/>
      <w:r>
        <w:t>VO₂peak</w:t>
      </w:r>
      <w:proofErr w:type="spellEnd"/>
      <w:r>
        <w:t xml:space="preserve"> — и обнаружили, что при 133% </w:t>
      </w:r>
      <w:proofErr w:type="spellStart"/>
      <w:r>
        <w:t>VO₂peak</w:t>
      </w:r>
      <w:proofErr w:type="spellEnd"/>
      <w:r>
        <w:t xml:space="preserve"> уже с первого интервала наблюдалось достоверно большее падение центральной частоты и одновременный рост площади всплеска (</w:t>
      </w:r>
      <w:proofErr w:type="spellStart"/>
      <w:r>
        <w:t>intensity·duration</w:t>
      </w:r>
      <w:proofErr w:type="spellEnd"/>
      <w:r>
        <w:t xml:space="preserve">), тогда как RMS и MDF в эти моменты ещё не различали условия. CWT, тем самым, выявила режим </w:t>
      </w:r>
      <w:proofErr w:type="spellStart"/>
      <w:r>
        <w:t>супрамаксимальной</w:t>
      </w:r>
      <w:proofErr w:type="spellEnd"/>
      <w:r>
        <w:t xml:space="preserve"> нагрузки как качественно отличный от 100% </w:t>
      </w:r>
      <w:proofErr w:type="spellStart"/>
      <w:r>
        <w:t>VO₂peak</w:t>
      </w:r>
      <w:proofErr w:type="spellEnd"/>
      <w:r>
        <w:t xml:space="preserve"> там, где классические показатели регистрировали лишь количественное различие. Для практических ML-приложений DWT/</w:t>
      </w:r>
      <w:proofErr w:type="spellStart"/>
      <w:r>
        <w:t>вейвлет</w:t>
      </w:r>
      <w:proofErr w:type="spellEnd"/>
      <w:r>
        <w:t xml:space="preserve">-пакеты остаются предпочтительнее CWT в силу </w:t>
      </w:r>
      <w:r>
        <w:lastRenderedPageBreak/>
        <w:t>фиксированной вычислительной стоимости и компактного представления признаков, тогда как CWT — основной инструмент разведочного анализа.</w:t>
      </w:r>
    </w:p>
    <w:p w14:paraId="043FA900" w14:textId="77777777" w:rsidR="00AD039F" w:rsidRDefault="00431EEE">
      <w:pPr>
        <w:ind w:firstLine="708"/>
        <w:jc w:val="both"/>
      </w:pPr>
      <w:r>
        <w:t xml:space="preserve">Естественное расширение </w:t>
      </w:r>
      <w:proofErr w:type="spellStart"/>
      <w:r>
        <w:t>вейвлетного</w:t>
      </w:r>
      <w:proofErr w:type="spellEnd"/>
      <w:r>
        <w:t xml:space="preserve"> представления — комбинирование с нелинейными признаками сигнала, поскольку ЭМГ по своей природе несёт нелинейные характеристики, отражающие непредсказуемость паттернов разряда отдельных двигательных единиц. </w:t>
      </w:r>
      <w:proofErr w:type="spellStart"/>
      <w:r>
        <w:t>Wang</w:t>
      </w:r>
      <w:proofErr w:type="spellEnd"/>
      <w:r>
        <w:t xml:space="preserve"> G. и соавторы [</w:t>
      </w:r>
      <w:proofErr w:type="spellStart"/>
      <w:r>
        <w:t>Wang</w:t>
      </w:r>
      <w:proofErr w:type="spellEnd"/>
      <w:r>
        <w:t xml:space="preserve"> G. и др., 2014] предложили использовать </w:t>
      </w:r>
      <w:proofErr w:type="spellStart"/>
      <w:r>
        <w:t>вейвлет</w:t>
      </w:r>
      <w:proofErr w:type="spellEnd"/>
      <w:r>
        <w:t xml:space="preserve">-разложение совместно с корреляционной размерностью (нелинейной мерой сложности динамической системы): на 3-м уровне декомпозиции при двух каналах ЭМГ предплечья достигнута 100% точность классификации </w:t>
      </w:r>
      <w:proofErr w:type="gramStart"/>
      <w:r>
        <w:t>четырёх двигательных</w:t>
      </w:r>
      <w:proofErr w:type="gramEnd"/>
      <w:r>
        <w:t xml:space="preserve"> паттернов, что превзошло методы без </w:t>
      </w:r>
      <w:proofErr w:type="spellStart"/>
      <w:r>
        <w:t>вейвлет</w:t>
      </w:r>
      <w:proofErr w:type="spellEnd"/>
      <w:r>
        <w:t>-предобработки и без нелинейных признаков. Принципиальное значение этого подхода для задачи онлайн-</w:t>
      </w:r>
      <w:proofErr w:type="spellStart"/>
      <w:r>
        <w:t>детекции</w:t>
      </w:r>
      <w:proofErr w:type="spellEnd"/>
      <w:r>
        <w:t xml:space="preserve"> порога заключается в том, что нелинейные характеристики, рассчитанные на отдельных уровнях декомпозиции, сохраняют временную привязку частотного содержимого, тогда как глобальные нелинейные индексы её утрачивают. Для ML-модели порога это означает потенциальную возможность построения признакового пространства, в котором каждый уровень DWT представлен своим набором линейных и нелинейных характеристик.</w:t>
      </w:r>
    </w:p>
    <w:p w14:paraId="1943266A" w14:textId="77777777" w:rsidR="00AD039F" w:rsidRDefault="00431EEE">
      <w:pPr>
        <w:ind w:firstLine="708"/>
        <w:jc w:val="both"/>
      </w:pPr>
      <w:r>
        <w:t xml:space="preserve">Помимо извлечения признаков, </w:t>
      </w:r>
      <w:proofErr w:type="spellStart"/>
      <w:r>
        <w:t>вейвлетное</w:t>
      </w:r>
      <w:proofErr w:type="spellEnd"/>
      <w:r>
        <w:t xml:space="preserve"> преобразование применимо как метод аугментации обучающих данных. </w:t>
      </w:r>
      <w:proofErr w:type="spellStart"/>
      <w:r>
        <w:t>Tsinganos</w:t>
      </w:r>
      <w:proofErr w:type="spellEnd"/>
      <w:r>
        <w:t xml:space="preserve"> и соавторы [</w:t>
      </w:r>
      <w:proofErr w:type="spellStart"/>
      <w:r>
        <w:t>Tsinganos</w:t>
      </w:r>
      <w:proofErr w:type="spellEnd"/>
      <w:r>
        <w:t xml:space="preserve"> и др., 2020] систематически сопоставили техники аугментации ЭМГ для задачи распознавания жестов и показали, что декомпозиция сигнала на </w:t>
      </w:r>
      <w:proofErr w:type="spellStart"/>
      <w:r>
        <w:t>вейвлет</w:t>
      </w:r>
      <w:proofErr w:type="spellEnd"/>
      <w:r>
        <w:t xml:space="preserve">-уровни с последующим добавлением шума на каждый уровень и реконструкцией обеспечивает прирост точности классификации до +16% на двух эталонных </w:t>
      </w:r>
      <w:proofErr w:type="spellStart"/>
      <w:r>
        <w:t>датасетах</w:t>
      </w:r>
      <w:proofErr w:type="spellEnd"/>
      <w:r>
        <w:t xml:space="preserve"> — существенно больше, чем простое аддитивное зашумление либо использование перекрывающихся окон. Принципиальным здесь является то, что синтетические сигналы, полученные через </w:t>
      </w:r>
      <w:proofErr w:type="spellStart"/>
      <w:r>
        <w:t>вейвлет</w:t>
      </w:r>
      <w:proofErr w:type="spellEnd"/>
      <w:r>
        <w:t xml:space="preserve">-аугментацию, сохраняют физиологическую структуру оригинала: распределение энергии по полосам, форма огибающей и спектральные </w:t>
      </w:r>
      <w:r>
        <w:lastRenderedPageBreak/>
        <w:t xml:space="preserve">характеристики каждого уровня изменяются согласованно. Это делает </w:t>
      </w:r>
      <w:proofErr w:type="spellStart"/>
      <w:r>
        <w:t>вейвлеты</w:t>
      </w:r>
      <w:proofErr w:type="spellEnd"/>
      <w:r>
        <w:t xml:space="preserve"> универсальным инструментом, применимым как для извлечения признаков в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, так и для генерации обучающих данных при ограниченных выборках, что напрямую </w:t>
      </w:r>
      <w:proofErr w:type="spellStart"/>
      <w:r>
        <w:t>релевантно</w:t>
      </w:r>
      <w:proofErr w:type="spellEnd"/>
      <w:r>
        <w:t xml:space="preserve"> настоящей работе и подробно обсуждается в разделе 2.6.3.</w:t>
      </w:r>
    </w:p>
    <w:p w14:paraId="402579F0" w14:textId="77777777" w:rsidR="00AD039F" w:rsidRDefault="00431EEE">
      <w:pPr>
        <w:ind w:firstLine="708"/>
        <w:jc w:val="both"/>
      </w:pPr>
      <w:r>
        <w:rPr>
          <w:i/>
          <w:iCs/>
        </w:rPr>
        <w:t xml:space="preserve">Несмотря на демонстрированную информативность </w:t>
      </w:r>
      <w:proofErr w:type="spellStart"/>
      <w:r>
        <w:rPr>
          <w:i/>
          <w:iCs/>
        </w:rPr>
        <w:t>вейвлетных</w:t>
      </w:r>
      <w:proofErr w:type="spellEnd"/>
      <w:r>
        <w:rPr>
          <w:i/>
          <w:iCs/>
        </w:rPr>
        <w:t xml:space="preserve"> признаков ЭМГ при задачах классификации мышечной усталости, распознавания движений и идентификации затяжной утомляемости, их применение для онлайн-</w:t>
      </w:r>
      <w:proofErr w:type="spellStart"/>
      <w:r>
        <w:rPr>
          <w:i/>
          <w:iCs/>
        </w:rPr>
        <w:t>детекции</w:t>
      </w:r>
      <w:proofErr w:type="spellEnd"/>
      <w:r>
        <w:rPr>
          <w:i/>
          <w:iCs/>
        </w:rPr>
        <w:t xml:space="preserve"> аэробно-анаэробного порога при ступенчатом </w:t>
      </w:r>
      <w:proofErr w:type="spellStart"/>
      <w:r>
        <w:rPr>
          <w:i/>
          <w:iCs/>
        </w:rPr>
        <w:t>велоэргометрическом</w:t>
      </w:r>
      <w:proofErr w:type="spellEnd"/>
      <w:r>
        <w:rPr>
          <w:i/>
          <w:iCs/>
        </w:rPr>
        <w:t xml:space="preserve"> тесте — особенно на VL и RF в сочетании с NIRS и HRV — в рецензируемой литературе систематически не исследовалось. Этот разрыв имеет VL-специфический аспект: именно на этой мышце </w:t>
      </w:r>
      <w:proofErr w:type="spellStart"/>
      <w:r>
        <w:rPr>
          <w:i/>
          <w:iCs/>
        </w:rPr>
        <w:t>вейвлетные</w:t>
      </w:r>
      <w:proofErr w:type="spellEnd"/>
      <w:r>
        <w:rPr>
          <w:i/>
          <w:iCs/>
        </w:rPr>
        <w:t xml:space="preserve"> признаки демонстрировали наименьшую точность при идентификации длительной утомляемости [</w:t>
      </w:r>
      <w:proofErr w:type="spellStart"/>
      <w:r>
        <w:rPr>
          <w:i/>
          <w:iCs/>
        </w:rPr>
        <w:t>Jamaluddin</w:t>
      </w:r>
      <w:proofErr w:type="spellEnd"/>
      <w:r>
        <w:rPr>
          <w:i/>
          <w:iCs/>
        </w:rPr>
        <w:t xml:space="preserve"> и др., 2023], что требует дополнительной </w:t>
      </w:r>
      <w:proofErr w:type="spellStart"/>
      <w:r>
        <w:rPr>
          <w:i/>
          <w:iCs/>
        </w:rPr>
        <w:t>валидации</w:t>
      </w:r>
      <w:proofErr w:type="spellEnd"/>
      <w:r>
        <w:rPr>
          <w:i/>
          <w:iCs/>
        </w:rPr>
        <w:t xml:space="preserve"> в физиологическом контексте задачи настоящей диссертации.</w:t>
      </w:r>
    </w:p>
    <w:p w14:paraId="78C3C653" w14:textId="77777777" w:rsidR="00AD039F" w:rsidRDefault="00431EEE">
      <w:pPr>
        <w:spacing w:before="240" w:after="120"/>
      </w:pPr>
      <w:r>
        <w:rPr>
          <w:b/>
          <w:bCs/>
        </w:rPr>
        <w:t xml:space="preserve">2.3 Ближняя инфракрасная спектроскопия и локальная мышечная </w:t>
      </w:r>
      <w:proofErr w:type="spellStart"/>
      <w:r>
        <w:rPr>
          <w:b/>
          <w:bCs/>
        </w:rPr>
        <w:t>оксигенация</w:t>
      </w:r>
      <w:proofErr w:type="spellEnd"/>
    </w:p>
    <w:p w14:paraId="099C4BB3" w14:textId="77777777" w:rsidR="00AD039F" w:rsidRDefault="00431EEE">
      <w:pPr>
        <w:ind w:firstLine="708"/>
        <w:jc w:val="both"/>
      </w:pPr>
      <w:r>
        <w:t>Ближняя инфракрасная спектроскопия (NIRS) основана на различии спектров поглощения оксигемоглобина (</w:t>
      </w:r>
      <w:proofErr w:type="spellStart"/>
      <w:r>
        <w:t>O₂Hb</w:t>
      </w:r>
      <w:proofErr w:type="spellEnd"/>
      <w:r>
        <w:t xml:space="preserve">) и </w:t>
      </w:r>
      <w:proofErr w:type="spellStart"/>
      <w:r>
        <w:t>дезоксигемоглобина</w:t>
      </w:r>
      <w:proofErr w:type="spellEnd"/>
      <w:r>
        <w:t xml:space="preserve"> (</w:t>
      </w:r>
      <w:proofErr w:type="spellStart"/>
      <w:r>
        <w:t>HHb</w:t>
      </w:r>
      <w:proofErr w:type="spellEnd"/>
      <w:r>
        <w:t xml:space="preserve">) в ближнем инфракрасном диапазоне (700–900 </w:t>
      </w:r>
      <w:proofErr w:type="spellStart"/>
      <w:r>
        <w:t>нм</w:t>
      </w:r>
      <w:proofErr w:type="spellEnd"/>
      <w:r>
        <w:t xml:space="preserve">). При непрерывном облучении ткани и регистрации отражённого сигнала NIRS позволяет оценивать текущий баланс между доставкой и утилизацией кислорода непосредственно в работающей мышце — без </w:t>
      </w:r>
      <w:proofErr w:type="spellStart"/>
      <w:r>
        <w:t>временны́х</w:t>
      </w:r>
      <w:proofErr w:type="spellEnd"/>
      <w:r>
        <w:t xml:space="preserve"> задержек, присущих системным маркерам (</w:t>
      </w:r>
      <w:proofErr w:type="spellStart"/>
      <w:r>
        <w:t>лактат</w:t>
      </w:r>
      <w:proofErr w:type="spellEnd"/>
      <w:r>
        <w:t xml:space="preserve"> крови, вентиляционные показатели). Показатель тканевой сатурации кислорода (</w:t>
      </w:r>
      <w:proofErr w:type="spellStart"/>
      <w:r>
        <w:t>SmO</w:t>
      </w:r>
      <w:proofErr w:type="spellEnd"/>
      <w:r>
        <w:t xml:space="preserve">₂, %) отражает соотношение </w:t>
      </w:r>
      <w:proofErr w:type="spellStart"/>
      <w:r>
        <w:t>O₂Hb</w:t>
      </w:r>
      <w:proofErr w:type="spellEnd"/>
      <w:r>
        <w:t xml:space="preserve"> к суммарному гемоглобину (</w:t>
      </w:r>
      <w:proofErr w:type="spellStart"/>
      <w:r>
        <w:t>THb</w:t>
      </w:r>
      <w:proofErr w:type="spellEnd"/>
      <w:r>
        <w:t xml:space="preserve">) в зондируемом объёме ткани и является наиболее клинически интерпретируемым выходным параметром портативных систем — </w:t>
      </w:r>
      <w:proofErr w:type="spellStart"/>
      <w:r>
        <w:t>Moxy</w:t>
      </w:r>
      <w:proofErr w:type="spellEnd"/>
      <w:r>
        <w:t xml:space="preserve"> </w:t>
      </w:r>
      <w:proofErr w:type="spellStart"/>
      <w:r>
        <w:t>Monitor</w:t>
      </w:r>
      <w:proofErr w:type="spellEnd"/>
      <w:r>
        <w:t xml:space="preserve"> и </w:t>
      </w:r>
      <w:proofErr w:type="spellStart"/>
      <w:r>
        <w:t>Train.Red</w:t>
      </w:r>
      <w:proofErr w:type="spellEnd"/>
      <w:r>
        <w:t>.</w:t>
      </w:r>
    </w:p>
    <w:p w14:paraId="4C10DB15" w14:textId="77777777" w:rsidR="00AD039F" w:rsidRDefault="00431EEE">
      <w:pPr>
        <w:ind w:firstLine="708"/>
        <w:jc w:val="both"/>
      </w:pPr>
      <w:r>
        <w:lastRenderedPageBreak/>
        <w:t xml:space="preserve">Ключевой вопрос применения NIRS для </w:t>
      </w:r>
      <w:proofErr w:type="spellStart"/>
      <w:r>
        <w:t>детекции</w:t>
      </w:r>
      <w:proofErr w:type="spellEnd"/>
      <w:r>
        <w:t xml:space="preserve"> порога — какой именно параметр наиболее точно отражает </w:t>
      </w:r>
      <w:proofErr w:type="spellStart"/>
      <w:r>
        <w:t>лактатный</w:t>
      </w:r>
      <w:proofErr w:type="spellEnd"/>
      <w:r>
        <w:t xml:space="preserve"> порог. </w:t>
      </w:r>
      <w:proofErr w:type="spellStart"/>
      <w:r>
        <w:t>Wang</w:t>
      </w:r>
      <w:proofErr w:type="spellEnd"/>
      <w:r>
        <w:t xml:space="preserve"> и соавторы [</w:t>
      </w:r>
      <w:proofErr w:type="spellStart"/>
      <w:r>
        <w:t>Wang</w:t>
      </w:r>
      <w:proofErr w:type="spellEnd"/>
      <w:r>
        <w:t xml:space="preserve">, </w:t>
      </w:r>
      <w:proofErr w:type="spellStart"/>
      <w:r>
        <w:t>Yoshikawa</w:t>
      </w:r>
      <w:proofErr w:type="spellEnd"/>
      <w:r>
        <w:t xml:space="preserve">, 2006] в инкрементальном </w:t>
      </w:r>
      <w:proofErr w:type="spellStart"/>
      <w:r>
        <w:t>велоэргометрическом</w:t>
      </w:r>
      <w:proofErr w:type="spellEnd"/>
      <w:r>
        <w:t xml:space="preserve"> тесте (n=15) провели сравнительный анализ трёх NIRS-переменных. Точка перегиба </w:t>
      </w:r>
      <w:proofErr w:type="spellStart"/>
      <w:r>
        <w:t>ΔHHb</w:t>
      </w:r>
      <w:proofErr w:type="spellEnd"/>
      <w:r>
        <w:t xml:space="preserve"> была определена у всех 15 испытуемых; её корреляция с вентиляционным порогом составила r=0,99 по нагрузке и r=0,97 по VO₂ (</w:t>
      </w:r>
      <w:proofErr w:type="gramStart"/>
      <w:r>
        <w:t>p&lt;</w:t>
      </w:r>
      <w:proofErr w:type="gramEnd"/>
      <w:r>
        <w:t xml:space="preserve">0,0001), а с </w:t>
      </w:r>
      <w:proofErr w:type="spellStart"/>
      <w:r>
        <w:t>лактатным</w:t>
      </w:r>
      <w:proofErr w:type="spellEnd"/>
      <w:r>
        <w:t xml:space="preserve"> порогом — r=0,76 по нагрузке и r=0,80 по VO₂ (p&lt;0,05). Точка перегиба </w:t>
      </w:r>
      <w:proofErr w:type="spellStart"/>
      <w:r>
        <w:t>ΔO₂Hb</w:t>
      </w:r>
      <w:proofErr w:type="spellEnd"/>
      <w:r>
        <w:t xml:space="preserve"> была определена лишь у 11 из 15 испытуемых и соответствовала значительно более высоким нагрузкам. TOI (тканевой индекс </w:t>
      </w:r>
      <w:proofErr w:type="spellStart"/>
      <w:r>
        <w:t>оксигенации</w:t>
      </w:r>
      <w:proofErr w:type="spellEnd"/>
      <w:r>
        <w:t>) коррелировал с вентиляционным порогом (VT) и нормированным индексом максимального суммарного гемоглобина (</w:t>
      </w:r>
      <w:proofErr w:type="spellStart"/>
      <w:r>
        <w:t>nTHImax</w:t>
      </w:r>
      <w:proofErr w:type="spellEnd"/>
      <w:r>
        <w:t xml:space="preserve">), но не был специфичным маркером </w:t>
      </w:r>
      <w:proofErr w:type="spellStart"/>
      <w:r>
        <w:t>лактатного</w:t>
      </w:r>
      <w:proofErr w:type="spellEnd"/>
      <w:r>
        <w:t xml:space="preserve"> порога (LT). Авторы заключили, что </w:t>
      </w:r>
      <w:proofErr w:type="spellStart"/>
      <w:r>
        <w:t>ΔHHb</w:t>
      </w:r>
      <w:proofErr w:type="spellEnd"/>
      <w:r>
        <w:t xml:space="preserve"> является оптимальным NIRS-параметром для определения LT при велоэргометрии, поскольку точно отражает динамику O₂-метаболизма независимо от перфузии.</w:t>
      </w:r>
    </w:p>
    <w:p w14:paraId="3DB1924A" w14:textId="3BF632DC" w:rsidR="00AD039F" w:rsidRDefault="00431EEE">
      <w:pPr>
        <w:ind w:firstLine="708"/>
        <w:jc w:val="both"/>
      </w:pPr>
      <w:r>
        <w:t>Соответствие NIRS-порога (</w:t>
      </w:r>
      <w:proofErr w:type="spellStart"/>
      <w:r>
        <w:t>breakpoint</w:t>
      </w:r>
      <w:proofErr w:type="spellEnd"/>
      <w:r>
        <w:t xml:space="preserve"> </w:t>
      </w:r>
      <w:proofErr w:type="spellStart"/>
      <w:r>
        <w:t>оксигенации</w:t>
      </w:r>
      <w:proofErr w:type="spellEnd"/>
      <w:r>
        <w:t xml:space="preserve">) вентиляционным и </w:t>
      </w:r>
      <w:proofErr w:type="spellStart"/>
      <w:r>
        <w:t>лактатным</w:t>
      </w:r>
      <w:proofErr w:type="spellEnd"/>
      <w:r>
        <w:t xml:space="preserve"> порогам подтверждено рядом независимых исследований. </w:t>
      </w:r>
      <w:proofErr w:type="spellStart"/>
      <w:r>
        <w:t>Lin</w:t>
      </w:r>
      <w:proofErr w:type="spellEnd"/>
      <w:r>
        <w:t xml:space="preserve"> и </w:t>
      </w:r>
      <w:proofErr w:type="spellStart"/>
      <w:r>
        <w:t>Huang</w:t>
      </w:r>
      <w:proofErr w:type="spellEnd"/>
      <w:r>
        <w:t xml:space="preserve"> [2020] в выборке из 100 испытуемых показали, что полиномиальная регрессия 3-й степени, применённая к кривым </w:t>
      </w:r>
      <w:proofErr w:type="spellStart"/>
      <w:r>
        <w:t>O₂Hb</w:t>
      </w:r>
      <w:proofErr w:type="spellEnd"/>
      <w:r>
        <w:t xml:space="preserve"> и </w:t>
      </w:r>
      <w:proofErr w:type="spellStart"/>
      <w:r>
        <w:t>HHb</w:t>
      </w:r>
      <w:proofErr w:type="spellEnd"/>
      <w:r>
        <w:t xml:space="preserve">, позволяет автоматически определять VT1 и VT2: пик функции </w:t>
      </w:r>
      <w:proofErr w:type="spellStart"/>
      <w:r>
        <w:t>O₂Hb</w:t>
      </w:r>
      <w:proofErr w:type="spellEnd"/>
      <w:r>
        <w:t xml:space="preserve"> соответствует VT1 (35,0 ± 1,0 против 35,8 ± 1,0 мл·кг⁻¹·мин⁻¹ по вентиляционному методу, p&gt;0,05), а пик функции </w:t>
      </w:r>
      <w:proofErr w:type="spellStart"/>
      <w:r>
        <w:t>HHb</w:t>
      </w:r>
      <w:proofErr w:type="spellEnd"/>
      <w:r>
        <w:t xml:space="preserve"> — VT2 (46,2 ± 1,1 против 47,4 ± 1,0 мл·кг⁻¹·мин⁻¹, p&gt;0,05). </w:t>
      </w:r>
      <w:proofErr w:type="spellStart"/>
      <w:r>
        <w:t>Воспроизводимость</w:t>
      </w:r>
      <w:proofErr w:type="spellEnd"/>
      <w:r>
        <w:t xml:space="preserve"> метода высокая: r=0,94 между сессиями, </w:t>
      </w:r>
      <w:proofErr w:type="spellStart"/>
      <w:r>
        <w:t>Bland</w:t>
      </w:r>
      <w:proofErr w:type="spellEnd"/>
      <w:r>
        <w:t>–</w:t>
      </w:r>
      <w:proofErr w:type="spellStart"/>
      <w:r>
        <w:t>Altman</w:t>
      </w:r>
      <w:proofErr w:type="spellEnd"/>
      <w:r>
        <w:t xml:space="preserve"> в пределах 95% CI. </w:t>
      </w:r>
      <w:proofErr w:type="spellStart"/>
      <w:r>
        <w:t>Coquart</w:t>
      </w:r>
      <w:proofErr w:type="spellEnd"/>
      <w:r>
        <w:t xml:space="preserve"> и </w:t>
      </w:r>
      <w:proofErr w:type="spellStart"/>
      <w:r>
        <w:t>Mucci</w:t>
      </w:r>
      <w:proofErr w:type="spellEnd"/>
      <w:r>
        <w:t xml:space="preserve"> [2017] показали, что первая точка перегиба </w:t>
      </w:r>
      <w:proofErr w:type="spellStart"/>
      <w:r>
        <w:t>O₂Hb</w:t>
      </w:r>
      <w:proofErr w:type="spellEnd"/>
      <w:r>
        <w:t xml:space="preserve"> в латеральной широкой мышце бедра (</w:t>
      </w:r>
      <w:r>
        <w:rPr>
          <w:i/>
        </w:rPr>
        <w:t xml:space="preserve">m. </w:t>
      </w:r>
      <w:proofErr w:type="spellStart"/>
      <w:r>
        <w:rPr>
          <w:i/>
        </w:rPr>
        <w:t>vastus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lateralis</w:t>
      </w:r>
      <w:proofErr w:type="spellEnd"/>
      <w:r>
        <w:t xml:space="preserve">; </w:t>
      </w:r>
      <w:proofErr w:type="spellStart"/>
      <w:r>
        <w:t>O₂Hb-T</w:t>
      </w:r>
      <w:proofErr w:type="spellEnd"/>
      <w:r>
        <w:t xml:space="preserve">) коррелирует с </w:t>
      </w:r>
      <w:proofErr w:type="spellStart"/>
      <w:r w:rsidR="00E31194" w:rsidRPr="00E31194">
        <w:t>газообменным</w:t>
      </w:r>
      <w:proofErr w:type="spellEnd"/>
      <w:r w:rsidR="00E31194" w:rsidRPr="00E31194">
        <w:t xml:space="preserve"> порогом (GET, </w:t>
      </w:r>
      <w:proofErr w:type="spellStart"/>
      <w:r w:rsidR="00E31194" w:rsidRPr="00E31194">
        <w:t>gas</w:t>
      </w:r>
      <w:proofErr w:type="spellEnd"/>
      <w:r w:rsidR="00E31194" w:rsidRPr="00E31194">
        <w:t xml:space="preserve"> </w:t>
      </w:r>
      <w:proofErr w:type="spellStart"/>
      <w:r w:rsidR="00E31194" w:rsidRPr="00E31194">
        <w:t>exchange</w:t>
      </w:r>
      <w:proofErr w:type="spellEnd"/>
      <w:r w:rsidR="00E31194" w:rsidRPr="00E31194">
        <w:t xml:space="preserve"> threshold)</w:t>
      </w:r>
      <w:r>
        <w:t xml:space="preserve"> (r=0,79, p&lt;0,001, n=14) и наступает раньше GET: NIRS отражает локальный метаболизм мышцы без вентиляционной задержки. При этом оба параметра предсказывают время до истощения при 90% </w:t>
      </w:r>
      <w:proofErr w:type="spellStart"/>
      <w:r>
        <w:t>Wpeak</w:t>
      </w:r>
      <w:proofErr w:type="spellEnd"/>
      <w:r>
        <w:t xml:space="preserve"> (r=0,81 и r=0,72, </w:t>
      </w:r>
      <w:proofErr w:type="gramStart"/>
      <w:r>
        <w:t>p&lt;</w:t>
      </w:r>
      <w:proofErr w:type="gramEnd"/>
      <w:r>
        <w:t>0,01 соответственно).</w:t>
      </w:r>
    </w:p>
    <w:p w14:paraId="6045FCAB" w14:textId="77777777" w:rsidR="00AD039F" w:rsidRDefault="00431EEE">
      <w:pPr>
        <w:ind w:firstLine="708"/>
        <w:jc w:val="both"/>
      </w:pPr>
      <w:r>
        <w:lastRenderedPageBreak/>
        <w:t xml:space="preserve">Двустороннее измерение </w:t>
      </w:r>
      <w:proofErr w:type="spellStart"/>
      <w:r>
        <w:t>SmO</w:t>
      </w:r>
      <w:proofErr w:type="spellEnd"/>
      <w:r>
        <w:t xml:space="preserve">₂ повышает точность </w:t>
      </w:r>
      <w:proofErr w:type="spellStart"/>
      <w:r>
        <w:t>детекции</w:t>
      </w:r>
      <w:proofErr w:type="spellEnd"/>
      <w:r>
        <w:t xml:space="preserve"> порогов. </w:t>
      </w:r>
      <w:proofErr w:type="spellStart"/>
      <w:r>
        <w:t>Reinpõld</w:t>
      </w:r>
      <w:proofErr w:type="spellEnd"/>
      <w:r>
        <w:t xml:space="preserve"> и </w:t>
      </w:r>
      <w:proofErr w:type="spellStart"/>
      <w:r>
        <w:t>Rannama</w:t>
      </w:r>
      <w:proofErr w:type="spellEnd"/>
      <w:r>
        <w:t xml:space="preserve"> [2024] в выборке велосипедистов установили, что усреднённый билатеральный сигнал </w:t>
      </w:r>
      <w:proofErr w:type="spellStart"/>
      <w:r>
        <w:t>SmO</w:t>
      </w:r>
      <w:proofErr w:type="spellEnd"/>
      <w:r>
        <w:t>₂ (</w:t>
      </w:r>
      <w:proofErr w:type="spellStart"/>
      <w:r>
        <w:t>Avr</w:t>
      </w:r>
      <w:proofErr w:type="spellEnd"/>
      <w:r>
        <w:t xml:space="preserve">) обеспечивает лучшее соответствие с VT: смещение Pkg@BP2 относительно Pkg@VT2 составило лишь 0,03 ± 0,22 Вт/кг (R²=0,86, p&gt;0,05). BP1 был систематически ниже VT1 (0,12 ± 0,29 Вт/кг, R²=0,72), причём у велосипедистов спринтерского типа наблюдалась тенденция к более раннему системному VT по сравнению с локальным NIRS-порогом. Авторы подчёркивают, что индивидуальная вариабельность между системными и локальными порогами остаётся высокой, что исключает их полную взаимозаменяемость на индивидуальном уровне без верификации </w:t>
      </w:r>
      <w:proofErr w:type="spellStart"/>
      <w:r>
        <w:t>лактатным</w:t>
      </w:r>
      <w:proofErr w:type="spellEnd"/>
      <w:r>
        <w:t xml:space="preserve"> тестом. Иными словами, даже если средние значения по группе хорошо совпадают, у конкретного спортсмена локальный мышечный порог по NIRS может заметно не совпасть с системным порогом, определённым по дыханию или </w:t>
      </w:r>
      <w:proofErr w:type="spellStart"/>
      <w:r>
        <w:t>лактату</w:t>
      </w:r>
      <w:proofErr w:type="spellEnd"/>
      <w:r>
        <w:t xml:space="preserve">. </w:t>
      </w:r>
      <w:proofErr w:type="spellStart"/>
      <w:r>
        <w:t>Валидация</w:t>
      </w:r>
      <w:proofErr w:type="spellEnd"/>
      <w:r>
        <w:t xml:space="preserve"> портативного NIRS-датчика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Zwaard</w:t>
      </w:r>
      <w:proofErr w:type="spellEnd"/>
      <w:r>
        <w:t xml:space="preserve"> и соавторов [2016] на велосипедистах показала умеренную корреляцию BP с VT1 (r=0,58–0,68), что авторы объясняют крупным шагом нагрузочных ступеней (30–50 Вт) — важное методологическое замечание для дизайна ступенчатых тестов.</w:t>
      </w:r>
    </w:p>
    <w:p w14:paraId="77FB1983" w14:textId="77777777" w:rsidR="00AD039F" w:rsidRDefault="00431EEE">
      <w:pPr>
        <w:ind w:firstLine="708"/>
        <w:jc w:val="both"/>
      </w:pPr>
      <w:r>
        <w:t xml:space="preserve">Среди преимуществ NIRS перед системными маркерами выделяют: непрерывность регистрации (против дискретных заборов крови), локальность сигнала (конкретная мышца, а не системный пул), и отсутствие </w:t>
      </w:r>
      <w:proofErr w:type="spellStart"/>
      <w:r>
        <w:t>временно́й</w:t>
      </w:r>
      <w:proofErr w:type="spellEnd"/>
      <w:r>
        <w:t xml:space="preserve"> задержки, связанной с транспортом </w:t>
      </w:r>
      <w:proofErr w:type="spellStart"/>
      <w:r>
        <w:t>лактата</w:t>
      </w:r>
      <w:proofErr w:type="spellEnd"/>
      <w:r>
        <w:t xml:space="preserve"> от мышцы к месту забора крови. В частности, </w:t>
      </w:r>
      <w:proofErr w:type="spellStart"/>
      <w:r>
        <w:t>Farzam</w:t>
      </w:r>
      <w:proofErr w:type="spellEnd"/>
      <w:r>
        <w:t xml:space="preserve"> и </w:t>
      </w:r>
      <w:proofErr w:type="spellStart"/>
      <w:r>
        <w:t>Starkweather</w:t>
      </w:r>
      <w:proofErr w:type="spellEnd"/>
      <w:r>
        <w:t xml:space="preserve"> [2018] продемонстрировали, что портативная CW-NIRS (</w:t>
      </w:r>
      <w:proofErr w:type="spellStart"/>
      <w:r>
        <w:t>Humon</w:t>
      </w:r>
      <w:proofErr w:type="spellEnd"/>
      <w:r>
        <w:t xml:space="preserve"> </w:t>
      </w:r>
      <w:proofErr w:type="spellStart"/>
      <w:r>
        <w:t>Beta</w:t>
      </w:r>
      <w:proofErr w:type="spellEnd"/>
      <w:r>
        <w:t xml:space="preserve">) коррелирует с лабораторной системой </w:t>
      </w:r>
      <w:proofErr w:type="spellStart"/>
      <w:r>
        <w:t>MetaOx</w:t>
      </w:r>
      <w:proofErr w:type="spellEnd"/>
      <w:r>
        <w:t xml:space="preserve"> по </w:t>
      </w:r>
      <w:proofErr w:type="spellStart"/>
      <w:r>
        <w:t>SmO</w:t>
      </w:r>
      <w:proofErr w:type="spellEnd"/>
      <w:r>
        <w:t xml:space="preserve">₂ (r=0,86, RMSE=3,4%), а </w:t>
      </w:r>
      <w:proofErr w:type="spellStart"/>
      <w:r>
        <w:t>Driller</w:t>
      </w:r>
      <w:proofErr w:type="spellEnd"/>
      <w:r>
        <w:t xml:space="preserve"> и </w:t>
      </w:r>
      <w:proofErr w:type="spellStart"/>
      <w:r>
        <w:t>Borges</w:t>
      </w:r>
      <w:proofErr w:type="spellEnd"/>
      <w:r>
        <w:t xml:space="preserve"> [2016] провели </w:t>
      </w:r>
      <w:proofErr w:type="spellStart"/>
      <w:r>
        <w:t>валидацию</w:t>
      </w:r>
      <w:proofErr w:type="spellEnd"/>
      <w:r>
        <w:t xml:space="preserve"> носимого датчика </w:t>
      </w:r>
      <w:proofErr w:type="spellStart"/>
      <w:r>
        <w:t>BSXinsight</w:t>
      </w:r>
      <w:proofErr w:type="spellEnd"/>
      <w:r>
        <w:t xml:space="preserve"> на </w:t>
      </w:r>
      <w:r>
        <w:rPr>
          <w:i/>
          <w:iCs/>
        </w:rPr>
        <w:t xml:space="preserve">m. </w:t>
      </w:r>
      <w:proofErr w:type="spellStart"/>
      <w:r>
        <w:rPr>
          <w:i/>
          <w:iCs/>
        </w:rPr>
        <w:t>gastrocnemius</w:t>
      </w:r>
      <w:proofErr w:type="spellEnd"/>
      <w:r>
        <w:t xml:space="preserve"> у велосипедистов: наилучшее соответствие было получено с методом </w:t>
      </w:r>
      <w:proofErr w:type="spellStart"/>
      <w:r>
        <w:t>Dmax</w:t>
      </w:r>
      <w:proofErr w:type="spellEnd"/>
      <w:r>
        <w:t xml:space="preserve"> (TEE=8,6 Вт, 4,4%; 95% </w:t>
      </w:r>
      <w:proofErr w:type="spellStart"/>
      <w:r>
        <w:t>LoA</w:t>
      </w:r>
      <w:proofErr w:type="spellEnd"/>
      <w:r>
        <w:t xml:space="preserve"> = ±17 Вт; r=0,96).</w:t>
      </w:r>
    </w:p>
    <w:p w14:paraId="770EBE48" w14:textId="77777777" w:rsidR="00AD039F" w:rsidRDefault="00431EEE">
      <w:pPr>
        <w:ind w:firstLine="708"/>
        <w:jc w:val="both"/>
      </w:pPr>
      <w:r>
        <w:t xml:space="preserve">Основным методологическим ограничением NIRS при измерении на работающих мышцах является влияние толщины подкожной жировой </w:t>
      </w:r>
      <w:r>
        <w:lastRenderedPageBreak/>
        <w:t xml:space="preserve">клетчатки (ATT, </w:t>
      </w:r>
      <w:proofErr w:type="spellStart"/>
      <w:r>
        <w:t>adipose</w:t>
      </w:r>
      <w:proofErr w:type="spellEnd"/>
      <w:r>
        <w:t xml:space="preserve"> </w:t>
      </w:r>
      <w:proofErr w:type="spellStart"/>
      <w:r>
        <w:t>tissue</w:t>
      </w:r>
      <w:proofErr w:type="spellEnd"/>
      <w:r>
        <w:t xml:space="preserve"> </w:t>
      </w:r>
      <w:proofErr w:type="spellStart"/>
      <w:r>
        <w:t>thickness</w:t>
      </w:r>
      <w:proofErr w:type="spellEnd"/>
      <w:r>
        <w:t xml:space="preserve">). </w:t>
      </w:r>
      <w:proofErr w:type="spellStart"/>
      <w:r>
        <w:t>van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Zwaard</w:t>
      </w:r>
      <w:proofErr w:type="spellEnd"/>
      <w:r>
        <w:t xml:space="preserve"> и соавторы [2016] показали, что ATT объясняет около 80% </w:t>
      </w:r>
      <w:proofErr w:type="spellStart"/>
      <w:r>
        <w:t>межиндивидуальной</w:t>
      </w:r>
      <w:proofErr w:type="spellEnd"/>
      <w:r>
        <w:t xml:space="preserve"> вариабельности </w:t>
      </w:r>
      <w:proofErr w:type="spellStart"/>
      <w:r>
        <w:t>SmO</w:t>
      </w:r>
      <w:proofErr w:type="spellEnd"/>
      <w:r>
        <w:t xml:space="preserve">₂: при большей толщине жирового слоя регистрируемое снижение </w:t>
      </w:r>
      <w:proofErr w:type="spellStart"/>
      <w:r>
        <w:t>SmO</w:t>
      </w:r>
      <w:proofErr w:type="spellEnd"/>
      <w:r>
        <w:t xml:space="preserve">₂ уменьшается, так как в зондируемый объём включается </w:t>
      </w:r>
      <w:proofErr w:type="spellStart"/>
      <w:r>
        <w:t>оксигенированная</w:t>
      </w:r>
      <w:proofErr w:type="spellEnd"/>
      <w:r>
        <w:t xml:space="preserve"> жировая ткань. </w:t>
      </w:r>
      <w:proofErr w:type="spellStart"/>
      <w:r>
        <w:t>Popov</w:t>
      </w:r>
      <w:proofErr w:type="spellEnd"/>
      <w:r>
        <w:t xml:space="preserve"> и </w:t>
      </w:r>
      <w:proofErr w:type="spellStart"/>
      <w:r>
        <w:t>Vinogradova</w:t>
      </w:r>
      <w:proofErr w:type="spellEnd"/>
      <w:r>
        <w:t xml:space="preserve"> [2019] указывают, что при толщине жирового слоя более 10 мм мышечный сигнал может быть существенно замаскирован. </w:t>
      </w:r>
      <w:proofErr w:type="spellStart"/>
      <w:r>
        <w:t>Farzam</w:t>
      </w:r>
      <w:proofErr w:type="spellEnd"/>
      <w:r>
        <w:t xml:space="preserve"> и соавторы [2018] подчёркивают, что простой порог </w:t>
      </w:r>
      <w:proofErr w:type="spellStart"/>
      <w:r>
        <w:t>SmO</w:t>
      </w:r>
      <w:proofErr w:type="spellEnd"/>
      <w:r>
        <w:t xml:space="preserve">₂ недостаточен для надёжного определения LT: необходимы алгоритмы, учитывающие динамику </w:t>
      </w:r>
      <w:proofErr w:type="spellStart"/>
      <w:r>
        <w:t>HbO</w:t>
      </w:r>
      <w:proofErr w:type="spellEnd"/>
      <w:r>
        <w:t xml:space="preserve">, </w:t>
      </w:r>
      <w:proofErr w:type="spellStart"/>
      <w:r>
        <w:t>HbR</w:t>
      </w:r>
      <w:proofErr w:type="spellEnd"/>
      <w:r>
        <w:t xml:space="preserve"> и </w:t>
      </w:r>
      <w:proofErr w:type="spellStart"/>
      <w:r>
        <w:t>HbT</w:t>
      </w:r>
      <w:proofErr w:type="spellEnd"/>
      <w:r>
        <w:t xml:space="preserve"> совместно. Дополнительным ограничением является низкая </w:t>
      </w:r>
      <w:proofErr w:type="spellStart"/>
      <w:r>
        <w:t>воспроизводимость</w:t>
      </w:r>
      <w:proofErr w:type="spellEnd"/>
      <w:r>
        <w:t xml:space="preserve"> алгоритмов </w:t>
      </w:r>
      <w:proofErr w:type="spellStart"/>
      <w:r>
        <w:t>детекции</w:t>
      </w:r>
      <w:proofErr w:type="spellEnd"/>
      <w:r>
        <w:t xml:space="preserve"> порога по кривой </w:t>
      </w:r>
      <w:proofErr w:type="spellStart"/>
      <w:r>
        <w:t>StO</w:t>
      </w:r>
      <w:proofErr w:type="spellEnd"/>
      <w:r>
        <w:t xml:space="preserve">₂: </w:t>
      </w:r>
      <w:proofErr w:type="spellStart"/>
      <w:r>
        <w:t>Cayot</w:t>
      </w:r>
      <w:proofErr w:type="spellEnd"/>
      <w:r>
        <w:t xml:space="preserve"> и </w:t>
      </w:r>
      <w:proofErr w:type="spellStart"/>
      <w:r>
        <w:t>Robinson</w:t>
      </w:r>
      <w:proofErr w:type="spellEnd"/>
      <w:r>
        <w:t xml:space="preserve"> [2021] показали, что методы </w:t>
      </w:r>
      <w:proofErr w:type="spellStart"/>
      <w:r>
        <w:t>Dmax</w:t>
      </w:r>
      <w:proofErr w:type="spellEnd"/>
      <w:r>
        <w:t xml:space="preserve"> и </w:t>
      </w:r>
      <w:proofErr w:type="spellStart"/>
      <w:r>
        <w:t>mDmax</w:t>
      </w:r>
      <w:proofErr w:type="spellEnd"/>
      <w:r>
        <w:t xml:space="preserve"> дают ICC=0,351 и ICC=0,385 соответственно — недопустимо низкие значения для клинического применения, хотя сами кривые </w:t>
      </w:r>
      <w:proofErr w:type="spellStart"/>
      <w:r>
        <w:t>StO</w:t>
      </w:r>
      <w:proofErr w:type="spellEnd"/>
      <w:r>
        <w:t>₂ воспроизводимы (ICC=0,841–0,873). Из этого следует, что проблема заключается не в стабильности сигнала NIRS, а в неадекватности существующих алгоритмов его обработки.</w:t>
      </w:r>
    </w:p>
    <w:p w14:paraId="0BA6CE90" w14:textId="77777777" w:rsidR="00AD039F" w:rsidRDefault="00431EEE">
      <w:pPr>
        <w:ind w:firstLine="708"/>
        <w:jc w:val="both"/>
      </w:pPr>
      <w:r>
        <w:rPr>
          <w:i/>
          <w:iCs/>
        </w:rPr>
        <w:t xml:space="preserve">Несмотря на доказанную </w:t>
      </w:r>
      <w:proofErr w:type="spellStart"/>
      <w:r>
        <w:rPr>
          <w:i/>
          <w:iCs/>
        </w:rPr>
        <w:t>валидность</w:t>
      </w:r>
      <w:proofErr w:type="spellEnd"/>
      <w:r>
        <w:rPr>
          <w:i/>
          <w:iCs/>
        </w:rPr>
        <w:t xml:space="preserve"> NIRS для </w:t>
      </w:r>
      <w:proofErr w:type="spellStart"/>
      <w:r>
        <w:rPr>
          <w:i/>
          <w:iCs/>
        </w:rPr>
        <w:t>детекции</w:t>
      </w:r>
      <w:proofErr w:type="spellEnd"/>
      <w:r>
        <w:rPr>
          <w:i/>
          <w:iCs/>
        </w:rPr>
        <w:t xml:space="preserve"> порогов, стандартные алгоритмы (</w:t>
      </w:r>
      <w:proofErr w:type="spellStart"/>
      <w:r>
        <w:rPr>
          <w:i/>
          <w:iCs/>
        </w:rPr>
        <w:t>Dmax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mDmax</w:t>
      </w:r>
      <w:proofErr w:type="spellEnd"/>
      <w:r>
        <w:rPr>
          <w:i/>
          <w:iCs/>
        </w:rPr>
        <w:t xml:space="preserve">) демонстрируют неприемлемую </w:t>
      </w:r>
      <w:proofErr w:type="spellStart"/>
      <w:r>
        <w:rPr>
          <w:i/>
          <w:iCs/>
        </w:rPr>
        <w:t>воспроизводимость</w:t>
      </w:r>
      <w:proofErr w:type="spellEnd"/>
      <w:r>
        <w:rPr>
          <w:i/>
          <w:iCs/>
        </w:rPr>
        <w:t xml:space="preserve"> при их применении к </w:t>
      </w:r>
      <w:proofErr w:type="spellStart"/>
      <w:r>
        <w:rPr>
          <w:i/>
          <w:iCs/>
        </w:rPr>
        <w:t>SmO</w:t>
      </w:r>
      <w:proofErr w:type="spellEnd"/>
      <w:r>
        <w:rPr>
          <w:i/>
          <w:iCs/>
        </w:rPr>
        <w:t xml:space="preserve">₂. Применение методов ML для автоматической и воспроизводимой </w:t>
      </w:r>
      <w:proofErr w:type="spellStart"/>
      <w:r>
        <w:rPr>
          <w:i/>
          <w:iCs/>
        </w:rPr>
        <w:t>детекции</w:t>
      </w:r>
      <w:proofErr w:type="spellEnd"/>
      <w:r>
        <w:rPr>
          <w:i/>
          <w:iCs/>
        </w:rPr>
        <w:t xml:space="preserve"> двух точек перегиба </w:t>
      </w:r>
      <w:proofErr w:type="spellStart"/>
      <w:r>
        <w:rPr>
          <w:i/>
          <w:iCs/>
        </w:rPr>
        <w:t>SmO</w:t>
      </w:r>
      <w:proofErr w:type="spellEnd"/>
      <w:r>
        <w:rPr>
          <w:i/>
          <w:iCs/>
        </w:rPr>
        <w:t>₂ в реальном времени, в том числе в сочетании с ЭМГ-сигналом той же мышцы, остаётся нерешённой задачей.</w:t>
      </w:r>
    </w:p>
    <w:p w14:paraId="194F2E46" w14:textId="77777777" w:rsidR="00AD039F" w:rsidRDefault="00431EEE">
      <w:pPr>
        <w:spacing w:before="240" w:after="120"/>
      </w:pPr>
      <w:r>
        <w:rPr>
          <w:b/>
          <w:bCs/>
        </w:rPr>
        <w:t>2.4 Вариабельность сердечного ритма и DFA-α1 как онлайн-маркер первого порога</w:t>
      </w:r>
    </w:p>
    <w:p w14:paraId="0DAF039B" w14:textId="77777777" w:rsidR="00AD039F" w:rsidRDefault="00431EEE">
      <w:pPr>
        <w:ind w:firstLine="708"/>
        <w:jc w:val="both"/>
      </w:pPr>
      <w:r>
        <w:t xml:space="preserve">Вариабельность сердечного ритма (ВСР, HRV) — показатель изменчивости последовательности RR-интервалов, отражающий состояние вегетативной нервной системы. При нарастании интенсивности физической нагрузки баланс сдвигается от парасимпатической к симпатической активности: RMSSD (квадратный корень из среднего квадрата </w:t>
      </w:r>
      <w:r>
        <w:lastRenderedPageBreak/>
        <w:t xml:space="preserve">последовательных разностей RR) нелинейно снижается, причём наиболее резкое падение совпадает с зоной VT1. Традиционные линейные метрики ВСР (SDNN, SD1) имеют ограниченный динамический диапазон при нагрузке выше умеренной, что снижает их информативность в диапазоне выше первого порога. Метод </w:t>
      </w:r>
      <w:proofErr w:type="spellStart"/>
      <w:r>
        <w:t>детрендированного</w:t>
      </w:r>
      <w:proofErr w:type="spellEnd"/>
      <w:r>
        <w:t xml:space="preserve"> </w:t>
      </w:r>
      <w:proofErr w:type="spellStart"/>
      <w:r>
        <w:t>флуктуационного</w:t>
      </w:r>
      <w:proofErr w:type="spellEnd"/>
      <w:r>
        <w:t xml:space="preserve"> анализа (DFA) позволяет оценить фрактальные свойства RR-ряда через показатель краткосрочного масштабирования DFA-α1, который обладает широким динамическим диапазоном на протяжении всего инкрементального теста [</w:t>
      </w:r>
      <w:proofErr w:type="spellStart"/>
      <w:r>
        <w:t>Rogers</w:t>
      </w:r>
      <w:proofErr w:type="spellEnd"/>
      <w:r>
        <w:t xml:space="preserve">, </w:t>
      </w:r>
      <w:proofErr w:type="spellStart"/>
      <w:r>
        <w:t>Gronwald</w:t>
      </w:r>
      <w:proofErr w:type="spellEnd"/>
      <w:r>
        <w:t>, 2022].</w:t>
      </w:r>
    </w:p>
    <w:p w14:paraId="0E2A126D" w14:textId="77777777" w:rsidR="00AD039F" w:rsidRDefault="00431EEE">
      <w:pPr>
        <w:ind w:firstLine="708"/>
        <w:jc w:val="both"/>
      </w:pPr>
      <w:r>
        <w:t xml:space="preserve">Теоретическое обоснование метода DFA-α1 строится следующим образом. В покое RR-ряд демонстрирует персистентные долгосрочные корреляции (DFA-α1 ≈ 1,0–1,2), характерные для фрактального поведения; по мере нарастания нагрузки корреляционная структура постепенно разрушается. </w:t>
      </w:r>
      <w:proofErr w:type="spellStart"/>
      <w:r>
        <w:t>Rogers</w:t>
      </w:r>
      <w:proofErr w:type="spellEnd"/>
      <w:r>
        <w:t xml:space="preserve"> и </w:t>
      </w:r>
      <w:proofErr w:type="spellStart"/>
      <w:r>
        <w:t>Gronwald</w:t>
      </w:r>
      <w:proofErr w:type="spellEnd"/>
      <w:r>
        <w:t xml:space="preserve"> [2022] обобщили накопленные к тому моменту данные: DFA-α1 = 0,75 ассоциирован с аэробным порогом (VT1) и получил обозначение «HRV-порог» (HRVT), а DFA-α1 = 0,50 соответствует анаэробному порогу (VT2/HRVT2). Практически это снижает зависимость признака от абсолютного масштаба измерений и упрощает его включение в ML-модель: DFA-α1 можно использовать как единый относительный показатель в разных протоколах и у спортсменов разного уровня, хотя индивидуальная вариабельность реакции сохраняется [</w:t>
      </w:r>
      <w:proofErr w:type="spellStart"/>
      <w:r>
        <w:t>Rogers</w:t>
      </w:r>
      <w:proofErr w:type="spellEnd"/>
      <w:r>
        <w:t xml:space="preserve">, </w:t>
      </w:r>
      <w:proofErr w:type="spellStart"/>
      <w:r>
        <w:t>Gronwald</w:t>
      </w:r>
      <w:proofErr w:type="spellEnd"/>
      <w:r>
        <w:t>, 2022]. Алгоритм расчёта реализован в скользящем окне (рекомендуемый диапазон 4–16 ударов) с обновлением каждые 5 секунд, что делает его применимым для мониторинга в реальном времени. Коррекция артефактов RR при уровне менее 3% не приводит к значимому смещению HRVT, что обеспечивает практическую устойчивость метода [</w:t>
      </w:r>
      <w:proofErr w:type="spellStart"/>
      <w:r>
        <w:t>Rogers</w:t>
      </w:r>
      <w:proofErr w:type="spellEnd"/>
      <w:r>
        <w:t xml:space="preserve">, </w:t>
      </w:r>
      <w:proofErr w:type="spellStart"/>
      <w:r>
        <w:t>Gronwald</w:t>
      </w:r>
      <w:proofErr w:type="spellEnd"/>
      <w:r>
        <w:t>, 2022].</w:t>
      </w:r>
    </w:p>
    <w:p w14:paraId="7F118D27" w14:textId="77777777" w:rsidR="00AD039F" w:rsidRDefault="00431EEE">
      <w:pPr>
        <w:ind w:firstLine="708"/>
        <w:jc w:val="both"/>
      </w:pPr>
      <w:proofErr w:type="spellStart"/>
      <w:r>
        <w:t>Валидность</w:t>
      </w:r>
      <w:proofErr w:type="spellEnd"/>
      <w:r>
        <w:t xml:space="preserve"> метода DFA-α1 подтверждена в нескольких независимых исследованиях. </w:t>
      </w:r>
      <w:proofErr w:type="spellStart"/>
      <w:r>
        <w:t>Schaffarczyk</w:t>
      </w:r>
      <w:proofErr w:type="spellEnd"/>
      <w:r>
        <w:t xml:space="preserve"> и </w:t>
      </w:r>
      <w:proofErr w:type="spellStart"/>
      <w:r>
        <w:t>Gronwald</w:t>
      </w:r>
      <w:proofErr w:type="spellEnd"/>
      <w:r>
        <w:t xml:space="preserve"> [2022] в выборке женщин-велосипедисток показали хорошее совпадение между HRVT1 (DFA-α1=0,75) и VT1: статистические показатели согласованности и корреляции были </w:t>
      </w:r>
      <w:r>
        <w:lastRenderedPageBreak/>
        <w:t xml:space="preserve">высокими как для VO₂ (ICC=0,77; r=0,81), так и для ЧСС (ICC=0,87; r=0,87; </w:t>
      </w:r>
      <w:proofErr w:type="gramStart"/>
      <w:r>
        <w:t>p&lt;</w:t>
      </w:r>
      <w:proofErr w:type="gramEnd"/>
      <w:r>
        <w:t xml:space="preserve">0,001). HRVT2 (DFA-α1=0,50) соответствовал VT2 с ICC=0,84, r=0,86 (VO₂) и ICC=0,90, r=0,90 (ЧСС). Смещение по </w:t>
      </w:r>
      <w:proofErr w:type="spellStart"/>
      <w:r>
        <w:t>Bland</w:t>
      </w:r>
      <w:proofErr w:type="spellEnd"/>
      <w:r>
        <w:t>–</w:t>
      </w:r>
      <w:proofErr w:type="spellStart"/>
      <w:r>
        <w:t>Altman</w:t>
      </w:r>
      <w:proofErr w:type="spellEnd"/>
      <w:r>
        <w:t xml:space="preserve"> для VT1 </w:t>
      </w:r>
      <w:proofErr w:type="spellStart"/>
      <w:r>
        <w:t>vs</w:t>
      </w:r>
      <w:proofErr w:type="spellEnd"/>
      <w:r>
        <w:t xml:space="preserve"> HRVT1 составило −1,3 мл·кг⁻¹·мин⁻¹ (</w:t>
      </w:r>
      <w:proofErr w:type="spellStart"/>
      <w:r>
        <w:t>LoA</w:t>
      </w:r>
      <w:proofErr w:type="spellEnd"/>
      <w:r>
        <w:t xml:space="preserve">: −6,0 до +3,3), что приемлемо для практического применения. Важно, что данная работа впервые провела систематическую </w:t>
      </w:r>
      <w:proofErr w:type="spellStart"/>
      <w:r>
        <w:t>валидацию</w:t>
      </w:r>
      <w:proofErr w:type="spellEnd"/>
      <w:r>
        <w:t xml:space="preserve"> на женской популяции, ранее недостаточно изученной в контексте DFA-α1. </w:t>
      </w:r>
      <w:proofErr w:type="spellStart"/>
      <w:r>
        <w:t>Schaffarczyk</w:t>
      </w:r>
      <w:proofErr w:type="spellEnd"/>
      <w:r>
        <w:t xml:space="preserve"> и соавторы [</w:t>
      </w:r>
      <w:proofErr w:type="spellStart"/>
      <w:r>
        <w:t>Schaffarczyk</w:t>
      </w:r>
      <w:proofErr w:type="spellEnd"/>
      <w:r>
        <w:t xml:space="preserve">, </w:t>
      </w:r>
      <w:proofErr w:type="spellStart"/>
      <w:r>
        <w:t>Rogers</w:t>
      </w:r>
      <w:proofErr w:type="spellEnd"/>
      <w:r>
        <w:t xml:space="preserve">, 2022] также исследовали чувствительность DFA-α1 к тренировочному статусу у </w:t>
      </w:r>
      <w:proofErr w:type="spellStart"/>
      <w:r>
        <w:t>триатлонистов</w:t>
      </w:r>
      <w:proofErr w:type="spellEnd"/>
      <w:r>
        <w:t xml:space="preserve"> (n=11): после тяжёлой беговой тренировки DFA-α1 во время стандартизованной разминки при 90% VT1 значимо снижался (p=0,001, d=−1,44), тогда как нейромышечные тесты (CMJ) не выявляли значимых изменений, что свидетельствует о том, что DFA-α1 отражает вегетативный аспект усталости.</w:t>
      </w:r>
    </w:p>
    <w:p w14:paraId="5F60FBCA" w14:textId="77777777" w:rsidR="00AD039F" w:rsidRDefault="00431EEE">
      <w:pPr>
        <w:ind w:firstLine="708"/>
        <w:jc w:val="both"/>
      </w:pPr>
      <w:r>
        <w:t xml:space="preserve">Отдельного внимания заслуживает влияние биологического пола на кинетику DFA-α1 при нагрузке. </w:t>
      </w:r>
      <w:proofErr w:type="spellStart"/>
      <w:r>
        <w:t>Schaffarczyk</w:t>
      </w:r>
      <w:proofErr w:type="spellEnd"/>
      <w:r>
        <w:t xml:space="preserve"> и </w:t>
      </w:r>
      <w:proofErr w:type="spellStart"/>
      <w:r>
        <w:t>Gronwald</w:t>
      </w:r>
      <w:proofErr w:type="spellEnd"/>
      <w:r>
        <w:t xml:space="preserve"> [2022] показали, что у </w:t>
      </w:r>
      <w:proofErr w:type="spellStart"/>
      <w:r>
        <w:t>пременопаузальных</w:t>
      </w:r>
      <w:proofErr w:type="spellEnd"/>
      <w:r>
        <w:t xml:space="preserve"> женщин DFA-α1 снижается позже в ходе рамп-протокола: эстроген усиливает парасимпатический контроль сердца, вследствие чего фрактальные корреляции RR-ряда разрушаются при более высокой интенсивности. Это приводит к систематическому смещению HRVT1 и расширению пределов согласия (</w:t>
      </w:r>
      <w:proofErr w:type="spellStart"/>
      <w:r>
        <w:t>LoA</w:t>
      </w:r>
      <w:proofErr w:type="spellEnd"/>
      <w:r>
        <w:t xml:space="preserve">) при сравнении с VT1 у женщин по сравнению с мужчинами. Важно, что HRVT2 у женщин демонстрирует хорошее соответствие с VT2 — авторы объясняют это тем, что второй порог отражает системную дестабилизацию, более резистентную к гормональным флуктуациям. Для настоящего исследования, включающего </w:t>
      </w:r>
      <w:proofErr w:type="spellStart"/>
      <w:r>
        <w:t>триатлонистов</w:t>
      </w:r>
      <w:proofErr w:type="spellEnd"/>
      <w:r>
        <w:t xml:space="preserve"> обоих полов, данный эффект является потенциальным источником систематической ошибки в DFA-α1-признаке и должен учитываться при анализе результатов модели [</w:t>
      </w:r>
      <w:proofErr w:type="spellStart"/>
      <w:r>
        <w:t>Schaffarczyk</w:t>
      </w:r>
      <w:proofErr w:type="spellEnd"/>
      <w:r>
        <w:t xml:space="preserve">, </w:t>
      </w:r>
      <w:proofErr w:type="spellStart"/>
      <w:r>
        <w:t>Gronwald</w:t>
      </w:r>
      <w:proofErr w:type="spellEnd"/>
      <w:r>
        <w:t>, 2022].</w:t>
      </w:r>
    </w:p>
    <w:p w14:paraId="26A86082" w14:textId="77777777" w:rsidR="00AD039F" w:rsidRDefault="00431EEE">
      <w:pPr>
        <w:ind w:firstLine="708"/>
        <w:jc w:val="both"/>
      </w:pPr>
      <w:r>
        <w:t xml:space="preserve">Принципиальные ограничения метода DFA-α1 связаны с требованиями к качеству RR-сигнала и стационарности нагрузки. Первое: метод требует достаточной длины окна для надёжного оценивания фрактального показателя </w:t>
      </w:r>
      <w:r>
        <w:lastRenderedPageBreak/>
        <w:t xml:space="preserve">— рекомендованный диапазон составляет 4–16 ударов (порядка 2 минут при ЧСС 120–160 уд/мин), что ограничивает </w:t>
      </w:r>
      <w:proofErr w:type="spellStart"/>
      <w:r>
        <w:t>временно́е</w:t>
      </w:r>
      <w:proofErr w:type="spellEnd"/>
      <w:r>
        <w:t xml:space="preserve"> разрешение при онлайн-применении. Второе: при наличии артефактов RR (&gt;3%) необходима коррекция, а при высоком уровне шума надёжность оценок снижается. Третье: метод показывает высокую </w:t>
      </w:r>
      <w:proofErr w:type="spellStart"/>
      <w:r>
        <w:t>межиндивидуальную</w:t>
      </w:r>
      <w:proofErr w:type="spellEnd"/>
      <w:r>
        <w:t xml:space="preserve"> вариабельность: один и тот же прирост нагрузки может вызывать существенно разную реакцию DFA-α1 у разных спортсменов, что требует индивидуальной калибровки [</w:t>
      </w:r>
      <w:proofErr w:type="spellStart"/>
      <w:r>
        <w:t>Schaffarczyk</w:t>
      </w:r>
      <w:proofErr w:type="spellEnd"/>
      <w:r>
        <w:t xml:space="preserve">, </w:t>
      </w:r>
      <w:proofErr w:type="spellStart"/>
      <w:r>
        <w:t>Rogers</w:t>
      </w:r>
      <w:proofErr w:type="spellEnd"/>
      <w:r>
        <w:t>, 2022].</w:t>
      </w:r>
    </w:p>
    <w:p w14:paraId="248B12D3" w14:textId="77777777" w:rsidR="00AD039F" w:rsidRDefault="00431EEE">
      <w:pPr>
        <w:ind w:firstLine="708"/>
        <w:jc w:val="both"/>
      </w:pPr>
      <w:r>
        <w:t xml:space="preserve">Накопленные количественные данные по соответствию HRV-порогов </w:t>
      </w:r>
      <w:proofErr w:type="spellStart"/>
      <w:r>
        <w:t>лактатным</w:t>
      </w:r>
      <w:proofErr w:type="spellEnd"/>
      <w:r>
        <w:t xml:space="preserve"> и вентиляционным были обобщены в недавнем систематическом обзоре с мета-анализом </w:t>
      </w:r>
      <w:proofErr w:type="spellStart"/>
      <w:r>
        <w:t>Tanner</w:t>
      </w:r>
      <w:proofErr w:type="spellEnd"/>
      <w:r>
        <w:t xml:space="preserve"> и соавторов [</w:t>
      </w:r>
      <w:proofErr w:type="spellStart"/>
      <w:r>
        <w:t>Tanner</w:t>
      </w:r>
      <w:proofErr w:type="spellEnd"/>
      <w:r>
        <w:t xml:space="preserve"> и др., 2024], охватывающем 50 исследований и 1160 субъектов. Согласно результатам мета-анализа, HRVT1 не отличался значимо от LT1/VT1 (стандартизованная средняя разность SMD=0,08 при незначимом значении), а коэффициент корреляции составил r=0,85 (95% CI 0,75–0,91). Для второго порога HRVT2 </w:t>
      </w:r>
      <w:proofErr w:type="spellStart"/>
      <w:r>
        <w:t>vs</w:t>
      </w:r>
      <w:proofErr w:type="spellEnd"/>
      <w:r>
        <w:t xml:space="preserve"> LT2/VT2 величины оказались соизмеримыми: SMD=−0,06 (незначимо), r=0,85 (95% CI 0,80–0,89). Принципиально важным выводом является то, что характеристики субъектов, тип эргометра, начальная мощность и шаг нагрузки не влияют на точность определения HRVT — метод устойчив к вариациям протокола; HRVT2 несколько лучше определяется при коротких ступенях нагрузки. Таким образом, мета-анализ показывает, что HRV-пороги в среднем хорошо воспроизводят </w:t>
      </w:r>
      <w:proofErr w:type="spellStart"/>
      <w:r>
        <w:t>лактатные</w:t>
      </w:r>
      <w:proofErr w:type="spellEnd"/>
      <w:r>
        <w:t xml:space="preserve"> и вентиляционные пороги в разных протоколах нагрузки; поэтому RR-интервалы обоснованно рассматриваются как самостоятельный </w:t>
      </w:r>
      <w:proofErr w:type="spellStart"/>
      <w:r>
        <w:t>неинвазивный</w:t>
      </w:r>
      <w:proofErr w:type="spellEnd"/>
      <w:r>
        <w:t xml:space="preserve"> входной канал </w:t>
      </w:r>
      <w:proofErr w:type="spellStart"/>
      <w:r>
        <w:t>мультимодальной</w:t>
      </w:r>
      <w:proofErr w:type="spellEnd"/>
      <w:r>
        <w:t xml:space="preserve"> системы предсказания порогов.</w:t>
      </w:r>
    </w:p>
    <w:p w14:paraId="065DF9F4" w14:textId="77777777" w:rsidR="00AD039F" w:rsidRDefault="00431EEE">
      <w:pPr>
        <w:ind w:firstLine="708"/>
        <w:jc w:val="both"/>
      </w:pPr>
      <w:r>
        <w:rPr>
          <w:i/>
          <w:iCs/>
        </w:rPr>
        <w:t xml:space="preserve">Метод DFA-α1 </w:t>
      </w:r>
      <w:proofErr w:type="spellStart"/>
      <w:r>
        <w:rPr>
          <w:i/>
          <w:iCs/>
        </w:rPr>
        <w:t>валидирован</w:t>
      </w:r>
      <w:proofErr w:type="spellEnd"/>
      <w:r>
        <w:rPr>
          <w:i/>
          <w:iCs/>
        </w:rPr>
        <w:t xml:space="preserve"> как </w:t>
      </w:r>
      <w:proofErr w:type="spellStart"/>
      <w:r>
        <w:rPr>
          <w:i/>
          <w:iCs/>
        </w:rPr>
        <w:t>неинвазивный</w:t>
      </w:r>
      <w:proofErr w:type="spellEnd"/>
      <w:r>
        <w:rPr>
          <w:i/>
          <w:iCs/>
        </w:rPr>
        <w:t xml:space="preserve"> маркер VT1, однако его применение ограничено первым порогом и требует качественного RR-ряда без существенных артефактов. </w:t>
      </w:r>
      <w:proofErr w:type="spellStart"/>
      <w:r>
        <w:rPr>
          <w:i/>
          <w:iCs/>
        </w:rPr>
        <w:t>Schaffarczyk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Gronwald</w:t>
      </w:r>
      <w:proofErr w:type="spellEnd"/>
      <w:r>
        <w:rPr>
          <w:i/>
          <w:iCs/>
        </w:rPr>
        <w:t xml:space="preserve"> [2022] указывают на перспективность онлайн-расчёта DFA-α1 через носимые устройства (смарт-часы, нагрудные ремни) как следующий шаг развития метода, однако </w:t>
      </w:r>
      <w:r>
        <w:rPr>
          <w:i/>
          <w:iCs/>
        </w:rPr>
        <w:lastRenderedPageBreak/>
        <w:t>интеграция этого показателя с ЭМГ и NIRS в единый предиктивный алгоритм одновременного определения LT1 и LT2 в литературе не реализована.</w:t>
      </w:r>
    </w:p>
    <w:p w14:paraId="5E4ABC30" w14:textId="77777777" w:rsidR="00AD039F" w:rsidRDefault="00431EEE">
      <w:pPr>
        <w:spacing w:before="240" w:after="120"/>
      </w:pPr>
      <w:r>
        <w:rPr>
          <w:b/>
          <w:bCs/>
        </w:rPr>
        <w:t xml:space="preserve">2.5 Кинетика </w:t>
      </w:r>
      <w:proofErr w:type="spellStart"/>
      <w:r>
        <w:rPr>
          <w:b/>
          <w:bCs/>
        </w:rPr>
        <w:t>лактата</w:t>
      </w:r>
      <w:proofErr w:type="spellEnd"/>
      <w:r>
        <w:rPr>
          <w:b/>
          <w:bCs/>
        </w:rPr>
        <w:t>: задержка системного сигнала относительно локального</w:t>
      </w:r>
    </w:p>
    <w:p w14:paraId="74226044" w14:textId="77777777" w:rsidR="00AD039F" w:rsidRDefault="00431EEE">
      <w:pPr>
        <w:ind w:firstLine="708"/>
        <w:jc w:val="both"/>
      </w:pPr>
      <w:r>
        <w:t xml:space="preserve">Для корректной интерпретации </w:t>
      </w:r>
      <w:proofErr w:type="spellStart"/>
      <w:r>
        <w:t>лактатного</w:t>
      </w:r>
      <w:proofErr w:type="spellEnd"/>
      <w:r>
        <w:t xml:space="preserve"> порога, определяемого по капиллярной крови, необходимо понимать механизмы и </w:t>
      </w:r>
      <w:proofErr w:type="spellStart"/>
      <w:r>
        <w:t>временны́е</w:t>
      </w:r>
      <w:proofErr w:type="spellEnd"/>
      <w:r>
        <w:t xml:space="preserve"> характеристики транспорта </w:t>
      </w:r>
      <w:proofErr w:type="spellStart"/>
      <w:r>
        <w:t>лактата</w:t>
      </w:r>
      <w:proofErr w:type="spellEnd"/>
      <w:r>
        <w:t xml:space="preserve"> из работающей мышцы в системный кровоток. </w:t>
      </w:r>
      <w:proofErr w:type="spellStart"/>
      <w:r>
        <w:t>Bangsbo</w:t>
      </w:r>
      <w:proofErr w:type="spellEnd"/>
      <w:r>
        <w:t xml:space="preserve"> и </w:t>
      </w:r>
      <w:proofErr w:type="spellStart"/>
      <w:r>
        <w:t>Johansen</w:t>
      </w:r>
      <w:proofErr w:type="spellEnd"/>
      <w:r>
        <w:t xml:space="preserve"> [1993] в классическом эксперименте с одноногим </w:t>
      </w:r>
      <w:proofErr w:type="spellStart"/>
      <w:r>
        <w:t>педалированием</w:t>
      </w:r>
      <w:proofErr w:type="spellEnd"/>
      <w:r>
        <w:t xml:space="preserve"> показали, что скорость выхода </w:t>
      </w:r>
      <w:proofErr w:type="spellStart"/>
      <w:r>
        <w:t>лактата</w:t>
      </w:r>
      <w:proofErr w:type="spellEnd"/>
      <w:r>
        <w:t xml:space="preserve"> из мышцы в кровь определяется разницей его концентраций между мышцей и кровью: чем эта разница больше, тем быстрее </w:t>
      </w:r>
      <w:proofErr w:type="spellStart"/>
      <w:r>
        <w:t>лактат</w:t>
      </w:r>
      <w:proofErr w:type="spellEnd"/>
      <w:r>
        <w:t xml:space="preserve"> покидает мышцу. В диапазоне внутримышечных концентраций от 0 до 45 ммоль·кг⁻¹ сырой массы эта зависимость была линейной, однако при высоких концентрациях транспортная система частично насыщается, и выход </w:t>
      </w:r>
      <w:proofErr w:type="spellStart"/>
      <w:r>
        <w:t>лактата</w:t>
      </w:r>
      <w:proofErr w:type="spellEnd"/>
      <w:r>
        <w:t xml:space="preserve"> начинает отставать от роста этого градиента. Доля медленных волокон (%ST) обратно пропорциональна градиенту </w:t>
      </w:r>
      <w:proofErr w:type="spellStart"/>
      <w:r>
        <w:t>лактата</w:t>
      </w:r>
      <w:proofErr w:type="spellEnd"/>
      <w:r>
        <w:t xml:space="preserve"> мышца–кровь: мышцы с большей долей медленных волокон удерживают меньший градиент при той же нагрузке. Внутримышечный </w:t>
      </w:r>
      <w:proofErr w:type="spellStart"/>
      <w:r>
        <w:t>pH</w:t>
      </w:r>
      <w:proofErr w:type="spellEnd"/>
      <w:r>
        <w:t xml:space="preserve"> при интенсивных нагрузках снижается до 6,73, а </w:t>
      </w:r>
      <w:proofErr w:type="spellStart"/>
      <w:r>
        <w:t>феморальный</w:t>
      </w:r>
      <w:proofErr w:type="spellEnd"/>
      <w:r>
        <w:t xml:space="preserve"> венозный </w:t>
      </w:r>
      <w:proofErr w:type="spellStart"/>
      <w:r>
        <w:t>pH</w:t>
      </w:r>
      <w:proofErr w:type="spellEnd"/>
      <w:r>
        <w:t xml:space="preserve"> — до 7,14–7,15, что само по себе влияет на транспортную кинетику [</w:t>
      </w:r>
      <w:proofErr w:type="spellStart"/>
      <w:r>
        <w:t>Bangsbo</w:t>
      </w:r>
      <w:proofErr w:type="spellEnd"/>
      <w:r>
        <w:t xml:space="preserve">, </w:t>
      </w:r>
      <w:proofErr w:type="spellStart"/>
      <w:r>
        <w:t>Johansen</w:t>
      </w:r>
      <w:proofErr w:type="spellEnd"/>
      <w:r>
        <w:t>, 1993].</w:t>
      </w:r>
    </w:p>
    <w:p w14:paraId="65D400F2" w14:textId="1CEE780F" w:rsidR="00AD039F" w:rsidRDefault="00431EEE">
      <w:pPr>
        <w:ind w:firstLine="708"/>
        <w:jc w:val="both"/>
      </w:pPr>
      <w:proofErr w:type="spellStart"/>
      <w:r>
        <w:t>MacLean</w:t>
      </w:r>
      <w:proofErr w:type="spellEnd"/>
      <w:r>
        <w:t xml:space="preserve"> и </w:t>
      </w:r>
      <w:proofErr w:type="spellStart"/>
      <w:r>
        <w:t>Bangsbo</w:t>
      </w:r>
      <w:proofErr w:type="spellEnd"/>
      <w:r>
        <w:t xml:space="preserve"> [1999] впервые применили метод </w:t>
      </w:r>
      <w:proofErr w:type="spellStart"/>
      <w:r>
        <w:t>микродиализа</w:t>
      </w:r>
      <w:proofErr w:type="spellEnd"/>
      <w:r>
        <w:t xml:space="preserve"> для мониторинга интерстициального </w:t>
      </w:r>
      <w:proofErr w:type="spellStart"/>
      <w:r>
        <w:t>лактата</w:t>
      </w:r>
      <w:proofErr w:type="spellEnd"/>
      <w:r>
        <w:t xml:space="preserve"> в </w:t>
      </w:r>
      <w:r>
        <w:rPr>
          <w:i/>
        </w:rPr>
        <w:t xml:space="preserve">m. </w:t>
      </w:r>
      <w:proofErr w:type="spellStart"/>
      <w:r>
        <w:rPr>
          <w:i/>
        </w:rPr>
        <w:t>vastus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lateralis</w:t>
      </w:r>
      <w:proofErr w:type="spellEnd"/>
      <w:r>
        <w:t xml:space="preserve"> в реальном времени при динамической нагрузке. Было установлено, что концентрация </w:t>
      </w:r>
      <w:proofErr w:type="spellStart"/>
      <w:r>
        <w:t>лактата</w:t>
      </w:r>
      <w:proofErr w:type="spellEnd"/>
      <w:r>
        <w:t xml:space="preserve"> в </w:t>
      </w:r>
      <w:proofErr w:type="spellStart"/>
      <w:r>
        <w:t>интерстиции</w:t>
      </w:r>
      <w:proofErr w:type="spellEnd"/>
      <w:r>
        <w:t xml:space="preserve"> VL в покое составляет 2,5 ± 0,2 </w:t>
      </w:r>
      <w:proofErr w:type="spellStart"/>
      <w:r>
        <w:t>мМ</w:t>
      </w:r>
      <w:proofErr w:type="spellEnd"/>
      <w:r>
        <w:t xml:space="preserve"> — значительно выше, чем в артериальной (0,9 ± 0,2 </w:t>
      </w:r>
      <w:proofErr w:type="spellStart"/>
      <w:r>
        <w:t>мМ</w:t>
      </w:r>
      <w:proofErr w:type="spellEnd"/>
      <w:r>
        <w:t xml:space="preserve">) и венозной (1,1 ± 0,2 </w:t>
      </w:r>
      <w:proofErr w:type="spellStart"/>
      <w:r>
        <w:t>мМ</w:t>
      </w:r>
      <w:proofErr w:type="spellEnd"/>
      <w:r>
        <w:t>) плазме. При нарастании нагрузки</w:t>
      </w:r>
      <w:r w:rsidR="00394B9A">
        <w:t xml:space="preserve"> </w:t>
      </w:r>
      <w:r w:rsidR="00394B9A" w:rsidRPr="00394B9A">
        <w:t xml:space="preserve">относительное извлечение вещества </w:t>
      </w:r>
      <w:proofErr w:type="spellStart"/>
      <w:r w:rsidR="00394B9A" w:rsidRPr="00394B9A">
        <w:t>микродиализным</w:t>
      </w:r>
      <w:proofErr w:type="spellEnd"/>
      <w:r w:rsidR="00394B9A" w:rsidRPr="00394B9A">
        <w:t xml:space="preserve"> зондом из окружающей ткани</w:t>
      </w:r>
      <w:r>
        <w:t xml:space="preserve"> </w:t>
      </w:r>
      <w:r w:rsidR="00394B9A">
        <w:t>(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recovery</w:t>
      </w:r>
      <w:proofErr w:type="spellEnd"/>
      <w:r w:rsidR="00394B9A">
        <w:t>)</w:t>
      </w:r>
      <w:r>
        <w:t xml:space="preserve"> для </w:t>
      </w:r>
      <w:proofErr w:type="spellStart"/>
      <w:r>
        <w:t>лактата</w:t>
      </w:r>
      <w:proofErr w:type="spellEnd"/>
      <w:r>
        <w:t>,</w:t>
      </w:r>
      <w:r w:rsidR="00394B9A">
        <w:t xml:space="preserve"> </w:t>
      </w:r>
      <w:r>
        <w:t xml:space="preserve">возрастала с ~32% в покое до ~66% при максимальной нагрузке. Это </w:t>
      </w:r>
      <w:r>
        <w:lastRenderedPageBreak/>
        <w:t xml:space="preserve">указывало на более быстрый перенос </w:t>
      </w:r>
      <w:proofErr w:type="spellStart"/>
      <w:r>
        <w:t>лактата</w:t>
      </w:r>
      <w:proofErr w:type="spellEnd"/>
      <w:r>
        <w:t xml:space="preserve"> в интерстициальном пространстве сокращающейся мышцы. Изменения интерстициального </w:t>
      </w:r>
      <w:proofErr w:type="spellStart"/>
      <w:r>
        <w:t>лактата</w:t>
      </w:r>
      <w:proofErr w:type="spellEnd"/>
      <w:r>
        <w:t xml:space="preserve"> коррелировали с венозными, но не с артериальными концентрациями, что подтверждает: интерстициальный </w:t>
      </w:r>
      <w:proofErr w:type="spellStart"/>
      <w:r>
        <w:t>лактат</w:t>
      </w:r>
      <w:proofErr w:type="spellEnd"/>
      <w:r>
        <w:t xml:space="preserve"> отражает локальный метаболизм, а не системный пул [</w:t>
      </w:r>
      <w:proofErr w:type="spellStart"/>
      <w:r>
        <w:t>MacLean</w:t>
      </w:r>
      <w:proofErr w:type="spellEnd"/>
      <w:r>
        <w:t xml:space="preserve">, </w:t>
      </w:r>
      <w:proofErr w:type="spellStart"/>
      <w:r>
        <w:t>Bangsbo</w:t>
      </w:r>
      <w:proofErr w:type="spellEnd"/>
      <w:r>
        <w:t xml:space="preserve">, 1999]. Эти данные прямо указывают на существование концентрационной задержки: в начале ступени нагрузки капиллярный </w:t>
      </w:r>
      <w:proofErr w:type="spellStart"/>
      <w:r>
        <w:t>лактат</w:t>
      </w:r>
      <w:proofErr w:type="spellEnd"/>
      <w:r>
        <w:t xml:space="preserve"> (кончик пальца или мочка уха) отстаёт от реального внутримышечного значения.</w:t>
      </w:r>
    </w:p>
    <w:p w14:paraId="113521A7" w14:textId="77777777" w:rsidR="00AD039F" w:rsidRDefault="00431EEE">
      <w:pPr>
        <w:ind w:firstLine="708"/>
        <w:jc w:val="both"/>
      </w:pPr>
      <w:r>
        <w:t xml:space="preserve">Следствием описанной задержки является принципиальная зависимость определяемого </w:t>
      </w:r>
      <w:proofErr w:type="spellStart"/>
      <w:r>
        <w:t>лактатного</w:t>
      </w:r>
      <w:proofErr w:type="spellEnd"/>
      <w:r>
        <w:t xml:space="preserve"> порога от длительности ступеней тестового протокола. </w:t>
      </w:r>
      <w:proofErr w:type="spellStart"/>
      <w:r>
        <w:t>Ji</w:t>
      </w:r>
      <w:proofErr w:type="spellEnd"/>
      <w:r>
        <w:t xml:space="preserve"> и </w:t>
      </w:r>
      <w:proofErr w:type="spellStart"/>
      <w:r>
        <w:t>Sommer</w:t>
      </w:r>
      <w:proofErr w:type="spellEnd"/>
      <w:r>
        <w:t xml:space="preserve"> [2021] и </w:t>
      </w:r>
      <w:proofErr w:type="spellStart"/>
      <w:r>
        <w:t>Wackerhage</w:t>
      </w:r>
      <w:proofErr w:type="spellEnd"/>
      <w:r>
        <w:t xml:space="preserve"> с </w:t>
      </w:r>
      <w:proofErr w:type="spellStart"/>
      <w:r>
        <w:t>Gehlert</w:t>
      </w:r>
      <w:proofErr w:type="spellEnd"/>
      <w:r>
        <w:t xml:space="preserve"> [2022] указывают, что ступени короче 3–4 минут не позволяют достичь квазистационарного состояния </w:t>
      </w:r>
      <w:proofErr w:type="spellStart"/>
      <w:r>
        <w:t>лактата</w:t>
      </w:r>
      <w:proofErr w:type="spellEnd"/>
      <w:r>
        <w:t xml:space="preserve">: системный </w:t>
      </w:r>
      <w:proofErr w:type="spellStart"/>
      <w:r>
        <w:t>лактат</w:t>
      </w:r>
      <w:proofErr w:type="spellEnd"/>
      <w:r>
        <w:t xml:space="preserve"> в конце короткой ступени продолжает нарастать и не отражает равновесное состояние, характерное для данной мощности. Это методически смещает определяемый порог в сторону завышения. Иными словами, если ступень слишком короткая, кровь ещё не успевает показать полный ответ на данную мощность, и потому порог ошибочно фиксируется на более высокой нагрузке, чем та, при которой метаболический переход уже начался в мышце. Дополнительно, протокол тестирования существенно влияет и на само значение порога: разные комбинации </w:t>
      </w:r>
      <w:proofErr w:type="spellStart"/>
      <w:r>
        <w:t>VO₂max</w:t>
      </w:r>
      <w:proofErr w:type="spellEnd"/>
      <w:r>
        <w:t xml:space="preserve"> и </w:t>
      </w:r>
      <w:proofErr w:type="spellStart"/>
      <w:r>
        <w:rPr>
          <w:i/>
        </w:rPr>
        <w:t>VLa</w:t>
      </w:r>
      <w:r>
        <w:t>max</w:t>
      </w:r>
      <w:proofErr w:type="spellEnd"/>
      <w:r>
        <w:t xml:space="preserve"> могут давать идентичные </w:t>
      </w:r>
      <w:proofErr w:type="spellStart"/>
      <w:r>
        <w:t>лактатные</w:t>
      </w:r>
      <w:proofErr w:type="spellEnd"/>
      <w:r>
        <w:t xml:space="preserve"> кривые с равным </w:t>
      </w:r>
      <w:proofErr w:type="spellStart"/>
      <w:r>
        <w:t>LTAn</w:t>
      </w:r>
      <w:proofErr w:type="spellEnd"/>
      <w:r>
        <w:t xml:space="preserve">, что делает стандартизацию протокола обязательным условием для </w:t>
      </w:r>
      <w:proofErr w:type="spellStart"/>
      <w:r>
        <w:t>межиндивидуального</w:t>
      </w:r>
      <w:proofErr w:type="spellEnd"/>
      <w:r>
        <w:t xml:space="preserve"> сравнения [</w:t>
      </w:r>
      <w:proofErr w:type="spellStart"/>
      <w:r>
        <w:t>Ji</w:t>
      </w:r>
      <w:proofErr w:type="spellEnd"/>
      <w:r>
        <w:t xml:space="preserve">, </w:t>
      </w:r>
      <w:proofErr w:type="spellStart"/>
      <w:r>
        <w:t>Sommer</w:t>
      </w:r>
      <w:proofErr w:type="spellEnd"/>
      <w:r>
        <w:t>, 2021]. В протоколе настоящего исследования используются ступени по 3 мин, что представляет разумный компромисс между требованиями к стационарности и практической длительностью теста для тренированных спортсменов.</w:t>
      </w:r>
    </w:p>
    <w:p w14:paraId="3E58C010" w14:textId="77777777" w:rsidR="00AD039F" w:rsidRDefault="00431EEE">
      <w:pPr>
        <w:ind w:firstLine="708"/>
        <w:jc w:val="both"/>
      </w:pPr>
      <w:r>
        <w:t xml:space="preserve">Принципиально важную роль в понимании кинетики системного </w:t>
      </w:r>
      <w:proofErr w:type="spellStart"/>
      <w:r>
        <w:t>лактата</w:t>
      </w:r>
      <w:proofErr w:type="spellEnd"/>
      <w:r>
        <w:t xml:space="preserve"> играет объём вовлечённой мышечной массы. </w:t>
      </w:r>
      <w:proofErr w:type="spellStart"/>
      <w:r>
        <w:t>van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 и </w:t>
      </w:r>
      <w:proofErr w:type="spellStart"/>
      <w:r>
        <w:t>Jensen-Urstad</w:t>
      </w:r>
      <w:proofErr w:type="spellEnd"/>
      <w:r>
        <w:t xml:space="preserve"> [2003] в исследовании с одновременной работой рук и ног (имитация лыжного хода) показали, что при большой вовлечённой мышечной массе скорость появления </w:t>
      </w:r>
      <w:proofErr w:type="spellStart"/>
      <w:r>
        <w:lastRenderedPageBreak/>
        <w:t>лактата</w:t>
      </w:r>
      <w:proofErr w:type="spellEnd"/>
      <w:r>
        <w:t xml:space="preserve"> в кровотоке (</w:t>
      </w:r>
      <w:proofErr w:type="spellStart"/>
      <w:r>
        <w:t>Ra</w:t>
      </w:r>
      <w:proofErr w:type="spellEnd"/>
      <w:r>
        <w:t xml:space="preserve">) может достигать 184 ± 17 мкмоль·кг⁻¹·мин⁻¹, хотя артериальная концентрация остаётся низкой (&lt;2,5 </w:t>
      </w:r>
      <w:proofErr w:type="spellStart"/>
      <w:r>
        <w:t>ммоль</w:t>
      </w:r>
      <w:proofErr w:type="spellEnd"/>
      <w:r>
        <w:t xml:space="preserve">/л). Это объясняется тем, что часть работающих мышц одновременно активно поглощает </w:t>
      </w:r>
      <w:proofErr w:type="spellStart"/>
      <w:r>
        <w:t>лактат</w:t>
      </w:r>
      <w:proofErr w:type="spellEnd"/>
      <w:r>
        <w:t xml:space="preserve"> из крови и использует его как энергетический субстрат: около 95% поглощённого </w:t>
      </w:r>
      <w:proofErr w:type="spellStart"/>
      <w:r>
        <w:t>лактата</w:t>
      </w:r>
      <w:proofErr w:type="spellEnd"/>
      <w:r>
        <w:t xml:space="preserve"> окисляется непосредственно. Это означает, что при видах спорта с большой мышечной массой (лыжи, гребля) системный </w:t>
      </w:r>
      <w:proofErr w:type="spellStart"/>
      <w:r>
        <w:t>лактат</w:t>
      </w:r>
      <w:proofErr w:type="spellEnd"/>
      <w:r>
        <w:t xml:space="preserve"> принципиально ненадёжно отражает локальный метаболизм конкретной мышцы: часть мышц производит </w:t>
      </w:r>
      <w:proofErr w:type="spellStart"/>
      <w:r>
        <w:t>лактат</w:t>
      </w:r>
      <w:proofErr w:type="spellEnd"/>
      <w:r>
        <w:t>, тогда как другая часть его потребляет через межмышечный шаттл [</w:t>
      </w:r>
      <w:proofErr w:type="spellStart"/>
      <w:r>
        <w:t>Brooks</w:t>
      </w:r>
      <w:proofErr w:type="spellEnd"/>
      <w:r>
        <w:t xml:space="preserve">, 2023]. Велоэргометрия обладает в этом отношении методологическим преимуществом: нагрузка изолирована преимущественно на мышцы нижних конечностей (VL, RF, </w:t>
      </w:r>
      <w:proofErr w:type="spellStart"/>
      <w:r>
        <w:t>gastrocnemius</w:t>
      </w:r>
      <w:proofErr w:type="spellEnd"/>
      <w:r>
        <w:t xml:space="preserve">), что существенно снижает масштаб межмышечного </w:t>
      </w:r>
      <w:proofErr w:type="spellStart"/>
      <w:r>
        <w:t>лактатного</w:t>
      </w:r>
      <w:proofErr w:type="spellEnd"/>
      <w:r>
        <w:t xml:space="preserve"> </w:t>
      </w:r>
      <w:proofErr w:type="spellStart"/>
      <w:r>
        <w:t>шаттлинга</w:t>
      </w:r>
      <w:proofErr w:type="spellEnd"/>
      <w:r>
        <w:t xml:space="preserve"> и делает системный </w:t>
      </w:r>
      <w:proofErr w:type="spellStart"/>
      <w:r>
        <w:t>лактат</w:t>
      </w:r>
      <w:proofErr w:type="spellEnd"/>
      <w:r>
        <w:t xml:space="preserve"> более репрезентативным для локального метаболизма квадрицепса.</w:t>
      </w:r>
    </w:p>
    <w:p w14:paraId="6DCCE8B9" w14:textId="77777777" w:rsidR="00AD039F" w:rsidRDefault="00431EEE">
      <w:pPr>
        <w:ind w:firstLine="708"/>
        <w:jc w:val="both"/>
      </w:pPr>
      <w:r>
        <w:t xml:space="preserve">Неработающие мышцы вносят существенный вклад в клиренс </w:t>
      </w:r>
      <w:proofErr w:type="spellStart"/>
      <w:r>
        <w:t>лактата</w:t>
      </w:r>
      <w:proofErr w:type="spellEnd"/>
      <w:r>
        <w:t xml:space="preserve"> из системного кровотока. </w:t>
      </w:r>
      <w:proofErr w:type="spellStart"/>
      <w:r>
        <w:t>Bangsbo</w:t>
      </w:r>
      <w:proofErr w:type="spellEnd"/>
      <w:r>
        <w:t xml:space="preserve"> и </w:t>
      </w:r>
      <w:proofErr w:type="spellStart"/>
      <w:r>
        <w:t>Aagaard</w:t>
      </w:r>
      <w:proofErr w:type="spellEnd"/>
      <w:r>
        <w:t xml:space="preserve"> [1995] показали, что поглощение </w:t>
      </w:r>
      <w:proofErr w:type="spellStart"/>
      <w:r>
        <w:t>лактата</w:t>
      </w:r>
      <w:proofErr w:type="spellEnd"/>
      <w:r>
        <w:t xml:space="preserve"> неактивной мышцей пропорционально кровотоку: при двукратном увеличении перфузии поглощение удваивается, что указывает на </w:t>
      </w:r>
      <w:proofErr w:type="spellStart"/>
      <w:r>
        <w:t>перфузионное</w:t>
      </w:r>
      <w:proofErr w:type="spellEnd"/>
      <w:r>
        <w:t xml:space="preserve">, а не </w:t>
      </w:r>
      <w:proofErr w:type="spellStart"/>
      <w:r>
        <w:t>транспортёрное</w:t>
      </w:r>
      <w:proofErr w:type="spellEnd"/>
      <w:r>
        <w:t xml:space="preserve"> ограничение в данных условиях. Транспорт </w:t>
      </w:r>
      <w:proofErr w:type="spellStart"/>
      <w:r>
        <w:t>лактата</w:t>
      </w:r>
      <w:proofErr w:type="spellEnd"/>
      <w:r>
        <w:t xml:space="preserve"> в неактивную мышцу </w:t>
      </w:r>
      <w:proofErr w:type="spellStart"/>
      <w:r>
        <w:t>котранспортируется</w:t>
      </w:r>
      <w:proofErr w:type="spellEnd"/>
      <w:r>
        <w:t xml:space="preserve"> с H⁺ и вносит вклад в буферизацию системного ацидоза. При длительной нагрузке поглощение </w:t>
      </w:r>
      <w:proofErr w:type="spellStart"/>
      <w:r>
        <w:t>лактата</w:t>
      </w:r>
      <w:proofErr w:type="spellEnd"/>
      <w:r>
        <w:t xml:space="preserve"> неактивной мышцей снижается из-за её собственного </w:t>
      </w:r>
      <w:proofErr w:type="spellStart"/>
      <w:r>
        <w:t>закисления</w:t>
      </w:r>
      <w:proofErr w:type="spellEnd"/>
      <w:r>
        <w:t xml:space="preserve"> — ещё один аргумент в пользу </w:t>
      </w:r>
      <w:proofErr w:type="spellStart"/>
      <w:r>
        <w:t>временно́й</w:t>
      </w:r>
      <w:proofErr w:type="spellEnd"/>
      <w:r>
        <w:t xml:space="preserve"> </w:t>
      </w:r>
      <w:proofErr w:type="spellStart"/>
      <w:r>
        <w:t>нестационарности</w:t>
      </w:r>
      <w:proofErr w:type="spellEnd"/>
      <w:r>
        <w:t xml:space="preserve"> системного </w:t>
      </w:r>
      <w:proofErr w:type="spellStart"/>
      <w:r>
        <w:t>лактата</w:t>
      </w:r>
      <w:proofErr w:type="spellEnd"/>
      <w:r>
        <w:t xml:space="preserve">. MCT1 играет центральную роль в этом процессе: </w:t>
      </w:r>
      <w:proofErr w:type="spellStart"/>
      <w:r>
        <w:t>Bonen</w:t>
      </w:r>
      <w:proofErr w:type="spellEnd"/>
      <w:r>
        <w:t xml:space="preserve"> и </w:t>
      </w:r>
      <w:proofErr w:type="spellStart"/>
      <w:r>
        <w:t>McCullagh</w:t>
      </w:r>
      <w:proofErr w:type="spellEnd"/>
      <w:r>
        <w:t xml:space="preserve"> [1998] установили, что семидневная тренировка увеличивает содержание MCT1 в мышце на 118%, а наклон регрессии мышца–</w:t>
      </w:r>
      <w:proofErr w:type="spellStart"/>
      <w:r>
        <w:t>феморальная</w:t>
      </w:r>
      <w:proofErr w:type="spellEnd"/>
      <w:r>
        <w:t xml:space="preserve"> вена возрастает на 33%, что отражает ускорение экструзии </w:t>
      </w:r>
      <w:proofErr w:type="spellStart"/>
      <w:r>
        <w:t>лактата</w:t>
      </w:r>
      <w:proofErr w:type="spellEnd"/>
      <w:r>
        <w:t xml:space="preserve"> и улучшение системного клиренса.</w:t>
      </w:r>
    </w:p>
    <w:p w14:paraId="6908E2E9" w14:textId="77777777" w:rsidR="00AD039F" w:rsidRDefault="00431EEE">
      <w:pPr>
        <w:ind w:firstLine="708"/>
        <w:jc w:val="both"/>
      </w:pPr>
      <w:r>
        <w:t xml:space="preserve">Концепция </w:t>
      </w:r>
      <w:proofErr w:type="spellStart"/>
      <w:r>
        <w:t>лактатного</w:t>
      </w:r>
      <w:proofErr w:type="spellEnd"/>
      <w:r>
        <w:t xml:space="preserve"> шаттла, развитая </w:t>
      </w:r>
      <w:proofErr w:type="spellStart"/>
      <w:r>
        <w:t>Brooks</w:t>
      </w:r>
      <w:proofErr w:type="spellEnd"/>
      <w:r>
        <w:t xml:space="preserve"> [2023], переосмысливает роль </w:t>
      </w:r>
      <w:proofErr w:type="spellStart"/>
      <w:r>
        <w:t>лактата</w:t>
      </w:r>
      <w:proofErr w:type="spellEnd"/>
      <w:r>
        <w:t xml:space="preserve"> как основного энергетического субстрата для аэробных тканей, а не как «отхода» анаэробного метаболизма. </w:t>
      </w:r>
      <w:proofErr w:type="spellStart"/>
      <w:r>
        <w:t>Лактат</w:t>
      </w:r>
      <w:proofErr w:type="spellEnd"/>
      <w:r>
        <w:t xml:space="preserve"> является связующим звеном </w:t>
      </w:r>
      <w:r>
        <w:lastRenderedPageBreak/>
        <w:t xml:space="preserve">между гликолитическими и окислительными </w:t>
      </w:r>
      <w:proofErr w:type="spellStart"/>
      <w:r>
        <w:t>компартментами</w:t>
      </w:r>
      <w:proofErr w:type="spellEnd"/>
      <w:r>
        <w:t xml:space="preserve"> как внутри одного волокна (внутриклеточный шаттл), так и между мышцами, а также от мышц к сердцу, мозгу и почкам (межклеточный и </w:t>
      </w:r>
      <w:proofErr w:type="spellStart"/>
      <w:r>
        <w:t>межорганный</w:t>
      </w:r>
      <w:proofErr w:type="spellEnd"/>
      <w:r>
        <w:t xml:space="preserve"> шаттл). Для задачи настоящей диссертации это означает, что NIRS-сигнал на </w:t>
      </w:r>
      <w:r>
        <w:rPr>
          <w:i/>
        </w:rPr>
        <w:t xml:space="preserve">m. </w:t>
      </w:r>
      <w:proofErr w:type="spellStart"/>
      <w:r>
        <w:rPr>
          <w:i/>
        </w:rPr>
        <w:t>vastus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lateralis</w:t>
      </w:r>
      <w:proofErr w:type="spellEnd"/>
      <w:r>
        <w:t xml:space="preserve"> ближе к моменту локальных метаболических изменений в основной работающей мышце, тогда как капиллярный </w:t>
      </w:r>
      <w:proofErr w:type="spellStart"/>
      <w:r>
        <w:t>лактат</w:t>
      </w:r>
      <w:proofErr w:type="spellEnd"/>
      <w:r>
        <w:t xml:space="preserve"> отражает не только его продукцию, но и последующий транспорт, перераспределение и клиренс в других тканях. Поэтому временное расхождение между NIRS </w:t>
      </w:r>
      <w:proofErr w:type="spellStart"/>
      <w:r>
        <w:t>breakpoint</w:t>
      </w:r>
      <w:proofErr w:type="spellEnd"/>
      <w:r>
        <w:t xml:space="preserve"> и </w:t>
      </w:r>
      <w:proofErr w:type="spellStart"/>
      <w:r>
        <w:t>лактатной</w:t>
      </w:r>
      <w:proofErr w:type="spellEnd"/>
      <w:r>
        <w:t xml:space="preserve"> меткой следует рассматривать не только как ошибку измерения, но и как физиологическое свойство самих сигналов. Таким образом, NIRS </w:t>
      </w:r>
      <w:proofErr w:type="spellStart"/>
      <w:r>
        <w:t>breakpoint</w:t>
      </w:r>
      <w:proofErr w:type="spellEnd"/>
      <w:r>
        <w:t xml:space="preserve"> на VL теоретически ближе к «правде» о мышечном метаболизме, чем капиллярный </w:t>
      </w:r>
      <w:proofErr w:type="spellStart"/>
      <w:r>
        <w:t>лактат</w:t>
      </w:r>
      <w:proofErr w:type="spellEnd"/>
      <w:r>
        <w:t>, хотя на практике оба сигнала несут взаимодополняющую информацию.</w:t>
      </w:r>
    </w:p>
    <w:p w14:paraId="14F5FF74" w14:textId="77777777" w:rsidR="00AD039F" w:rsidRDefault="00431EEE">
      <w:pPr>
        <w:ind w:firstLine="708"/>
        <w:jc w:val="both"/>
      </w:pPr>
      <w:r>
        <w:rPr>
          <w:i/>
          <w:iCs/>
        </w:rPr>
        <w:t xml:space="preserve">Количественные данные о </w:t>
      </w:r>
      <w:proofErr w:type="spellStart"/>
      <w:r>
        <w:rPr>
          <w:i/>
          <w:iCs/>
        </w:rPr>
        <w:t>временно́й</w:t>
      </w:r>
      <w:proofErr w:type="spellEnd"/>
      <w:r>
        <w:rPr>
          <w:i/>
          <w:iCs/>
        </w:rPr>
        <w:t xml:space="preserve"> задержке между внутримышечным </w:t>
      </w:r>
      <w:proofErr w:type="spellStart"/>
      <w:r>
        <w:rPr>
          <w:i/>
          <w:iCs/>
        </w:rPr>
        <w:t>лактатом</w:t>
      </w:r>
      <w:proofErr w:type="spellEnd"/>
      <w:r>
        <w:rPr>
          <w:i/>
          <w:iCs/>
        </w:rPr>
        <w:t xml:space="preserve"> и капиллярным </w:t>
      </w:r>
      <w:proofErr w:type="spellStart"/>
      <w:r>
        <w:rPr>
          <w:i/>
          <w:iCs/>
        </w:rPr>
        <w:t>лактатом</w:t>
      </w:r>
      <w:proofErr w:type="spellEnd"/>
      <w:r>
        <w:rPr>
          <w:i/>
          <w:iCs/>
        </w:rPr>
        <w:t xml:space="preserve"> при ступенчатом </w:t>
      </w:r>
      <w:proofErr w:type="spellStart"/>
      <w:r>
        <w:rPr>
          <w:i/>
          <w:iCs/>
        </w:rPr>
        <w:t>велоэргометрическом</w:t>
      </w:r>
      <w:proofErr w:type="spellEnd"/>
      <w:r>
        <w:rPr>
          <w:i/>
          <w:iCs/>
        </w:rPr>
        <w:t xml:space="preserve"> тесте с шагом 30 Вт / 3 мин в литературе систематически не представлены. Это ограничивает точность разметки </w:t>
      </w:r>
      <w:proofErr w:type="spellStart"/>
      <w:r>
        <w:rPr>
          <w:i/>
          <w:iCs/>
        </w:rPr>
        <w:t>временны́х</w:t>
      </w:r>
      <w:proofErr w:type="spellEnd"/>
      <w:r>
        <w:rPr>
          <w:i/>
          <w:iCs/>
        </w:rPr>
        <w:t xml:space="preserve"> меток порога в ML-</w:t>
      </w:r>
      <w:proofErr w:type="spellStart"/>
      <w:r>
        <w:rPr>
          <w:i/>
          <w:iCs/>
        </w:rPr>
        <w:t>датасете</w:t>
      </w:r>
      <w:proofErr w:type="spellEnd"/>
      <w:r>
        <w:rPr>
          <w:i/>
          <w:iCs/>
        </w:rPr>
        <w:t xml:space="preserve"> и является источником неустранимой погрешности при верификации модели по </w:t>
      </w:r>
      <w:proofErr w:type="spellStart"/>
      <w:r>
        <w:rPr>
          <w:i/>
          <w:iCs/>
        </w:rPr>
        <w:t>лактатным</w:t>
      </w:r>
      <w:proofErr w:type="spellEnd"/>
      <w:r>
        <w:rPr>
          <w:i/>
          <w:iCs/>
        </w:rPr>
        <w:t xml:space="preserve"> меткам.</w:t>
      </w:r>
    </w:p>
    <w:p w14:paraId="3C55D3D1" w14:textId="77777777" w:rsidR="00AD039F" w:rsidRDefault="00431EEE">
      <w:pPr>
        <w:spacing w:before="240" w:after="120"/>
      </w:pPr>
      <w:r>
        <w:rPr>
          <w:b/>
          <w:bCs/>
        </w:rPr>
        <w:t>2.6 Машинное обучение и алгоритмы онлайн-</w:t>
      </w:r>
      <w:proofErr w:type="spellStart"/>
      <w:r>
        <w:rPr>
          <w:b/>
          <w:bCs/>
        </w:rPr>
        <w:t>детекции</w:t>
      </w:r>
      <w:proofErr w:type="spellEnd"/>
      <w:r>
        <w:rPr>
          <w:b/>
          <w:bCs/>
        </w:rPr>
        <w:t xml:space="preserve"> аэробно-анаэробного перехода</w:t>
      </w:r>
    </w:p>
    <w:p w14:paraId="43ABC820" w14:textId="77777777" w:rsidR="00AD039F" w:rsidRDefault="00431EEE">
      <w:pPr>
        <w:ind w:firstLine="708"/>
        <w:jc w:val="both"/>
      </w:pPr>
      <w:r>
        <w:t xml:space="preserve">Автоматическая </w:t>
      </w:r>
      <w:proofErr w:type="spellStart"/>
      <w:r>
        <w:t>детекция</w:t>
      </w:r>
      <w:proofErr w:type="spellEnd"/>
      <w:r>
        <w:t xml:space="preserve"> аэробно-анаэробного перехода по физиологическим </w:t>
      </w:r>
      <w:proofErr w:type="spellStart"/>
      <w:r>
        <w:t>временны́м</w:t>
      </w:r>
      <w:proofErr w:type="spellEnd"/>
      <w:r>
        <w:t xml:space="preserve"> рядам является активно развивающейся областью, в которой методы машинного обучения постепенно вытесняют традиционные визуальные и пороговые алгоритмы. Принципиальные преимущества ML-подходов — способность улавливать нелинейные зависимости и интегрировать информацию из множества каналов — делают их особенно перспективными для задачи онлайн-</w:t>
      </w:r>
      <w:proofErr w:type="spellStart"/>
      <w:r>
        <w:t>детекции</w:t>
      </w:r>
      <w:proofErr w:type="spellEnd"/>
      <w:r>
        <w:t xml:space="preserve">, где ни один </w:t>
      </w:r>
      <w:r>
        <w:lastRenderedPageBreak/>
        <w:t>отдельный физиологический сигнал не является достаточно надёжным в условиях реального времени.</w:t>
      </w:r>
    </w:p>
    <w:p w14:paraId="30294D3E" w14:textId="77777777" w:rsidR="00AD039F" w:rsidRDefault="00431EEE">
      <w:pPr>
        <w:spacing w:before="200" w:after="120"/>
      </w:pPr>
      <w:r>
        <w:rPr>
          <w:b/>
          <w:bCs/>
          <w:i/>
          <w:iCs/>
        </w:rPr>
        <w:t>2.6.1 Классический ML на ручных признаках</w:t>
      </w:r>
    </w:p>
    <w:p w14:paraId="3B85004A" w14:textId="4D54EB22" w:rsidR="00AD039F" w:rsidRDefault="00431EEE">
      <w:pPr>
        <w:ind w:firstLine="708"/>
        <w:jc w:val="both"/>
      </w:pPr>
      <w:r>
        <w:t xml:space="preserve">Среди существующих ML-подходов к классификации зон интенсивности и предсказанию порогов наиболее системный анализ был проведён </w:t>
      </w:r>
      <w:proofErr w:type="spellStart"/>
      <w:r>
        <w:t>Tomaszewski</w:t>
      </w:r>
      <w:proofErr w:type="spellEnd"/>
      <w:r>
        <w:t xml:space="preserve"> и </w:t>
      </w:r>
      <w:proofErr w:type="spellStart"/>
      <w:r>
        <w:t>Majorczyk</w:t>
      </w:r>
      <w:proofErr w:type="spellEnd"/>
      <w:r>
        <w:t xml:space="preserve"> [2024] на </w:t>
      </w:r>
      <w:proofErr w:type="spellStart"/>
      <w:r>
        <w:t>датасете</w:t>
      </w:r>
      <w:proofErr w:type="spellEnd"/>
      <w:r>
        <w:t xml:space="preserve"> из </w:t>
      </w:r>
      <w:r w:rsidR="00E31194" w:rsidRPr="00E31194">
        <w:t>183 протоколов кардиопульмонального нагрузочного тестирования (CPET)</w:t>
      </w:r>
      <w:r w:rsidR="00E31194">
        <w:t xml:space="preserve"> </w:t>
      </w:r>
      <w:r>
        <w:t xml:space="preserve">с </w:t>
      </w:r>
      <w:proofErr w:type="spellStart"/>
      <w:r>
        <w:t>лактатными</w:t>
      </w:r>
      <w:proofErr w:type="spellEnd"/>
      <w:r>
        <w:t xml:space="preserve"> метками. Для предсказания аэробного порога (</w:t>
      </w:r>
      <w:proofErr w:type="spellStart"/>
      <w:r>
        <w:t>AeT</w:t>
      </w:r>
      <w:proofErr w:type="spellEnd"/>
      <w:r>
        <w:t xml:space="preserve">) лучшим алгоритмом оказался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(R²=0,645, MAE=4,63 Вт, MSE=44,45, RMSE=6,67 Вт), для анаэробного порога (</w:t>
      </w:r>
      <w:proofErr w:type="spellStart"/>
      <w:r>
        <w:t>AnT</w:t>
      </w:r>
      <w:proofErr w:type="spellEnd"/>
      <w:r>
        <w:t xml:space="preserve">) — </w:t>
      </w:r>
      <w:proofErr w:type="spellStart"/>
      <w:r>
        <w:t>LightGBM</w:t>
      </w:r>
      <w:proofErr w:type="spellEnd"/>
      <w:r>
        <w:t xml:space="preserve"> (R²=0,803, MAE=3,44 Вт). Анализ вклада признаков в решение модели (SHAP-анализ) показал, что наибольшее влияние на предсказание оказывают минимальный уровень </w:t>
      </w:r>
      <w:proofErr w:type="spellStart"/>
      <w:r>
        <w:t>лактата</w:t>
      </w:r>
      <w:proofErr w:type="spellEnd"/>
      <w:r>
        <w:t xml:space="preserve"> и ЧСС в момент максимального </w:t>
      </w:r>
      <w:proofErr w:type="spellStart"/>
      <w:r>
        <w:t>лактата</w:t>
      </w:r>
      <w:proofErr w:type="spellEnd"/>
      <w:r>
        <w:t xml:space="preserve">, то есть показатели, описывающие индивидуальные особенности </w:t>
      </w:r>
      <w:proofErr w:type="spellStart"/>
      <w:r>
        <w:t>лактатного</w:t>
      </w:r>
      <w:proofErr w:type="spellEnd"/>
      <w:r>
        <w:t xml:space="preserve"> ответа у спортсмена. ML-модели в этой работе, однако, использовали лишь </w:t>
      </w:r>
      <w:proofErr w:type="spellStart"/>
      <w:r>
        <w:t>лактатные</w:t>
      </w:r>
      <w:proofErr w:type="spellEnd"/>
      <w:r>
        <w:t xml:space="preserve"> и </w:t>
      </w:r>
      <w:proofErr w:type="spellStart"/>
      <w:r>
        <w:t>кардиореспираторные</w:t>
      </w:r>
      <w:proofErr w:type="spellEnd"/>
      <w:r>
        <w:t xml:space="preserve"> признаки, не включая ЭМГ или NIRS.</w:t>
      </w:r>
    </w:p>
    <w:p w14:paraId="7868FCA2" w14:textId="77777777" w:rsidR="00AD039F" w:rsidRDefault="00431EEE">
      <w:pPr>
        <w:ind w:firstLine="708"/>
        <w:jc w:val="both"/>
      </w:pPr>
      <w:r>
        <w:t xml:space="preserve">Модельные подходы к предсказанию мощности на LT2 разрабатывались также в контексте метаболического моделирования. </w:t>
      </w:r>
      <w:proofErr w:type="spellStart"/>
      <w:r>
        <w:t>Fischer</w:t>
      </w:r>
      <w:proofErr w:type="spellEnd"/>
      <w:r>
        <w:t xml:space="preserve"> и </w:t>
      </w:r>
      <w:proofErr w:type="spellStart"/>
      <w:r>
        <w:t>Hävecker</w:t>
      </w:r>
      <w:proofErr w:type="spellEnd"/>
      <w:r>
        <w:t xml:space="preserve"> [2025] показали, что регрессионная модель на основе трёх физиологических показателей — максимального потребления кислорода (</w:t>
      </w:r>
      <w:proofErr w:type="spellStart"/>
      <w:r>
        <w:t>VO₂peak</w:t>
      </w:r>
      <w:proofErr w:type="spellEnd"/>
      <w:r>
        <w:t xml:space="preserve">), доли этого максимума, используемой на уровне LT2 (%VO₂peak@LT2), и экономичности </w:t>
      </w:r>
      <w:proofErr w:type="spellStart"/>
      <w:r>
        <w:t>педалирования</w:t>
      </w:r>
      <w:proofErr w:type="spellEnd"/>
      <w:r>
        <w:t xml:space="preserve"> (</w:t>
      </w:r>
      <w:proofErr w:type="spellStart"/>
      <w:r>
        <w:t>Cc</w:t>
      </w:r>
      <w:proofErr w:type="spellEnd"/>
      <w:r>
        <w:t xml:space="preserve">) — объясняет не менее 98% вариации мощности на LT2 у молодых велосипедистов (ICC≥0,961). При определении </w:t>
      </w:r>
      <w:proofErr w:type="spellStart"/>
      <w:r>
        <w:t>Cc</w:t>
      </w:r>
      <w:proofErr w:type="spellEnd"/>
      <w:r>
        <w:t xml:space="preserve"> при 90% LT2 точность достигала ICC≥0,986. Вклад </w:t>
      </w:r>
      <w:proofErr w:type="spellStart"/>
      <w:r>
        <w:t>VO₂peak</w:t>
      </w:r>
      <w:proofErr w:type="spellEnd"/>
      <w:r>
        <w:t xml:space="preserve"> составлял 62–67% от общего R², тогда как включение </w:t>
      </w:r>
      <w:proofErr w:type="spellStart"/>
      <w:r>
        <w:rPr>
          <w:i/>
        </w:rPr>
        <w:t>VLa</w:t>
      </w:r>
      <w:r>
        <w:t>max</w:t>
      </w:r>
      <w:proofErr w:type="spellEnd"/>
      <w:r>
        <w:t xml:space="preserve"> не улучшало точности предсказания. </w:t>
      </w:r>
      <w:proofErr w:type="spellStart"/>
      <w:r>
        <w:t>Ji</w:t>
      </w:r>
      <w:proofErr w:type="spellEnd"/>
      <w:r>
        <w:t xml:space="preserve"> и </w:t>
      </w:r>
      <w:proofErr w:type="spellStart"/>
      <w:r>
        <w:t>Sommer</w:t>
      </w:r>
      <w:proofErr w:type="spellEnd"/>
      <w:r>
        <w:t xml:space="preserve"> [2021] продемонстрировали, что расчётный </w:t>
      </w:r>
      <w:proofErr w:type="spellStart"/>
      <w:r>
        <w:t>лактатный</w:t>
      </w:r>
      <w:proofErr w:type="spellEnd"/>
      <w:r>
        <w:t xml:space="preserve"> анаэробный порог (</w:t>
      </w:r>
      <w:proofErr w:type="spellStart"/>
      <w:r>
        <w:t>cLTAn</w:t>
      </w:r>
      <w:proofErr w:type="spellEnd"/>
      <w:r>
        <w:t>) через метаболическую симуляцию модели Мадера (</w:t>
      </w:r>
      <w:proofErr w:type="spellStart"/>
      <w:r>
        <w:t>VO₂max</w:t>
      </w:r>
      <w:proofErr w:type="spellEnd"/>
      <w:r>
        <w:t xml:space="preserve"> + </w:t>
      </w:r>
      <w:proofErr w:type="spellStart"/>
      <w:r>
        <w:rPr>
          <w:i/>
        </w:rPr>
        <w:t>VLa</w:t>
      </w:r>
      <w:r>
        <w:t>max</w:t>
      </w:r>
      <w:proofErr w:type="spellEnd"/>
      <w:r>
        <w:t xml:space="preserve"> + экономичность бега) сопоставим с </w:t>
      </w:r>
      <w:proofErr w:type="spellStart"/>
      <w:r>
        <w:t>mDmax</w:t>
      </w:r>
      <w:proofErr w:type="spellEnd"/>
      <w:r>
        <w:t xml:space="preserve"> (ICC=0,87) и OBLA (ICC=0,74), однако применение этих методов возможно лишь по результатам </w:t>
      </w:r>
      <w:r>
        <w:lastRenderedPageBreak/>
        <w:t xml:space="preserve">уже завершённого теста, а не в реальном времени. Здесь </w:t>
      </w:r>
      <w:proofErr w:type="spellStart"/>
      <w:r>
        <w:t>mDmax</w:t>
      </w:r>
      <w:proofErr w:type="spellEnd"/>
      <w:r>
        <w:t xml:space="preserve"> и OBLA выступают не онлайн-алгоритмами, а традиционными постфактум-критериями разметки порога по полной </w:t>
      </w:r>
      <w:proofErr w:type="spellStart"/>
      <w:r>
        <w:t>лактатной</w:t>
      </w:r>
      <w:proofErr w:type="spellEnd"/>
      <w:r>
        <w:t xml:space="preserve"> кривой; поэтому сопоставимость с ними не решает задачу </w:t>
      </w:r>
      <w:proofErr w:type="spellStart"/>
      <w:r>
        <w:t>детекции</w:t>
      </w:r>
      <w:proofErr w:type="spellEnd"/>
      <w:r>
        <w:t xml:space="preserve"> по ходу теста.</w:t>
      </w:r>
    </w:p>
    <w:p w14:paraId="6EB0C650" w14:textId="77777777" w:rsidR="00AD039F" w:rsidRDefault="00431EEE">
      <w:pPr>
        <w:ind w:firstLine="708"/>
        <w:jc w:val="both"/>
      </w:pPr>
      <w:r>
        <w:t xml:space="preserve">Алгоритмы автоматической </w:t>
      </w:r>
      <w:proofErr w:type="spellStart"/>
      <w:r>
        <w:t>детекции</w:t>
      </w:r>
      <w:proofErr w:type="spellEnd"/>
      <w:r>
        <w:t xml:space="preserve"> точки перегиба (</w:t>
      </w:r>
      <w:proofErr w:type="spellStart"/>
      <w:r>
        <w:rPr>
          <w:i/>
        </w:rPr>
        <w:t>changepoint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detection</w:t>
      </w:r>
      <w:proofErr w:type="spellEnd"/>
      <w:r>
        <w:t xml:space="preserve">) являются альтернативой полным ML-моделям в задачах, где нужно не классифицировать весь сигнал целиком, а найти момент, когда его поведение заметно меняется. В контексте физиологических данных это может быть точка, после которой показатель начинает расти, снижаться или колебаться по иному закону, чем раньше. Полиномиальная регрессия 3-й степени, применённая </w:t>
      </w:r>
      <w:proofErr w:type="spellStart"/>
      <w:r>
        <w:t>Lin</w:t>
      </w:r>
      <w:proofErr w:type="spellEnd"/>
      <w:r>
        <w:t xml:space="preserve"> и </w:t>
      </w:r>
      <w:proofErr w:type="spellStart"/>
      <w:r>
        <w:t>Huang</w:t>
      </w:r>
      <w:proofErr w:type="spellEnd"/>
      <w:r>
        <w:t xml:space="preserve"> [2020] к NIRS-сигналам, позволяет автоматически определять VT1 (пик </w:t>
      </w:r>
      <w:proofErr w:type="spellStart"/>
      <w:r>
        <w:t>O₂Hb</w:t>
      </w:r>
      <w:proofErr w:type="spellEnd"/>
      <w:r>
        <w:t xml:space="preserve">) и VT2 (пик </w:t>
      </w:r>
      <w:proofErr w:type="spellStart"/>
      <w:r>
        <w:t>HHb</w:t>
      </w:r>
      <w:proofErr w:type="spellEnd"/>
      <w:r>
        <w:t>) без ручной разметки. V-</w:t>
      </w:r>
      <w:proofErr w:type="spellStart"/>
      <w:r>
        <w:t>slope</w:t>
      </w:r>
      <w:proofErr w:type="spellEnd"/>
      <w:r>
        <w:t xml:space="preserve"> метод двойной кусочно-линейной регрессии с минимизацией суммы квадратов остатков, применённый Поповым и соавторами [</w:t>
      </w:r>
      <w:proofErr w:type="spellStart"/>
      <w:r>
        <w:t>Popov</w:t>
      </w:r>
      <w:proofErr w:type="spellEnd"/>
      <w:r>
        <w:t xml:space="preserve">, </w:t>
      </w:r>
      <w:proofErr w:type="spellStart"/>
      <w:r>
        <w:t>Vinogradova</w:t>
      </w:r>
      <w:proofErr w:type="spellEnd"/>
      <w:r>
        <w:t xml:space="preserve">, 2019] к совместному сигналу </w:t>
      </w:r>
      <w:proofErr w:type="spellStart"/>
      <w:r>
        <w:t>nHHb</w:t>
      </w:r>
      <w:proofErr w:type="spellEnd"/>
      <w:r>
        <w:t>–</w:t>
      </w:r>
      <w:proofErr w:type="spellStart"/>
      <w:r>
        <w:t>nEMG</w:t>
      </w:r>
      <w:proofErr w:type="spellEnd"/>
      <w:r>
        <w:t xml:space="preserve">, успешно детектирует единственную точку перегиба. Для выявления двух порогов и </w:t>
      </w:r>
      <w:proofErr w:type="spellStart"/>
      <w:r>
        <w:t>детекции</w:t>
      </w:r>
      <w:proofErr w:type="spellEnd"/>
      <w:r>
        <w:t xml:space="preserve"> в скользящем окне требуются более гибкие подходы, например CUSUM (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chart</w:t>
      </w:r>
      <w:proofErr w:type="spellEnd"/>
      <w:r>
        <w:t>), BOCPD (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online</w:t>
      </w:r>
      <w:proofErr w:type="spellEnd"/>
      <w:r>
        <w:t xml:space="preserve"> </w:t>
      </w:r>
      <w:proofErr w:type="spellStart"/>
      <w:r>
        <w:rPr>
          <w:i/>
        </w:rPr>
        <w:t>changepoint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detection</w:t>
      </w:r>
      <w:proofErr w:type="spellEnd"/>
      <w:r>
        <w:t xml:space="preserve">) или алгоритм </w:t>
      </w:r>
      <w:proofErr w:type="spellStart"/>
      <w:r>
        <w:rPr>
          <w:i/>
        </w:rPr>
        <w:t>ruptures</w:t>
      </w:r>
      <w:proofErr w:type="spellEnd"/>
      <w:r>
        <w:t xml:space="preserve"> (</w:t>
      </w:r>
      <w:proofErr w:type="spellStart"/>
      <w:r>
        <w:t>Python</w:t>
      </w:r>
      <w:proofErr w:type="spellEnd"/>
      <w:r>
        <w:t>), однако применительно к многоканальным физиологическим сигналам (ЭМГ + NIRS + HRV) подобных работ в доступной литературе не представлено.</w:t>
      </w:r>
    </w:p>
    <w:p w14:paraId="0EB4E7D2" w14:textId="77777777" w:rsidR="00AD039F" w:rsidRDefault="00431EEE">
      <w:pPr>
        <w:ind w:firstLine="708"/>
        <w:jc w:val="both"/>
      </w:pPr>
      <w:r>
        <w:t xml:space="preserve">Работы с одиночными каналами демонстрируют ограниченную точность. Для NIRS: метод </w:t>
      </w:r>
      <w:proofErr w:type="spellStart"/>
      <w:r>
        <w:t>Dmax</w:t>
      </w:r>
      <w:proofErr w:type="spellEnd"/>
      <w:r>
        <w:t>/</w:t>
      </w:r>
      <w:proofErr w:type="spellStart"/>
      <w:r>
        <w:t>mDmax</w:t>
      </w:r>
      <w:proofErr w:type="spellEnd"/>
      <w:r>
        <w:t xml:space="preserve"> по </w:t>
      </w:r>
      <w:proofErr w:type="spellStart"/>
      <w:r>
        <w:t>StO</w:t>
      </w:r>
      <w:proofErr w:type="spellEnd"/>
      <w:r>
        <w:t xml:space="preserve">₂ показывает </w:t>
      </w:r>
      <w:proofErr w:type="gramStart"/>
      <w:r>
        <w:t>ICC&lt;</w:t>
      </w:r>
      <w:proofErr w:type="gramEnd"/>
      <w:r>
        <w:t>0,40 при тест-</w:t>
      </w:r>
      <w:proofErr w:type="spellStart"/>
      <w:r>
        <w:t>ретесте</w:t>
      </w:r>
      <w:proofErr w:type="spellEnd"/>
      <w:r>
        <w:t xml:space="preserve"> [</w:t>
      </w:r>
      <w:proofErr w:type="spellStart"/>
      <w:r>
        <w:t>Cayot</w:t>
      </w:r>
      <w:proofErr w:type="spellEnd"/>
      <w:r>
        <w:t xml:space="preserve">, </w:t>
      </w:r>
      <w:proofErr w:type="spellStart"/>
      <w:r>
        <w:t>Robinson</w:t>
      </w:r>
      <w:proofErr w:type="spellEnd"/>
      <w:r>
        <w:t xml:space="preserve">, 2021], тогда как полиномиальный метод по </w:t>
      </w:r>
      <w:proofErr w:type="spellStart"/>
      <w:r>
        <w:t>O₂Hb</w:t>
      </w:r>
      <w:proofErr w:type="spellEnd"/>
      <w:r>
        <w:t>/</w:t>
      </w:r>
      <w:proofErr w:type="spellStart"/>
      <w:r>
        <w:t>HHb</w:t>
      </w:r>
      <w:proofErr w:type="spellEnd"/>
      <w:r>
        <w:t xml:space="preserve"> воспроизводим и точен [</w:t>
      </w:r>
      <w:proofErr w:type="spellStart"/>
      <w:r>
        <w:t>Lin</w:t>
      </w:r>
      <w:proofErr w:type="spellEnd"/>
      <w:r>
        <w:t xml:space="preserve">, </w:t>
      </w:r>
      <w:proofErr w:type="spellStart"/>
      <w:r>
        <w:t>Huang</w:t>
      </w:r>
      <w:proofErr w:type="spellEnd"/>
      <w:r>
        <w:t>, 2020]. Для ЭМГ: V-</w:t>
      </w:r>
      <w:proofErr w:type="spellStart"/>
      <w:r>
        <w:t>slope</w:t>
      </w:r>
      <w:proofErr w:type="spellEnd"/>
      <w:r>
        <w:t xml:space="preserve"> по </w:t>
      </w:r>
      <w:proofErr w:type="spellStart"/>
      <w:r>
        <w:t>nHHb</w:t>
      </w:r>
      <w:proofErr w:type="spellEnd"/>
      <w:r>
        <w:t>–</w:t>
      </w:r>
      <w:proofErr w:type="spellStart"/>
      <w:r>
        <w:t>nEMG</w:t>
      </w:r>
      <w:proofErr w:type="spellEnd"/>
      <w:r>
        <w:t xml:space="preserve"> достигает r=0,89 с LT4 [</w:t>
      </w:r>
      <w:proofErr w:type="spellStart"/>
      <w:r>
        <w:t>Popov</w:t>
      </w:r>
      <w:proofErr w:type="spellEnd"/>
      <w:r>
        <w:t xml:space="preserve">, </w:t>
      </w:r>
      <w:proofErr w:type="spellStart"/>
      <w:r>
        <w:t>Vinogradova</w:t>
      </w:r>
      <w:proofErr w:type="spellEnd"/>
      <w:r>
        <w:t>, 2019], но не предназначен для онлайн-применения. Для HRV: DFA-α1=0,75 детектирует VT1 с ICC=0,77–0,87 [</w:t>
      </w:r>
      <w:proofErr w:type="spellStart"/>
      <w:r>
        <w:t>Schaffarczyk</w:t>
      </w:r>
      <w:proofErr w:type="spellEnd"/>
      <w:r>
        <w:t xml:space="preserve">, </w:t>
      </w:r>
      <w:proofErr w:type="spellStart"/>
      <w:r>
        <w:t>Gronwald</w:t>
      </w:r>
      <w:proofErr w:type="spellEnd"/>
      <w:r>
        <w:t xml:space="preserve">, 2022], однако для LT2 надёжного порогового значения не предложено. Существующие </w:t>
      </w:r>
      <w:proofErr w:type="spellStart"/>
      <w:r>
        <w:t>мультимодальные</w:t>
      </w:r>
      <w:proofErr w:type="spellEnd"/>
      <w:r>
        <w:t xml:space="preserve"> работы, как правило, объединяют два канала: NIRS + ЭМГ </w:t>
      </w:r>
      <w:r>
        <w:lastRenderedPageBreak/>
        <w:t xml:space="preserve">(метод </w:t>
      </w:r>
      <w:proofErr w:type="spellStart"/>
      <w:r>
        <w:t>ATHHb</w:t>
      </w:r>
      <w:proofErr w:type="spellEnd"/>
      <w:r>
        <w:t>-ЭМГ Попова), NIRS + вентиляция (</w:t>
      </w:r>
      <w:proofErr w:type="spellStart"/>
      <w:r>
        <w:t>Coquart</w:t>
      </w:r>
      <w:proofErr w:type="spellEnd"/>
      <w:r>
        <w:t xml:space="preserve">, </w:t>
      </w:r>
      <w:proofErr w:type="spellStart"/>
      <w:r>
        <w:t>Mucci</w:t>
      </w:r>
      <w:proofErr w:type="spellEnd"/>
      <w:r>
        <w:t>, 2017) или HRV + нагрузка (</w:t>
      </w:r>
      <w:proofErr w:type="spellStart"/>
      <w:r>
        <w:t>Rogers</w:t>
      </w:r>
      <w:proofErr w:type="spellEnd"/>
      <w:r>
        <w:t xml:space="preserve">, </w:t>
      </w:r>
      <w:proofErr w:type="spellStart"/>
      <w:r>
        <w:t>Gronwald</w:t>
      </w:r>
      <w:proofErr w:type="spellEnd"/>
      <w:r>
        <w:t>, 2022). Системы, объединяющие все три сигнальных модальности — ЭМГ, NIRS и HRV — для одновременного предсказания обоих порогов в скользящем окне реального времени, в доступной рецензированной литературе отсутствуют.</w:t>
      </w:r>
    </w:p>
    <w:p w14:paraId="4D2E2766" w14:textId="77777777" w:rsidR="00AD039F" w:rsidRDefault="00431EEE">
      <w:pPr>
        <w:ind w:firstLine="708"/>
        <w:jc w:val="both"/>
      </w:pPr>
      <w:r>
        <w:t xml:space="preserve">Критический анализ применения ML в спортивной науке, проведённый </w:t>
      </w:r>
      <w:proofErr w:type="spellStart"/>
      <w:r>
        <w:t>Rodu</w:t>
      </w:r>
      <w:proofErr w:type="spellEnd"/>
      <w:r>
        <w:t xml:space="preserve"> и соавторами [</w:t>
      </w:r>
      <w:proofErr w:type="spellStart"/>
      <w:r>
        <w:t>Rodu</w:t>
      </w:r>
      <w:proofErr w:type="spellEnd"/>
      <w:r>
        <w:t xml:space="preserve"> и др., 2024], подчёркивает, что </w:t>
      </w:r>
      <w:proofErr w:type="spellStart"/>
      <w:r>
        <w:t>supervised</w:t>
      </w:r>
      <w:proofErr w:type="spellEnd"/>
      <w:r>
        <w:t xml:space="preserve"> ML должен дополнять, а не заменять гипотетико-дедуктивный подход: алгоритмы хорошо предсказывают численный результат, но сами по себе не объясняют, какие физиологические механизмы за ним стоят. Поэтому без связи с предметным знанием модель может обнаружить статистическую закономерность, которую нельзя уверенно интерпретировать как реальный механизм аэробно-анаэробного перехода. Авторы рассматривают три кейс-</w:t>
      </w:r>
      <w:proofErr w:type="spellStart"/>
      <w:r>
        <w:t>стади</w:t>
      </w:r>
      <w:proofErr w:type="spellEnd"/>
      <w:r>
        <w:t xml:space="preserve"> и обосновывают необходимость </w:t>
      </w:r>
      <w:proofErr w:type="spellStart"/>
      <w:r>
        <w:t>explainable</w:t>
      </w:r>
      <w:proofErr w:type="spellEnd"/>
      <w:r>
        <w:t xml:space="preserve"> ML — SHAP-анализа, интерпретируемых деревьев, локальных </w:t>
      </w:r>
      <w:proofErr w:type="spellStart"/>
      <w:r>
        <w:t>surrogate</w:t>
      </w:r>
      <w:proofErr w:type="spellEnd"/>
      <w:r>
        <w:t xml:space="preserve">-моделей — как средства снижения риска </w:t>
      </w:r>
      <w:proofErr w:type="spellStart"/>
      <w:r>
        <w:t>артефактных</w:t>
      </w:r>
      <w:proofErr w:type="spellEnd"/>
      <w:r>
        <w:t xml:space="preserve"> выводов. Для настоящей диссертации это служит обоснованием обязательного сочетания SHAP-анализа значимости признаков с физиологической интерпретацией результатов: ML-модель не самодостаточна, и её предсказания подлежат проверке стандартными методами и согласованию с устоявшимися механистическими представлениями о порогах.</w:t>
      </w:r>
    </w:p>
    <w:p w14:paraId="7EAA5229" w14:textId="77777777" w:rsidR="00AD039F" w:rsidRDefault="00431EEE">
      <w:pPr>
        <w:spacing w:before="200" w:after="120"/>
      </w:pPr>
      <w:r>
        <w:rPr>
          <w:b/>
          <w:bCs/>
          <w:i/>
          <w:iCs/>
        </w:rPr>
        <w:t xml:space="preserve">2.6.2 ML для временных рядов: LSTM, TCN и </w:t>
      </w:r>
      <w:proofErr w:type="spellStart"/>
      <w:r>
        <w:rPr>
          <w:b/>
          <w:bCs/>
          <w:i/>
          <w:iCs/>
        </w:rPr>
        <w:t>вейвлетные</w:t>
      </w:r>
      <w:proofErr w:type="spellEnd"/>
      <w:r>
        <w:rPr>
          <w:b/>
          <w:bCs/>
          <w:i/>
          <w:iCs/>
        </w:rPr>
        <w:t xml:space="preserve"> сети</w:t>
      </w:r>
    </w:p>
    <w:p w14:paraId="671EF47D" w14:textId="77777777" w:rsidR="00AD039F" w:rsidRDefault="00431EEE">
      <w:pPr>
        <w:ind w:firstLine="708"/>
        <w:jc w:val="both"/>
      </w:pPr>
      <w:r>
        <w:t xml:space="preserve">Классический ML на ручных признаках предполагает структурную потерю </w:t>
      </w:r>
      <w:proofErr w:type="spellStart"/>
      <w:r>
        <w:t>временно́й</w:t>
      </w:r>
      <w:proofErr w:type="spellEnd"/>
      <w:r>
        <w:t xml:space="preserve"> зависимости сигнала: операция скользящего окна агрегирует множество отсчётов в один скалярный вектор </w:t>
      </w:r>
      <w:proofErr w:type="gramStart"/>
      <w:r>
        <w:t>признаков</w:t>
      </w:r>
      <w:proofErr w:type="gramEnd"/>
      <w:r>
        <w:t xml:space="preserve"> Под скользящим окном здесь понимается разбиение непрерывного сигнала на короткие временные фрагменты, каждый из которых затем сводится к фиксированному набору числовых признаков., и последовательные зависимости между окнами разрушаются на этапе подачи в модель.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 и аналогичные ансамблевые методы получают на вход </w:t>
      </w:r>
      <w:r>
        <w:lastRenderedPageBreak/>
        <w:t xml:space="preserve">разрозненные точки в признаковом пространстве и вынуждены полагаться на инженера-исследователя в части построения признаков, отражающих </w:t>
      </w:r>
      <w:proofErr w:type="spellStart"/>
      <w:r>
        <w:t>темпоральную</w:t>
      </w:r>
      <w:proofErr w:type="spellEnd"/>
      <w:r>
        <w:t xml:space="preserve"> динамику (например, скользящие производные, лаговые признаки, оценки наклона). Альтернативный класс моделей — нейронные сети для временных рядов (LSTM, GRU, TCN) — сохраняет последовательную структуру сигнала на уровне архитектуры и способен обучаться на временной эволюции состояния системы как таковой. Для задачи онлайн-</w:t>
      </w:r>
      <w:proofErr w:type="spellStart"/>
      <w:r>
        <w:t>детекции</w:t>
      </w:r>
      <w:proofErr w:type="spellEnd"/>
      <w:r>
        <w:t xml:space="preserve"> аэробно-анаэробного перехода это архитектурное преимущество принципиально: переход — событие, определяемое не моментальным значением сигнала, а характером его эволюции на </w:t>
      </w:r>
      <w:proofErr w:type="spellStart"/>
      <w:r>
        <w:t>временно́м</w:t>
      </w:r>
      <w:proofErr w:type="spellEnd"/>
      <w:r>
        <w:t xml:space="preserve"> горизонте порядка десятков секунд.</w:t>
      </w:r>
    </w:p>
    <w:p w14:paraId="29965A85" w14:textId="05428811" w:rsidR="00AD039F" w:rsidRDefault="00431EEE">
      <w:pPr>
        <w:ind w:firstLine="708"/>
        <w:jc w:val="both"/>
      </w:pPr>
      <w:r>
        <w:t xml:space="preserve">Применимость рекуррентных архитектур к физиологическим временным рядам убедительно продемонстрирована </w:t>
      </w:r>
      <w:proofErr w:type="spellStart"/>
      <w:r>
        <w:t>Zeng</w:t>
      </w:r>
      <w:proofErr w:type="spellEnd"/>
      <w:r>
        <w:t xml:space="preserve"> и соавторами [</w:t>
      </w:r>
      <w:proofErr w:type="spellStart"/>
      <w:r>
        <w:t>Zeng</w:t>
      </w:r>
      <w:proofErr w:type="spellEnd"/>
      <w:r>
        <w:t xml:space="preserve"> и др., 2022] на крупномасштабном медицинском </w:t>
      </w:r>
      <w:proofErr w:type="spellStart"/>
      <w:r>
        <w:t>датасете</w:t>
      </w:r>
      <w:proofErr w:type="spellEnd"/>
      <w:r>
        <w:t xml:space="preserve">: на выборке из 8599 пациентов на ИВЛ с 89 признаками LSTM достиг AUROC=0,828, GRU — 0,829 (статистически неотличимо), при этом обе RNN-модели превзошли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(0,820) и </w:t>
      </w:r>
      <w:proofErr w:type="spellStart"/>
      <w:r>
        <w:t>XGBoost</w:t>
      </w:r>
      <w:proofErr w:type="spellEnd"/>
      <w:r>
        <w:t>. Принципиально важным архитектурным свойством, отмеченным авторами, является то, что RNN обновляет предсказание вместе с поступлением каждого нового временного шага, тогда как ансамбль на ручных признаках выдаёт оценку только в конце окна. Это свойство прямо соответствует задаче онлайн-</w:t>
      </w:r>
      <w:proofErr w:type="spellStart"/>
      <w:r>
        <w:t>детекции</w:t>
      </w:r>
      <w:proofErr w:type="spellEnd"/>
      <w:r>
        <w:t xml:space="preserve"> порога в скользящем окне ступенчатого теста: с каждой новой секундой модель уточняет вероятности P(LT1) и P(LT2) на основе обновлённой истории. Дополнительный вывод исследования —</w:t>
      </w:r>
      <w:r w:rsidR="00394B9A">
        <w:t xml:space="preserve"> </w:t>
      </w:r>
      <w:r>
        <w:t>облегчённая RNN-модель на 26 отобранных признаках была сопоставима с полной версией на всех 89 признаках — показывает перспективность отбора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) совместно с RNN-архитектурами, что особенно актуально при ограниченных размерах </w:t>
      </w:r>
      <w:proofErr w:type="spellStart"/>
      <w:r>
        <w:t>датасета</w:t>
      </w:r>
      <w:proofErr w:type="spellEnd"/>
      <w:r>
        <w:t xml:space="preserve">. — показывает перспективность совместного применения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и RNN-архитектур, что особенно актуально при ограниченных размерах </w:t>
      </w:r>
      <w:proofErr w:type="spellStart"/>
      <w:r>
        <w:t>датасета</w:t>
      </w:r>
      <w:proofErr w:type="spellEnd"/>
      <w:r>
        <w:t>.</w:t>
      </w:r>
    </w:p>
    <w:p w14:paraId="081B6481" w14:textId="77777777" w:rsidR="00AD039F" w:rsidRDefault="00431EEE">
      <w:pPr>
        <w:ind w:firstLine="708"/>
        <w:jc w:val="both"/>
      </w:pPr>
      <w:r>
        <w:lastRenderedPageBreak/>
        <w:t xml:space="preserve">Прямую демонстрацию того, что глубокая нейронная сеть способна предсказывать вентиляционный порог по одному физиологическому сигналу, привели </w:t>
      </w:r>
      <w:proofErr w:type="spellStart"/>
      <w:r>
        <w:t>Miura</w:t>
      </w:r>
      <w:proofErr w:type="spellEnd"/>
      <w:r>
        <w:t xml:space="preserve"> и соавторы [</w:t>
      </w:r>
      <w:proofErr w:type="spellStart"/>
      <w:r>
        <w:t>Miura</w:t>
      </w:r>
      <w:proofErr w:type="spellEnd"/>
      <w:r>
        <w:t xml:space="preserve"> и др., 2020]. На выборке из 260 пациентов с сердечно-сосудистыми заболеваниями, проходивших CPET-тестирование, авторы обучили CNN на одноканальном ЭКГ (1000 Гц) и получили r=0,875 (</w:t>
      </w:r>
      <w:proofErr w:type="gramStart"/>
      <w:r>
        <w:t>p&lt;</w:t>
      </w:r>
      <w:proofErr w:type="gramEnd"/>
      <w:r>
        <w:t xml:space="preserve">0,001) между предсказанным и измеренным VT в тестовой когорте; смещение по </w:t>
      </w:r>
      <w:proofErr w:type="spellStart"/>
      <w:r>
        <w:t>Bland</w:t>
      </w:r>
      <w:proofErr w:type="spellEnd"/>
      <w:r>
        <w:t>–</w:t>
      </w:r>
      <w:proofErr w:type="spellStart"/>
      <w:r>
        <w:t>Altman</w:t>
      </w:r>
      <w:proofErr w:type="spellEnd"/>
      <w:r>
        <w:t xml:space="preserve"> составило −0,05 мл·кг⁻¹·мин⁻¹ (незначимо). Корреляция выше 0,7 сохранялась во всех </w:t>
      </w:r>
      <w:proofErr w:type="spellStart"/>
      <w:r>
        <w:t>субгруппах</w:t>
      </w:r>
      <w:proofErr w:type="spellEnd"/>
      <w:r>
        <w:t xml:space="preserve"> по полу, возрасту и диагнозу — модель обобщалась на гетерогенную популяцию. Принципиальное значение этой работы заключается в демонстрации применимости глубокого обучения для воспроизведения экспертной газоаналитической метки порога; ограничения — отличие популяции пациентов с ССЗ от здоровых тренированных спортсменов и одноканальная природа входа, уступающая </w:t>
      </w:r>
      <w:proofErr w:type="spellStart"/>
      <w:r>
        <w:t>мультимодальному</w:t>
      </w:r>
      <w:proofErr w:type="spellEnd"/>
      <w:r>
        <w:t xml:space="preserve"> стеку по информативности.</w:t>
      </w:r>
    </w:p>
    <w:p w14:paraId="1DEB6795" w14:textId="77777777" w:rsidR="00AD039F" w:rsidRDefault="00431EEE">
      <w:pPr>
        <w:ind w:firstLine="708"/>
        <w:jc w:val="both"/>
      </w:pPr>
      <w:r>
        <w:t xml:space="preserve">Альтернативой LSTM/GRU при предсказании метаболических переменных в реальном времени служат </w:t>
      </w:r>
      <w:proofErr w:type="spellStart"/>
      <w:r>
        <w:t>темпоральные</w:t>
      </w:r>
      <w:proofErr w:type="spellEnd"/>
      <w:r>
        <w:t xml:space="preserve"> </w:t>
      </w:r>
      <w:proofErr w:type="spellStart"/>
      <w:r>
        <w:t>свёрточные</w:t>
      </w:r>
      <w:proofErr w:type="spellEnd"/>
      <w:r>
        <w:t xml:space="preserve"> сети (TCN), основанные на каузальных свёртках с расширяющимися дилатациями. Здесь каузальные свёртки означают, что модель в каждый момент использует только текущее и прошлые значения сигнала, не заглядывая в будущее, а расширяющиеся дилатации позволяют охватывать всё более длинную историю без резкого роста числа параметров. </w:t>
      </w:r>
      <w:proofErr w:type="spellStart"/>
      <w:r>
        <w:t>Amelard</w:t>
      </w:r>
      <w:proofErr w:type="spellEnd"/>
      <w:r>
        <w:t xml:space="preserve"> и соавторы [</w:t>
      </w:r>
      <w:proofErr w:type="spellStart"/>
      <w:r>
        <w:t>Amelard</w:t>
      </w:r>
      <w:proofErr w:type="spellEnd"/>
      <w:r>
        <w:t xml:space="preserve"> и др., 2021] реализовали TCN-архитектуру для посекундного предсказания VO₂ из четырёх сигналов умной рубашки (ЧСС, резерв ЧСС, частота дыхания, минутная вентиляция) и мощности нагрузки у 22 участников на велоэргометре. Авторами было установлено, что оптимальная длина истории составляет 218 секунд, а при 187, 97 и 76 секундах отклонение модели от лучшей конфигурации не превышало 3% — TCN устойчива к выбору длины рецептивного поля. Точность модели достигла −22 мл/мин (95% CI [−262, 218]) по всем диапазонам интенсивности; классификация интенсивности (</w:t>
      </w:r>
      <w:proofErr w:type="spellStart"/>
      <w:r>
        <w:t>vigorous</w:t>
      </w:r>
      <w:proofErr w:type="spellEnd"/>
      <w:r>
        <w:t>/</w:t>
      </w:r>
      <w:proofErr w:type="spellStart"/>
      <w:r>
        <w:t>moderate</w:t>
      </w:r>
      <w:proofErr w:type="spellEnd"/>
      <w:r>
        <w:t>/</w:t>
      </w:r>
      <w:proofErr w:type="spellStart"/>
      <w:r>
        <w:t>light</w:t>
      </w:r>
      <w:proofErr w:type="spellEnd"/>
      <w:r>
        <w:t xml:space="preserve">) на основе предсказанного VO₂ — 94,1%. Прямое </w:t>
      </w:r>
      <w:r>
        <w:lastRenderedPageBreak/>
        <w:t xml:space="preserve">сравнение показало превосходство TCN над LSTM и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. Для задачи онлайн-</w:t>
      </w:r>
      <w:proofErr w:type="spellStart"/>
      <w:r>
        <w:t>детекции</w:t>
      </w:r>
      <w:proofErr w:type="spellEnd"/>
      <w:r>
        <w:t xml:space="preserve"> порога TCN обладает несколькими операционными преимуществами по сравнению с LSTM: параллельное обучение (быстрее за счёт отсутствия последовательных рекуррентных шагов), управляемое рецептивное поле (длина истории задаётся явно через дилатации), стабильный </w:t>
      </w:r>
      <w:proofErr w:type="spellStart"/>
      <w:r>
        <w:t>инференс</w:t>
      </w:r>
      <w:proofErr w:type="spellEnd"/>
      <w:r>
        <w:t xml:space="preserve"> без проблем затухающих градиентов. Классификация интенсивности по предсказанному VO₂ непосредственно параллельна задаче настоящей работы, в которой выходом модели является вероятность нахождения в зоне ниже LT1, между LT1 и LT2 либо выше LT2.</w:t>
      </w:r>
    </w:p>
    <w:p w14:paraId="6AF173E0" w14:textId="77777777" w:rsidR="00AD039F" w:rsidRDefault="00431EEE">
      <w:pPr>
        <w:ind w:firstLine="708"/>
        <w:jc w:val="both"/>
      </w:pPr>
      <w:r>
        <w:rPr>
          <w:i/>
        </w:rPr>
        <w:t xml:space="preserve">Концептуальный мост между сигнальной обработкой и глубоким обучением представляют </w:t>
      </w:r>
      <w:proofErr w:type="spellStart"/>
      <w:r>
        <w:rPr>
          <w:i/>
        </w:rPr>
        <w:t>вейвлетные</w:t>
      </w:r>
      <w:proofErr w:type="spellEnd"/>
      <w:r>
        <w:rPr>
          <w:i/>
        </w:rPr>
        <w:t xml:space="preserve"> нейронные сети (</w:t>
      </w:r>
      <w:proofErr w:type="spellStart"/>
      <w:r>
        <w:rPr>
          <w:i/>
        </w:rPr>
        <w:t>wavelet</w:t>
      </w:r>
      <w:proofErr w:type="spellEnd"/>
      <w:r>
        <w:rPr>
          <w:i/>
        </w:rPr>
        <w:t xml:space="preserve"> CNN). В этих архитектурах первый слой реализует обучаемое </w:t>
      </w:r>
      <w:proofErr w:type="spellStart"/>
      <w:r>
        <w:rPr>
          <w:i/>
        </w:rPr>
        <w:t>вейвлет</w:t>
      </w:r>
      <w:proofErr w:type="spellEnd"/>
      <w:r>
        <w:rPr>
          <w:i/>
        </w:rPr>
        <w:t xml:space="preserve">-преобразование: фильтры, инициализированные как фиксированный базис (например, db6), оптимизируются вместе с остальными параметрами сети под задачу. Тем самым, модель самостоятельно подбирает оптимальный частотный базис для конкретной классификационной или регрессионной задачи, что устраняет произвольность выбора базиса в классической DWT-предобработке. </w:t>
      </w:r>
      <w:proofErr w:type="spellStart"/>
      <w:r>
        <w:rPr>
          <w:i/>
        </w:rPr>
        <w:t>Tsinganos</w:t>
      </w:r>
      <w:proofErr w:type="spellEnd"/>
      <w:r>
        <w:rPr>
          <w:i/>
        </w:rPr>
        <w:t xml:space="preserve"> и соавторы [</w:t>
      </w:r>
      <w:proofErr w:type="spellStart"/>
      <w:r>
        <w:rPr>
          <w:i/>
        </w:rPr>
        <w:t>Tsinganos</w:t>
      </w:r>
      <w:proofErr w:type="spellEnd"/>
      <w:r>
        <w:rPr>
          <w:i/>
        </w:rPr>
        <w:t xml:space="preserve"> и др., 2020] хотя и не применяли </w:t>
      </w:r>
      <w:proofErr w:type="spellStart"/>
      <w:r>
        <w:rPr>
          <w:i/>
        </w:rPr>
        <w:t>wavelet</w:t>
      </w:r>
      <w:proofErr w:type="spellEnd"/>
      <w:r>
        <w:rPr>
          <w:i/>
        </w:rPr>
        <w:t xml:space="preserve"> CNN в чистом виде, использовали </w:t>
      </w:r>
      <w:proofErr w:type="spellStart"/>
      <w:r>
        <w:rPr>
          <w:i/>
        </w:rPr>
        <w:t>wavelet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decomposition</w:t>
      </w:r>
      <w:proofErr w:type="spellEnd"/>
      <w:r>
        <w:rPr>
          <w:i/>
        </w:rPr>
        <w:t xml:space="preserve"> как технику аугментации при обучении CNN на ЭМГ и получили прирост точности до +16% — что косвенно подтверждает эффективность </w:t>
      </w:r>
      <w:proofErr w:type="spellStart"/>
      <w:r>
        <w:rPr>
          <w:i/>
        </w:rPr>
        <w:t>вейвлетных</w:t>
      </w:r>
      <w:proofErr w:type="spellEnd"/>
      <w:r>
        <w:rPr>
          <w:i/>
        </w:rPr>
        <w:t xml:space="preserve"> представлений в архитектурах глубокого обучения. При многоканальной записи (например, четыре канала ЭМГ </w:t>
      </w:r>
      <w:proofErr w:type="spellStart"/>
      <w:r>
        <w:rPr>
          <w:i/>
        </w:rPr>
        <w:t>Delsys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Trigno</w:t>
      </w:r>
      <w:proofErr w:type="spellEnd"/>
      <w:r>
        <w:rPr>
          <w:i/>
        </w:rPr>
        <w:t xml:space="preserve"> на VL и четыре канала на RF) двумерная свёртка по пространству электродов и времени способна выучивать совместные </w:t>
      </w:r>
      <w:proofErr w:type="spellStart"/>
      <w:r>
        <w:rPr>
          <w:i/>
        </w:rPr>
        <w:t>пространственно-временны́е</w:t>
      </w:r>
      <w:proofErr w:type="spellEnd"/>
      <w:r>
        <w:rPr>
          <w:i/>
        </w:rPr>
        <w:t xml:space="preserve"> паттерны активации, что представляет потенциальное расширение настоящего исследования.</w:t>
      </w:r>
    </w:p>
    <w:p w14:paraId="4BF753C8" w14:textId="77777777" w:rsidR="00AD039F" w:rsidRDefault="00431EEE">
      <w:pPr>
        <w:ind w:firstLine="708"/>
        <w:jc w:val="both"/>
      </w:pPr>
      <w:r>
        <w:t xml:space="preserve">При размере выборки 30–40 субъектов глубокие архитектуры (LSTM, TCN) несут более высокий риск переобучения, чем ансамблевые методы на ручных признаках; </w:t>
      </w:r>
      <w:proofErr w:type="spellStart"/>
      <w:r>
        <w:t>Amelard</w:t>
      </w:r>
      <w:proofErr w:type="spellEnd"/>
      <w:r>
        <w:t xml:space="preserve"> и соавторы [</w:t>
      </w:r>
      <w:proofErr w:type="spellStart"/>
      <w:r>
        <w:t>Amelard</w:t>
      </w:r>
      <w:proofErr w:type="spellEnd"/>
      <w:r>
        <w:t xml:space="preserve"> и др., 2021] успешно </w:t>
      </w:r>
      <w:r>
        <w:lastRenderedPageBreak/>
        <w:t xml:space="preserve">применили TCN при n=22, однако их входные данные включали метаболические сигналы (минутная вентиляция, дыхательный объём), недоступные в полевых условиях настоящего исследования. Сбалансированный выбор архитектуры, таким образом, определяется размером </w:t>
      </w:r>
      <w:proofErr w:type="spellStart"/>
      <w:r>
        <w:t>датасета</w:t>
      </w:r>
      <w:proofErr w:type="spellEnd"/>
      <w:r>
        <w:t xml:space="preserve">, доступностью входных каналов и интерпретационными требованиями: для основного результата диссертации представляется обоснованным использование </w:t>
      </w:r>
      <w:proofErr w:type="spellStart"/>
      <w:r>
        <w:t>baseline</w:t>
      </w:r>
      <w:proofErr w:type="spellEnd"/>
      <w:r>
        <w:t>-моделей RF/</w:t>
      </w:r>
      <w:proofErr w:type="spellStart"/>
      <w:r>
        <w:t>XGBoost</w:t>
      </w:r>
      <w:proofErr w:type="spellEnd"/>
      <w:r>
        <w:t xml:space="preserve"> на ручных признаках с SHAP-анализом, тогда как TCN рассматривается как направление расширенного эксперимента, предполагающего возможное последующее увеличение выборки.</w:t>
      </w:r>
    </w:p>
    <w:p w14:paraId="6A55FFC9" w14:textId="77777777" w:rsidR="00AD039F" w:rsidRDefault="00431EEE">
      <w:pPr>
        <w:spacing w:before="200" w:after="120"/>
      </w:pPr>
      <w:r>
        <w:rPr>
          <w:b/>
          <w:bCs/>
          <w:i/>
          <w:iCs/>
        </w:rPr>
        <w:t xml:space="preserve">2.6.3 Обучение при малых </w:t>
      </w:r>
      <w:proofErr w:type="spellStart"/>
      <w:r>
        <w:rPr>
          <w:b/>
          <w:bCs/>
          <w:i/>
          <w:iCs/>
        </w:rPr>
        <w:t>датасетах</w:t>
      </w:r>
      <w:proofErr w:type="spellEnd"/>
      <w:r>
        <w:rPr>
          <w:b/>
          <w:bCs/>
          <w:i/>
          <w:iCs/>
        </w:rPr>
        <w:t xml:space="preserve"> и стратегии </w:t>
      </w:r>
      <w:proofErr w:type="spellStart"/>
      <w:r>
        <w:rPr>
          <w:b/>
          <w:bCs/>
          <w:i/>
          <w:iCs/>
        </w:rPr>
        <w:t>валидации</w:t>
      </w:r>
      <w:proofErr w:type="spellEnd"/>
    </w:p>
    <w:p w14:paraId="0042C3F3" w14:textId="77777777" w:rsidR="00AD039F" w:rsidRDefault="00431EEE">
      <w:pPr>
        <w:ind w:firstLine="708"/>
        <w:jc w:val="both"/>
      </w:pPr>
      <w:r>
        <w:t xml:space="preserve">В спортивной физиологии большинство исследований ограничены 10–40 субъектами вследствие трудоёмкости протоколов нагрузочного тестирования, инвазивного характера </w:t>
      </w:r>
      <w:proofErr w:type="spellStart"/>
      <w:r>
        <w:t>лактатного</w:t>
      </w:r>
      <w:proofErr w:type="spellEnd"/>
      <w:r>
        <w:t xml:space="preserve"> анализа и стоимости специализированного оборудования (метаболические анализаторы, многоканальные ЭМГ-системы, NIRS). Настоящее исследование с n=30–40 находится в характерном для области диапазоне. При малом числе испытуемых и большом числе извлекаемых признаков возрастает риск переобучения модели на особенностях конкретной выборки; поэтому особое значение приобретают выбор архитектуры, схема </w:t>
      </w:r>
      <w:proofErr w:type="spellStart"/>
      <w:r>
        <w:t>валидации</w:t>
      </w:r>
      <w:proofErr w:type="spellEnd"/>
      <w:r>
        <w:t xml:space="preserve"> и допустимые способы расширения обучающего набора.</w:t>
      </w:r>
    </w:p>
    <w:p w14:paraId="1C63F368" w14:textId="77777777" w:rsidR="00AD039F" w:rsidRDefault="00431EEE">
      <w:pPr>
        <w:ind w:firstLine="708"/>
        <w:jc w:val="both"/>
      </w:pPr>
      <w:r>
        <w:t>При оценке обобщающей способности модели при малых n обычная k-</w:t>
      </w:r>
      <w:proofErr w:type="spellStart"/>
      <w:r>
        <w:t>fold</w:t>
      </w:r>
      <w:proofErr w:type="spellEnd"/>
      <w:r>
        <w:t xml:space="preserve"> кросс-</w:t>
      </w:r>
      <w:proofErr w:type="spellStart"/>
      <w:r>
        <w:t>валидация</w:t>
      </w:r>
      <w:proofErr w:type="spellEnd"/>
      <w:r>
        <w:t xml:space="preserve"> приводит к утечке данных: </w:t>
      </w:r>
      <w:proofErr w:type="spellStart"/>
      <w:r>
        <w:t>временны́е</w:t>
      </w:r>
      <w:proofErr w:type="spellEnd"/>
      <w:r>
        <w:t xml:space="preserve"> сегменты одного субъекта могут одновременно оказаться в обучающей и тестовой </w:t>
      </w:r>
      <w:proofErr w:type="spellStart"/>
      <w:r>
        <w:t>подвыборках</w:t>
      </w:r>
      <w:proofErr w:type="spellEnd"/>
      <w:r>
        <w:t xml:space="preserve">, что искусственно завышает оцениваемое качество. В этом случае тестовая </w:t>
      </w:r>
      <w:proofErr w:type="spellStart"/>
      <w:r>
        <w:t>подвыборка</w:t>
      </w:r>
      <w:proofErr w:type="spellEnd"/>
      <w:r>
        <w:t xml:space="preserve"> уже не является независимой: модель может опираться на индивидуальные особенности сигнала того же испытуемого, а не демонстрировать переносимость на нового человека. Единственный корректный метод оценки </w:t>
      </w:r>
      <w:proofErr w:type="spellStart"/>
      <w:r>
        <w:t>обобщаемости</w:t>
      </w:r>
      <w:proofErr w:type="spellEnd"/>
      <w:r>
        <w:t xml:space="preserve"> на новых субъектах в данном </w:t>
      </w:r>
      <w:r>
        <w:lastRenderedPageBreak/>
        <w:t xml:space="preserve">контексте — </w:t>
      </w:r>
      <w:proofErr w:type="spellStart"/>
      <w:r>
        <w:t>Leave-One-Subject-Out</w:t>
      </w:r>
      <w:proofErr w:type="spellEnd"/>
      <w:r>
        <w:t xml:space="preserve"> (LOSO): на каждой итерации модель обучается на n−1 субъектах и тестируется на одном оставленном. </w:t>
      </w:r>
      <w:proofErr w:type="spellStart"/>
      <w:r>
        <w:t>Rodu</w:t>
      </w:r>
      <w:proofErr w:type="spellEnd"/>
      <w:r>
        <w:t xml:space="preserve"> и соавторы [</w:t>
      </w:r>
      <w:proofErr w:type="spellStart"/>
      <w:r>
        <w:t>Rodu</w:t>
      </w:r>
      <w:proofErr w:type="spellEnd"/>
      <w:r>
        <w:t xml:space="preserve"> и др., 2024] прямо подчёркивают, что </w:t>
      </w:r>
      <w:proofErr w:type="spellStart"/>
      <w:r>
        <w:t>невалидированные</w:t>
      </w:r>
      <w:proofErr w:type="spellEnd"/>
      <w:r>
        <w:t xml:space="preserve"> ML-результаты в спортивной науке нередко отражают «запоминание» обучающей выборки, а не реальную предсказательную силу, и требуют осторожной интерпретации. При n=30–40 LOSO обеспечивает 30–40 независимых тестовых оценок, что достаточно для статистически интерпретируемой агрегированной метрики и для построения доверительных интервалов с использованием </w:t>
      </w:r>
      <w:proofErr w:type="spellStart"/>
      <w:r>
        <w:t>bootstrap</w:t>
      </w:r>
      <w:proofErr w:type="spellEnd"/>
      <w:r>
        <w:t xml:space="preserve"> или непараметрических методов.</w:t>
      </w:r>
    </w:p>
    <w:p w14:paraId="417DA41D" w14:textId="77777777" w:rsidR="00AD039F" w:rsidRDefault="00431EEE">
      <w:pPr>
        <w:ind w:firstLine="708"/>
        <w:jc w:val="both"/>
      </w:pPr>
      <w:r>
        <w:t xml:space="preserve">Стратегии аугментации обучающих данных, то есть искусственного создания дополнительных вариантов уже записанных сигналов, позволяют отчасти компенсировать малый размер выборки. </w:t>
      </w:r>
      <w:proofErr w:type="spellStart"/>
      <w:r>
        <w:t>Tsinganos</w:t>
      </w:r>
      <w:proofErr w:type="spellEnd"/>
      <w:r>
        <w:t xml:space="preserve"> и соавторы [</w:t>
      </w:r>
      <w:proofErr w:type="spellStart"/>
      <w:r>
        <w:t>Tsinganos</w:t>
      </w:r>
      <w:proofErr w:type="spellEnd"/>
      <w:r>
        <w:t xml:space="preserve"> и др., 2020] систематически оценили техники аугментации ЭМГ и установили, что методы структурной модификации сигнала — плавная деформация амплитуды во времени (</w:t>
      </w:r>
      <w:proofErr w:type="spellStart"/>
      <w:r>
        <w:t>magnitude</w:t>
      </w:r>
      <w:proofErr w:type="spellEnd"/>
      <w:r>
        <w:t xml:space="preserve"> </w:t>
      </w:r>
      <w:proofErr w:type="spellStart"/>
      <w:r>
        <w:t>warping</w:t>
      </w:r>
      <w:proofErr w:type="spellEnd"/>
      <w:r>
        <w:t xml:space="preserve">) и </w:t>
      </w:r>
      <w:proofErr w:type="spellStart"/>
      <w:r>
        <w:t>вейвлетное</w:t>
      </w:r>
      <w:proofErr w:type="spellEnd"/>
      <w:r>
        <w:t xml:space="preserve"> разложение (</w:t>
      </w:r>
      <w:proofErr w:type="spellStart"/>
      <w:r>
        <w:t>wavelet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) — обеспечивают прирост точности классификации до +16% на двух эталонных </w:t>
      </w:r>
      <w:proofErr w:type="spellStart"/>
      <w:r>
        <w:t>датасетах</w:t>
      </w:r>
      <w:proofErr w:type="spellEnd"/>
      <w:r>
        <w:t xml:space="preserve">, тогда как простое аддитивное зашумление и использование перекрывающихся окон дают значительно меньший выигрыш. Принципиальным методологическим ограничением является то, что аугментация выполняется в пределах одного субъекта обучающей выборки: синтетические </w:t>
      </w:r>
      <w:proofErr w:type="spellStart"/>
      <w:r>
        <w:t>сэмплы</w:t>
      </w:r>
      <w:proofErr w:type="spellEnd"/>
      <w:r>
        <w:t xml:space="preserve"> наследуют индивидуальные паттерны и не вносят новой </w:t>
      </w:r>
      <w:proofErr w:type="spellStart"/>
      <w:r>
        <w:t>межсубъектной</w:t>
      </w:r>
      <w:proofErr w:type="spellEnd"/>
      <w:r>
        <w:t xml:space="preserve"> вариабельности. Из этого следует, что аугментация не отменяет необходимости LOSO-</w:t>
      </w:r>
      <w:proofErr w:type="spellStart"/>
      <w:r>
        <w:t>валидации</w:t>
      </w:r>
      <w:proofErr w:type="spellEnd"/>
      <w:r>
        <w:t xml:space="preserve"> — напротив, она применима только к тренировочному </w:t>
      </w:r>
      <w:proofErr w:type="spellStart"/>
      <w:r>
        <w:t>фолду</w:t>
      </w:r>
      <w:proofErr w:type="spellEnd"/>
      <w:r>
        <w:t xml:space="preserve">, тогда как тестовый </w:t>
      </w:r>
      <w:proofErr w:type="spellStart"/>
      <w:r>
        <w:t>фолд</w:t>
      </w:r>
      <w:proofErr w:type="spellEnd"/>
      <w:r>
        <w:t xml:space="preserve"> (оставляемый субъект) во избежание утечки сигнала всегда остаётся нетронутым.</w:t>
      </w:r>
    </w:p>
    <w:p w14:paraId="0C0DD1C4" w14:textId="77777777" w:rsidR="00AD039F" w:rsidRDefault="00431EEE">
      <w:pPr>
        <w:ind w:firstLine="708"/>
        <w:jc w:val="both"/>
      </w:pPr>
      <w:r>
        <w:t xml:space="preserve">Выбор класса модели при ограниченных данных подчиняется компромиссу между выразительностью и риском переобучения. При </w:t>
      </w:r>
      <w:proofErr w:type="gramStart"/>
      <w:r>
        <w:t>n&lt;</w:t>
      </w:r>
      <w:proofErr w:type="gramEnd"/>
      <w:r>
        <w:t>50 субъектов ансамблевые методы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) в качестве основной модели обычно предпочтительнее глубоких нейронных </w:t>
      </w:r>
      <w:r>
        <w:lastRenderedPageBreak/>
        <w:t xml:space="preserve">сетей: меньшее число параметров снижает риск переобучения, а древовидная структура обеспечивает интерпретируемость через SHAP-анализ. Дополнительным преимуществом являются низкие вычислительные затраты обучения и </w:t>
      </w:r>
      <w:proofErr w:type="spellStart"/>
      <w:r>
        <w:t>инференса</w:t>
      </w:r>
      <w:proofErr w:type="spellEnd"/>
      <w:r>
        <w:t xml:space="preserve">, что существенно для онлайн-применения. </w:t>
      </w:r>
      <w:proofErr w:type="spellStart"/>
      <w:r>
        <w:t>Tomaszewski</w:t>
      </w:r>
      <w:proofErr w:type="spellEnd"/>
      <w:r>
        <w:t xml:space="preserve"> и </w:t>
      </w:r>
      <w:proofErr w:type="spellStart"/>
      <w:r>
        <w:t>Majorczyk</w:t>
      </w:r>
      <w:proofErr w:type="spellEnd"/>
      <w:r>
        <w:t xml:space="preserve"> [2024] достигли R²=0,803 для предсказания </w:t>
      </w:r>
      <w:proofErr w:type="spellStart"/>
      <w:r>
        <w:t>AnT</w:t>
      </w:r>
      <w:proofErr w:type="spellEnd"/>
      <w:r>
        <w:t xml:space="preserve"> с помощью </w:t>
      </w:r>
      <w:proofErr w:type="spellStart"/>
      <w:r>
        <w:t>LightGBM</w:t>
      </w:r>
      <w:proofErr w:type="spellEnd"/>
      <w:r>
        <w:t xml:space="preserve"> на 183 субъектах, и аналогичные результаты с RF/</w:t>
      </w:r>
      <w:proofErr w:type="spellStart"/>
      <w:r>
        <w:t>XGBoost</w:t>
      </w:r>
      <w:proofErr w:type="spellEnd"/>
      <w:r>
        <w:t xml:space="preserve"> на меньших выборках задокументированы в смежных работах [</w:t>
      </w:r>
      <w:proofErr w:type="spellStart"/>
      <w:r>
        <w:t>Tomaszewski</w:t>
      </w:r>
      <w:proofErr w:type="spellEnd"/>
      <w:r>
        <w:t xml:space="preserve">, </w:t>
      </w:r>
      <w:proofErr w:type="spellStart"/>
      <w:r>
        <w:t>Majorczyk</w:t>
      </w:r>
      <w:proofErr w:type="spellEnd"/>
      <w:r>
        <w:t xml:space="preserve">, 2024]. Параллельно </w:t>
      </w:r>
      <w:proofErr w:type="spellStart"/>
      <w:r>
        <w:t>Zeng</w:t>
      </w:r>
      <w:proofErr w:type="spellEnd"/>
      <w:r>
        <w:t xml:space="preserve"> и соавторы [</w:t>
      </w:r>
      <w:proofErr w:type="spellStart"/>
      <w:r>
        <w:t>Zeng</w:t>
      </w:r>
      <w:proofErr w:type="spellEnd"/>
      <w:r>
        <w:t xml:space="preserve"> и др., 2022] показали, что облегчённая RNN-модель на 26 отобранных признаках сопоставима с полной версией на всех 89 признаках; это подчёркивает важность предварительного отбора информативных признаков при ограниченных данных. </w:t>
      </w:r>
      <w:proofErr w:type="spellStart"/>
      <w:r>
        <w:t>Rodu</w:t>
      </w:r>
      <w:proofErr w:type="spellEnd"/>
      <w:r>
        <w:t xml:space="preserve"> и соавторы [</w:t>
      </w:r>
      <w:proofErr w:type="spellStart"/>
      <w:r>
        <w:t>Rodu</w:t>
      </w:r>
      <w:proofErr w:type="spellEnd"/>
      <w:r>
        <w:t xml:space="preserve"> и др., 2024] рекомендуют начинать ML-исследование в спорте с интерпретируемых моделей и переходить к более сложным только при доказанной нехватке выразительной способности у </w:t>
      </w:r>
      <w:proofErr w:type="spellStart"/>
      <w:r>
        <w:t>baseline</w:t>
      </w:r>
      <w:proofErr w:type="spellEnd"/>
      <w:r>
        <w:t>.</w:t>
      </w:r>
    </w:p>
    <w:p w14:paraId="09350EE5" w14:textId="77777777" w:rsidR="00AD039F" w:rsidRDefault="00431EEE">
      <w:pPr>
        <w:ind w:firstLine="708"/>
        <w:jc w:val="both"/>
      </w:pPr>
      <w:r>
        <w:rPr>
          <w:i/>
          <w:iCs/>
        </w:rPr>
        <w:t xml:space="preserve">Специфических рекомендаций по комбинированным стратегиям аугментации (в том числе </w:t>
      </w:r>
      <w:proofErr w:type="spellStart"/>
      <w:r>
        <w:rPr>
          <w:i/>
          <w:iCs/>
        </w:rPr>
        <w:t>вейвлетной</w:t>
      </w:r>
      <w:proofErr w:type="spellEnd"/>
      <w:r>
        <w:rPr>
          <w:i/>
          <w:iCs/>
        </w:rPr>
        <w:t xml:space="preserve">) и </w:t>
      </w:r>
      <w:proofErr w:type="spellStart"/>
      <w:r>
        <w:rPr>
          <w:i/>
          <w:iCs/>
        </w:rPr>
        <w:t>валидации</w:t>
      </w:r>
      <w:proofErr w:type="spellEnd"/>
      <w:r>
        <w:rPr>
          <w:i/>
          <w:iCs/>
        </w:rPr>
        <w:t xml:space="preserve"> (LOSO) для задачи </w:t>
      </w:r>
      <w:proofErr w:type="spellStart"/>
      <w:r>
        <w:rPr>
          <w:i/>
          <w:iCs/>
        </w:rPr>
        <w:t>детекции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лактатного</w:t>
      </w:r>
      <w:proofErr w:type="spellEnd"/>
      <w:r>
        <w:rPr>
          <w:i/>
          <w:iCs/>
        </w:rPr>
        <w:t xml:space="preserve"> порога по </w:t>
      </w:r>
      <w:proofErr w:type="spellStart"/>
      <w:r>
        <w:rPr>
          <w:i/>
          <w:iCs/>
        </w:rPr>
        <w:t>мультимодальным</w:t>
      </w:r>
      <w:proofErr w:type="spellEnd"/>
      <w:r>
        <w:rPr>
          <w:i/>
          <w:iCs/>
        </w:rPr>
        <w:t xml:space="preserve"> сигналам ЭМГ + NIRS + HRV при n~30–40 в литературе не представлено. Настоящая работа является одной из первых, системно применяющих LOSO-</w:t>
      </w:r>
      <w:proofErr w:type="spellStart"/>
      <w:r>
        <w:rPr>
          <w:i/>
          <w:iCs/>
        </w:rPr>
        <w:t>валидацию</w:t>
      </w:r>
      <w:proofErr w:type="spellEnd"/>
      <w:r>
        <w:rPr>
          <w:i/>
          <w:iCs/>
        </w:rPr>
        <w:t xml:space="preserve"> совместно с </w:t>
      </w:r>
      <w:proofErr w:type="spellStart"/>
      <w:r>
        <w:rPr>
          <w:i/>
          <w:iCs/>
        </w:rPr>
        <w:t>вейвлетной</w:t>
      </w:r>
      <w:proofErr w:type="spellEnd"/>
      <w:r>
        <w:rPr>
          <w:i/>
          <w:iCs/>
        </w:rPr>
        <w:t xml:space="preserve"> аугментацией ЭМГ в физиологическом контексте предсказания обоих порогов аэробно-анаэробного перехода у тренированных </w:t>
      </w:r>
      <w:proofErr w:type="spellStart"/>
      <w:r>
        <w:rPr>
          <w:i/>
          <w:iCs/>
        </w:rPr>
        <w:t>триатлонистов</w:t>
      </w:r>
      <w:proofErr w:type="spellEnd"/>
      <w:r>
        <w:rPr>
          <w:i/>
          <w:iCs/>
        </w:rPr>
        <w:t>.</w:t>
      </w:r>
    </w:p>
    <w:p w14:paraId="53890DA1" w14:textId="77777777" w:rsidR="00AD039F" w:rsidRDefault="00431EEE">
      <w:pPr>
        <w:spacing w:before="200" w:after="120"/>
      </w:pPr>
      <w:r>
        <w:rPr>
          <w:b/>
          <w:bCs/>
          <w:i/>
          <w:iCs/>
        </w:rPr>
        <w:t xml:space="preserve">2.6.4 </w:t>
      </w:r>
      <w:proofErr w:type="spellStart"/>
      <w:r>
        <w:rPr>
          <w:b/>
          <w:bCs/>
          <w:i/>
          <w:iCs/>
        </w:rPr>
        <w:t>Gap</w:t>
      </w:r>
      <w:proofErr w:type="spellEnd"/>
      <w:r>
        <w:rPr>
          <w:b/>
          <w:bCs/>
          <w:i/>
          <w:iCs/>
        </w:rPr>
        <w:t xml:space="preserve">: </w:t>
      </w:r>
      <w:proofErr w:type="spellStart"/>
      <w:r>
        <w:rPr>
          <w:b/>
          <w:bCs/>
          <w:i/>
          <w:iCs/>
        </w:rPr>
        <w:t>мультимодальные</w:t>
      </w:r>
      <w:proofErr w:type="spellEnd"/>
      <w:r>
        <w:rPr>
          <w:b/>
          <w:bCs/>
          <w:i/>
          <w:iCs/>
        </w:rPr>
        <w:t xml:space="preserve"> онлайн-системы</w:t>
      </w:r>
    </w:p>
    <w:p w14:paraId="4BDCBA4C" w14:textId="77777777" w:rsidR="00AD039F" w:rsidRDefault="00431EEE">
      <w:pPr>
        <w:ind w:firstLine="708"/>
        <w:jc w:val="both"/>
      </w:pPr>
      <w:r>
        <w:rPr>
          <w:b/>
        </w:rPr>
        <w:t xml:space="preserve">В существующей литературе не представлено ни одной системы, одновременно объединяющей поверхностную электромиографию (ЭМГ), мышечную ближнюю инфракрасную спектроскопию (NIRS) и вариабельность сердечного ритма, представленную показателем DFA-α1, в единый алгоритм онлайн-предсказания обоих порогов — LT1 и LT2 — </w:t>
      </w:r>
      <w:r>
        <w:rPr>
          <w:b/>
        </w:rPr>
        <w:lastRenderedPageBreak/>
        <w:t xml:space="preserve">в скользящем окне в ходе ступенчатого нагрузочного теста. Прямым подтверждением этого разрыва служит работа </w:t>
      </w:r>
      <w:proofErr w:type="spellStart"/>
      <w:r>
        <w:rPr>
          <w:b/>
        </w:rPr>
        <w:t>Kimoto</w:t>
      </w:r>
      <w:proofErr w:type="spellEnd"/>
      <w:r>
        <w:rPr>
          <w:b/>
        </w:rPr>
        <w:t xml:space="preserve"> и соавторов [</w:t>
      </w:r>
      <w:proofErr w:type="spellStart"/>
      <w:r>
        <w:rPr>
          <w:b/>
        </w:rPr>
        <w:t>Kimoto</w:t>
      </w:r>
      <w:proofErr w:type="spellEnd"/>
      <w:r>
        <w:rPr>
          <w:b/>
        </w:rPr>
        <w:t xml:space="preserve"> и др., 2023], в которой описан беспроводной многослойный датчик, объединяющий ЭМГ, </w:t>
      </w:r>
      <w:proofErr w:type="spellStart"/>
      <w:r>
        <w:rPr>
          <w:b/>
        </w:rPr>
        <w:t>механомиограмму</w:t>
      </w:r>
      <w:proofErr w:type="spellEnd"/>
      <w:r>
        <w:rPr>
          <w:b/>
        </w:rPr>
        <w:t xml:space="preserve"> (MMG) и NIRS на одной точке </w:t>
      </w:r>
      <w:r>
        <w:rPr>
          <w:b/>
          <w:i/>
        </w:rPr>
        <w:t xml:space="preserve">m. </w:t>
      </w:r>
      <w:proofErr w:type="spellStart"/>
      <w:r>
        <w:rPr>
          <w:b/>
          <w:i/>
        </w:rPr>
        <w:t>vastus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lateralis</w:t>
      </w:r>
      <w:proofErr w:type="spellEnd"/>
      <w:r>
        <w:rPr>
          <w:b/>
        </w:rPr>
        <w:t xml:space="preserve"> при велоэргометрии: авторы прямо констатируют в абстракте, что </w:t>
      </w:r>
      <w:proofErr w:type="spellStart"/>
      <w:r>
        <w:rPr>
          <w:b/>
        </w:rPr>
        <w:t>детекция</w:t>
      </w:r>
      <w:proofErr w:type="spellEnd"/>
      <w:r>
        <w:rPr>
          <w:b/>
        </w:rPr>
        <w:t xml:space="preserve"> анаэробного порога по комбинированным мультисенсорным данным «явно не решена» — техническая платформа существует, тогда как алгоритм онлайн-</w:t>
      </w:r>
      <w:proofErr w:type="spellStart"/>
      <w:r>
        <w:rPr>
          <w:b/>
        </w:rPr>
        <w:t>детекции</w:t>
      </w:r>
      <w:proofErr w:type="spellEnd"/>
      <w:r>
        <w:rPr>
          <w:b/>
        </w:rPr>
        <w:t xml:space="preserve"> порога по такого рода </w:t>
      </w:r>
      <w:proofErr w:type="spellStart"/>
      <w:r>
        <w:rPr>
          <w:b/>
        </w:rPr>
        <w:t>мультимодальным</w:t>
      </w:r>
      <w:proofErr w:type="spellEnd"/>
      <w:r>
        <w:rPr>
          <w:b/>
        </w:rPr>
        <w:t xml:space="preserve"> сигналам остаётся открытой задачей. Именно это отсутствие определяет актуальность и новизну настоящей диссертационной работы.</w:t>
      </w:r>
    </w:p>
    <w:p w14:paraId="6DE3C328" w14:textId="77777777" w:rsidR="00AD039F" w:rsidRDefault="00431EEE">
      <w:pPr>
        <w:spacing w:before="240" w:after="120"/>
      </w:pPr>
      <w:r>
        <w:rPr>
          <w:b/>
          <w:bCs/>
        </w:rPr>
        <w:t xml:space="preserve">2.7 Физиологические особенности </w:t>
      </w:r>
      <w:proofErr w:type="spellStart"/>
      <w:r>
        <w:rPr>
          <w:b/>
          <w:bCs/>
        </w:rPr>
        <w:t>триатлонистов</w:t>
      </w:r>
      <w:proofErr w:type="spellEnd"/>
      <w:r>
        <w:rPr>
          <w:b/>
          <w:bCs/>
        </w:rPr>
        <w:t xml:space="preserve"> при </w:t>
      </w:r>
      <w:proofErr w:type="spellStart"/>
      <w:r>
        <w:rPr>
          <w:b/>
          <w:bCs/>
        </w:rPr>
        <w:t>велоэргометрическом</w:t>
      </w:r>
      <w:proofErr w:type="spellEnd"/>
      <w:r>
        <w:rPr>
          <w:b/>
          <w:bCs/>
        </w:rPr>
        <w:t xml:space="preserve"> тестировании</w:t>
      </w:r>
    </w:p>
    <w:p w14:paraId="55C2D5A8" w14:textId="77777777" w:rsidR="00AD039F" w:rsidRDefault="00431EEE">
      <w:pPr>
        <w:ind w:firstLine="708"/>
        <w:jc w:val="both"/>
      </w:pPr>
      <w:proofErr w:type="spellStart"/>
      <w:r>
        <w:t>Триатлонисты</w:t>
      </w:r>
      <w:proofErr w:type="spellEnd"/>
      <w:r>
        <w:t xml:space="preserve"> представляют собой популяцию с высокой аэробной ёмкостью, тренирующую три вида на выносливость и располагающую хорошо развитыми центральными и периферическими механизмами адаптации к нагрузке. Разнородность выборки (любители + профессионалы) обеспечивает широкий диапазон физиологических параметров, что принципиально важно для обучения ML-модели: модель должна быть инвариантна к абсолютным значениям мощности на пороге и работать с нормализованными признаками.</w:t>
      </w:r>
    </w:p>
    <w:p w14:paraId="2E8B7F40" w14:textId="77777777" w:rsidR="00AD039F" w:rsidRDefault="00431EEE">
      <w:pPr>
        <w:ind w:firstLine="708"/>
        <w:jc w:val="both"/>
      </w:pPr>
      <w:r>
        <w:t>Согласно доменным характеристикам популяции данного исследования, для любителей-</w:t>
      </w:r>
      <w:proofErr w:type="spellStart"/>
      <w:r>
        <w:t>триатлонистов</w:t>
      </w:r>
      <w:proofErr w:type="spellEnd"/>
      <w:r>
        <w:t xml:space="preserve"> типичны значения VT1 в диапазоне 150–220 Вт и VT2 — 200–280 Вт при велоэргометрии, тогда как профессионалы демонстрируют VT1 220–300 Вт и VT2 290–380 Вт. </w:t>
      </w:r>
      <w:proofErr w:type="spellStart"/>
      <w:r>
        <w:t>Референсные</w:t>
      </w:r>
      <w:proofErr w:type="spellEnd"/>
      <w:r>
        <w:t xml:space="preserve"> нормы мощности на LT2 для популяции, разработанные </w:t>
      </w:r>
      <w:proofErr w:type="spellStart"/>
      <w:r>
        <w:t>Fiedler</w:t>
      </w:r>
      <w:proofErr w:type="spellEnd"/>
      <w:r>
        <w:t xml:space="preserve"> и </w:t>
      </w:r>
      <w:proofErr w:type="spellStart"/>
      <w:r>
        <w:t>Woll</w:t>
      </w:r>
      <w:proofErr w:type="spellEnd"/>
      <w:r>
        <w:t xml:space="preserve"> [2025] на базе репрезентативного немецкого исследования DEGS1, подтверждают выраженную зависимость порога от тренировочного статуса и пола. Метаболическая модель </w:t>
      </w:r>
      <w:proofErr w:type="spellStart"/>
      <w:r>
        <w:t>Fischer</w:t>
      </w:r>
      <w:proofErr w:type="spellEnd"/>
      <w:r>
        <w:t xml:space="preserve"> и </w:t>
      </w:r>
      <w:proofErr w:type="spellStart"/>
      <w:r>
        <w:t>Hävecker</w:t>
      </w:r>
      <w:proofErr w:type="spellEnd"/>
      <w:r>
        <w:t xml:space="preserve"> [2025] показывает, что </w:t>
      </w:r>
      <w:proofErr w:type="spellStart"/>
      <w:r>
        <w:t>VO₂peak</w:t>
      </w:r>
      <w:proofErr w:type="spellEnd"/>
      <w:r>
        <w:t xml:space="preserve"> вносит наибольший вклад в мощность на LT2 (62–67% R²), что согласуется с </w:t>
      </w:r>
      <w:r>
        <w:lastRenderedPageBreak/>
        <w:t>общей физиологией: чем выше аэробная ёмкость, тем при более высокой абсолютной мощности наступает порог.</w:t>
      </w:r>
    </w:p>
    <w:p w14:paraId="389D7F56" w14:textId="77777777" w:rsidR="00AD039F" w:rsidRDefault="00431EEE">
      <w:pPr>
        <w:ind w:firstLine="708"/>
        <w:jc w:val="both"/>
      </w:pPr>
      <w:r>
        <w:t xml:space="preserve">Стандартизация ступенчатых протоколов критична для </w:t>
      </w:r>
      <w:proofErr w:type="spellStart"/>
      <w:r>
        <w:t>воспроизводимости</w:t>
      </w:r>
      <w:proofErr w:type="spellEnd"/>
      <w:r>
        <w:t xml:space="preserve"> </w:t>
      </w:r>
      <w:proofErr w:type="spellStart"/>
      <w:r>
        <w:t>лактатного</w:t>
      </w:r>
      <w:proofErr w:type="spellEnd"/>
      <w:r>
        <w:t xml:space="preserve"> теста. Для тренированных спортсменов рекомендованы ступени мощностью 20–30 Вт с длительностью 3–5 минут: при более коротких ступенях не достигается квазистационарное состояние метаболизма, что смещает </w:t>
      </w:r>
      <w:proofErr w:type="spellStart"/>
      <w:r>
        <w:t>лактатный</w:t>
      </w:r>
      <w:proofErr w:type="spellEnd"/>
      <w:r>
        <w:t xml:space="preserve"> порог в сторону завышения [</w:t>
      </w:r>
      <w:proofErr w:type="spellStart"/>
      <w:r>
        <w:t>Kominami</w:t>
      </w:r>
      <w:proofErr w:type="spellEnd"/>
      <w:r>
        <w:t xml:space="preserve">, </w:t>
      </w:r>
      <w:proofErr w:type="spellStart"/>
      <w:r>
        <w:t>Nishijima</w:t>
      </w:r>
      <w:proofErr w:type="spellEnd"/>
      <w:r>
        <w:t xml:space="preserve">, 2015]. В протоколе данной диссертации используются ступени +30 Вт / 3 мин, начиная с 60 Вт, с забором </w:t>
      </w:r>
      <w:proofErr w:type="spellStart"/>
      <w:r>
        <w:t>лактата</w:t>
      </w:r>
      <w:proofErr w:type="spellEnd"/>
      <w:r>
        <w:t xml:space="preserve"> за 15 секунд до начала каждой новой ступени. </w:t>
      </w:r>
      <w:proofErr w:type="spellStart"/>
      <w:r>
        <w:t>Schaffarczyk</w:t>
      </w:r>
      <w:proofErr w:type="spellEnd"/>
      <w:r>
        <w:t xml:space="preserve"> и </w:t>
      </w:r>
      <w:proofErr w:type="spellStart"/>
      <w:r>
        <w:t>Rogers</w:t>
      </w:r>
      <w:proofErr w:type="spellEnd"/>
      <w:r>
        <w:t xml:space="preserve"> [2022] применяли эквивалентный протокол для DFA-α1 в популяции </w:t>
      </w:r>
      <w:proofErr w:type="spellStart"/>
      <w:r>
        <w:t>триатлонистов</w:t>
      </w:r>
      <w:proofErr w:type="spellEnd"/>
      <w:r>
        <w:t>, что делает данные работы непосредственно применимыми к нашей выборке.</w:t>
      </w:r>
    </w:p>
    <w:p w14:paraId="0D2ACBDB" w14:textId="77777777" w:rsidR="00AD039F" w:rsidRDefault="00431EEE">
      <w:pPr>
        <w:ind w:firstLine="708"/>
        <w:jc w:val="both"/>
      </w:pPr>
      <w:r>
        <w:t xml:space="preserve">Выбор </w:t>
      </w:r>
      <w:proofErr w:type="spellStart"/>
      <w:r>
        <w:t>триатлонистов</w:t>
      </w:r>
      <w:proofErr w:type="spellEnd"/>
      <w:r>
        <w:t xml:space="preserve"> как целевой популяции методологически обоснован по нескольким причинам. Во-первых, это спортсмены с детально разработанными тренировочными зонами, для которых точное определение порогов является инструментом ежедневного управления нагрузкой. Во-вторых, периодическое тестирование на велоэргометре является стандартным компонентом их подготовки, что обеспечивает мотивацию и соответствие протоколу. В-третьих, разнородность выборки (любители + профессионалы) формирует широкий диапазон </w:t>
      </w:r>
      <w:proofErr w:type="spellStart"/>
      <w:r>
        <w:t>лактатных</w:t>
      </w:r>
      <w:proofErr w:type="spellEnd"/>
      <w:r>
        <w:t xml:space="preserve"> профилей, необходимый для обобщения ML-модели. В-четвёртых, велоэргометрия с изолированной нагрузкой на нижние конечности обеспечивает минимальный межмышечный </w:t>
      </w:r>
      <w:proofErr w:type="spellStart"/>
      <w:r>
        <w:t>лактатный</w:t>
      </w:r>
      <w:proofErr w:type="spellEnd"/>
      <w:r>
        <w:t xml:space="preserve"> </w:t>
      </w:r>
      <w:proofErr w:type="spellStart"/>
      <w:r>
        <w:t>шаттлинг</w:t>
      </w:r>
      <w:proofErr w:type="spellEnd"/>
      <w:r>
        <w:t xml:space="preserve">, что повышает точность и согласованность системного </w:t>
      </w:r>
      <w:proofErr w:type="spellStart"/>
      <w:r>
        <w:t>лактата</w:t>
      </w:r>
      <w:proofErr w:type="spellEnd"/>
      <w:r>
        <w:t xml:space="preserve"> как метки порога.</w:t>
      </w:r>
    </w:p>
    <w:p w14:paraId="3DDB3A38" w14:textId="77777777" w:rsidR="00AD039F" w:rsidRDefault="00431EEE">
      <w:pPr>
        <w:ind w:firstLine="708"/>
        <w:jc w:val="both"/>
      </w:pPr>
      <w:r>
        <w:rPr>
          <w:i/>
          <w:iCs/>
        </w:rPr>
        <w:t xml:space="preserve">Несмотря на физиологическую обоснованность выбора популяции, в литературе отсутствуют работы, в которых одновременная регистрация ЭМГ, NIRS и RR применялась бы для изучения </w:t>
      </w:r>
      <w:proofErr w:type="spellStart"/>
      <w:r>
        <w:rPr>
          <w:i/>
          <w:iCs/>
        </w:rPr>
        <w:t>неинвазивных</w:t>
      </w:r>
      <w:proofErr w:type="spellEnd"/>
      <w:r>
        <w:rPr>
          <w:i/>
          <w:iCs/>
        </w:rPr>
        <w:t xml:space="preserve"> маркеров порога именно у </w:t>
      </w:r>
      <w:proofErr w:type="spellStart"/>
      <w:r>
        <w:rPr>
          <w:i/>
          <w:iCs/>
        </w:rPr>
        <w:t>триатлонистов</w:t>
      </w:r>
      <w:proofErr w:type="spellEnd"/>
      <w:r>
        <w:rPr>
          <w:i/>
          <w:iCs/>
        </w:rPr>
        <w:t xml:space="preserve"> в условиях стандартного ступенчатого теста.</w:t>
      </w:r>
    </w:p>
    <w:p w14:paraId="1E554FE3" w14:textId="77777777" w:rsidR="00AD039F" w:rsidRDefault="00431EEE">
      <w:pPr>
        <w:spacing w:before="240" w:after="120"/>
      </w:pPr>
      <w:r>
        <w:rPr>
          <w:b/>
          <w:bCs/>
        </w:rPr>
        <w:t>2.8 Заключение по обзору литературы</w:t>
      </w:r>
    </w:p>
    <w:p w14:paraId="49E66D43" w14:textId="77777777" w:rsidR="00AD039F" w:rsidRDefault="00431EEE">
      <w:pPr>
        <w:ind w:firstLine="708"/>
        <w:jc w:val="both"/>
      </w:pPr>
      <w:r>
        <w:lastRenderedPageBreak/>
        <w:t xml:space="preserve">Проведённый обзор литературы позволяет систематизировать текущее состояние знаний по проблеме </w:t>
      </w:r>
      <w:proofErr w:type="spellStart"/>
      <w:r>
        <w:t>неинвазивного</w:t>
      </w:r>
      <w:proofErr w:type="spellEnd"/>
      <w:r>
        <w:t xml:space="preserve"> определения аэробно-анаэробного перехода и выявить ключевой разрыв между имеющимися методами и практической потребностью. Физиологические механизмы двух порогов (VT1/LT1 и VT2/LT2) детально изучены: они связаны с кинетикой </w:t>
      </w:r>
      <w:proofErr w:type="spellStart"/>
      <w:r>
        <w:t>лактата</w:t>
      </w:r>
      <w:proofErr w:type="spellEnd"/>
      <w:r>
        <w:t xml:space="preserve">, </w:t>
      </w:r>
      <w:proofErr w:type="spellStart"/>
      <w:r>
        <w:t>рекрутированием</w:t>
      </w:r>
      <w:proofErr w:type="spellEnd"/>
      <w:r>
        <w:t xml:space="preserve"> двигательных единиц, кислородным балансом в мышце и вегетативными сдвигами. Каждый из рассмотренных сигнальных каналов — ЭМГ, NIRS и HRV — демонстрирует достоверную информативность в отношении отдельных аспектов перехода: ЭМГ отражает </w:t>
      </w:r>
      <w:proofErr w:type="spellStart"/>
      <w:r>
        <w:t>рекрутирование</w:t>
      </w:r>
      <w:proofErr w:type="spellEnd"/>
      <w:r>
        <w:t xml:space="preserve"> быстрых ДЕ, NIRS — локальный кислородный дефицит, DFA-α1 — вегетативные сдвиги, ассоциированные с VT1; при этом HRV-пороги дополнительно </w:t>
      </w:r>
      <w:proofErr w:type="spellStart"/>
      <w:r>
        <w:t>валидированы</w:t>
      </w:r>
      <w:proofErr w:type="spellEnd"/>
      <w:r>
        <w:t xml:space="preserve"> крупномасштабным мета-анализом [</w:t>
      </w:r>
      <w:proofErr w:type="spellStart"/>
      <w:r>
        <w:t>Tanner</w:t>
      </w:r>
      <w:proofErr w:type="spellEnd"/>
      <w:r>
        <w:t xml:space="preserve"> и др., 2024], что делает их одним из наиболее обоснованных </w:t>
      </w:r>
      <w:proofErr w:type="spellStart"/>
      <w:r>
        <w:t>неинвазивных</w:t>
      </w:r>
      <w:proofErr w:type="spellEnd"/>
      <w:r>
        <w:t xml:space="preserve"> суррогатов </w:t>
      </w:r>
      <w:proofErr w:type="spellStart"/>
      <w:r>
        <w:t>лактатных</w:t>
      </w:r>
      <w:proofErr w:type="spellEnd"/>
      <w:r>
        <w:t xml:space="preserve"> и вентиляционных порогов.</w:t>
      </w:r>
    </w:p>
    <w:p w14:paraId="27FA8D37" w14:textId="77777777" w:rsidR="00AD039F" w:rsidRDefault="00431EEE">
      <w:pPr>
        <w:ind w:firstLine="708"/>
        <w:jc w:val="both"/>
      </w:pPr>
      <w:r>
        <w:t xml:space="preserve">Вместе с тем анализ литературы выявил несколько принципиальных ограничений существующих подходов. Первое: существующие алгоритмы </w:t>
      </w:r>
      <w:proofErr w:type="spellStart"/>
      <w:r>
        <w:t>детекции</w:t>
      </w:r>
      <w:proofErr w:type="spellEnd"/>
      <w:r>
        <w:t xml:space="preserve"> порога по отдельным каналам (</w:t>
      </w:r>
      <w:proofErr w:type="spellStart"/>
      <w:r>
        <w:t>Dmax</w:t>
      </w:r>
      <w:proofErr w:type="spellEnd"/>
      <w:r>
        <w:t>/</w:t>
      </w:r>
      <w:proofErr w:type="spellStart"/>
      <w:r>
        <w:t>mDmax</w:t>
      </w:r>
      <w:proofErr w:type="spellEnd"/>
      <w:r>
        <w:t xml:space="preserve"> по </w:t>
      </w:r>
      <w:proofErr w:type="spellStart"/>
      <w:r>
        <w:t>StO</w:t>
      </w:r>
      <w:proofErr w:type="spellEnd"/>
      <w:r>
        <w:t>₂, V-</w:t>
      </w:r>
      <w:proofErr w:type="spellStart"/>
      <w:r>
        <w:t>slope</w:t>
      </w:r>
      <w:proofErr w:type="spellEnd"/>
      <w:r>
        <w:t xml:space="preserve"> по </w:t>
      </w:r>
      <w:proofErr w:type="spellStart"/>
      <w:r>
        <w:t>nHHb</w:t>
      </w:r>
      <w:proofErr w:type="spellEnd"/>
      <w:r>
        <w:t>–</w:t>
      </w:r>
      <w:proofErr w:type="spellStart"/>
      <w:r>
        <w:t>nEMG</w:t>
      </w:r>
      <w:proofErr w:type="spellEnd"/>
      <w:r>
        <w:t xml:space="preserve">, пороговое значение DFA-α1=0,75) разработаны для постфактум-анализа или для одиночного канала, но не для онлайн-предсказания в скользящем окне. Второе: из рассмотренных работ ни одна не объединяет три сигнальных модальности (ЭМГ + NIRS + HRV) в единую систему — даже в работах с многослойными датчиками алгоритм </w:t>
      </w:r>
      <w:proofErr w:type="spellStart"/>
      <w:r>
        <w:t>мультимодальной</w:t>
      </w:r>
      <w:proofErr w:type="spellEnd"/>
      <w:r>
        <w:t xml:space="preserve"> онлайн-</w:t>
      </w:r>
      <w:proofErr w:type="spellStart"/>
      <w:r>
        <w:t>детекции</w:t>
      </w:r>
      <w:proofErr w:type="spellEnd"/>
      <w:r>
        <w:t xml:space="preserve"> порога остаётся, по прямому признанию авторов, нерешённой задачей [</w:t>
      </w:r>
      <w:proofErr w:type="spellStart"/>
      <w:r>
        <w:t>Kimoto</w:t>
      </w:r>
      <w:proofErr w:type="spellEnd"/>
      <w:r>
        <w:t xml:space="preserve"> и др., 2023]. Третье: </w:t>
      </w:r>
      <w:proofErr w:type="spellStart"/>
      <w:r>
        <w:t>детекция</w:t>
      </w:r>
      <w:proofErr w:type="spellEnd"/>
      <w:r>
        <w:t xml:space="preserve"> второго порога (LT2) по </w:t>
      </w:r>
      <w:proofErr w:type="spellStart"/>
      <w:r>
        <w:t>неинвазивным</w:t>
      </w:r>
      <w:proofErr w:type="spellEnd"/>
      <w:r>
        <w:t xml:space="preserve"> сигналам — принципиально более сложная задача, почти не решавшаяся методами ML. Четвёртое: фазовая структура педального цикла (</w:t>
      </w:r>
      <w:proofErr w:type="spellStart"/>
      <w:r>
        <w:t>push</w:t>
      </w:r>
      <w:proofErr w:type="spellEnd"/>
      <w:r>
        <w:t>/</w:t>
      </w:r>
      <w:proofErr w:type="spellStart"/>
      <w:r>
        <w:t>pull</w:t>
      </w:r>
      <w:proofErr w:type="spellEnd"/>
      <w:r>
        <w:t xml:space="preserve">), доступная через гироскоп датчика </w:t>
      </w:r>
      <w:proofErr w:type="spellStart"/>
      <w:r>
        <w:t>Delsys</w:t>
      </w:r>
      <w:proofErr w:type="spellEnd"/>
      <w:r>
        <w:t xml:space="preserve"> </w:t>
      </w:r>
      <w:proofErr w:type="spellStart"/>
      <w:r>
        <w:t>Trigno</w:t>
      </w:r>
      <w:proofErr w:type="spellEnd"/>
      <w:r>
        <w:t xml:space="preserve">, не использовалась в качестве источника признаков ни в одной из найденных работ. Пятое: при характерных для области размерах выборок (n=30–40) комбинированные стратегии </w:t>
      </w:r>
      <w:proofErr w:type="spellStart"/>
      <w:r>
        <w:t>вейвлетной</w:t>
      </w:r>
      <w:proofErr w:type="spellEnd"/>
      <w:r>
        <w:t xml:space="preserve"> аугментации ЭМГ-сигнала </w:t>
      </w:r>
      <w:r>
        <w:lastRenderedPageBreak/>
        <w:t>[</w:t>
      </w:r>
      <w:proofErr w:type="spellStart"/>
      <w:r>
        <w:t>Tsinganos</w:t>
      </w:r>
      <w:proofErr w:type="spellEnd"/>
      <w:r>
        <w:t xml:space="preserve"> и др., 2020] и LOSO-</w:t>
      </w:r>
      <w:proofErr w:type="spellStart"/>
      <w:r>
        <w:t>валидации</w:t>
      </w:r>
      <w:proofErr w:type="spellEnd"/>
      <w:r>
        <w:t xml:space="preserve"> систематически не применялись в задаче </w:t>
      </w:r>
      <w:proofErr w:type="spellStart"/>
      <w:r>
        <w:t>детекции</w:t>
      </w:r>
      <w:proofErr w:type="spellEnd"/>
      <w:r>
        <w:t xml:space="preserve"> порогов.</w:t>
      </w:r>
    </w:p>
    <w:p w14:paraId="520843B5" w14:textId="77777777" w:rsidR="00AD039F" w:rsidRDefault="00431EEE">
      <w:pPr>
        <w:ind w:firstLine="708"/>
        <w:jc w:val="both"/>
      </w:pPr>
      <w:r>
        <w:t xml:space="preserve">Центральный </w:t>
      </w:r>
      <w:proofErr w:type="spellStart"/>
      <w:r>
        <w:rPr>
          <w:i/>
          <w:iCs/>
        </w:rPr>
        <w:t>gap</w:t>
      </w:r>
      <w:proofErr w:type="spellEnd"/>
      <w:r>
        <w:t xml:space="preserve"> данного исследования формулируется следующим образом: в мировой литературе отсутствует системная методология онлайн-предсказания обоих порогов аэробно-анаэробного перехода (LT1 и LT2) по </w:t>
      </w:r>
      <w:proofErr w:type="spellStart"/>
      <w:r>
        <w:t>мультимодальным</w:t>
      </w:r>
      <w:proofErr w:type="spellEnd"/>
      <w:r>
        <w:t xml:space="preserve"> </w:t>
      </w:r>
      <w:proofErr w:type="spellStart"/>
      <w:r>
        <w:t>неинвазивным</w:t>
      </w:r>
      <w:proofErr w:type="spellEnd"/>
      <w:r>
        <w:t xml:space="preserve"> сигналам работающей мышцы — электромиографии (включая её </w:t>
      </w:r>
      <w:proofErr w:type="spellStart"/>
      <w:r>
        <w:t>вейвлетные</w:t>
      </w:r>
      <w:proofErr w:type="spellEnd"/>
      <w:r>
        <w:t xml:space="preserve"> представления), ближней инфракрасной спектроскопии и кардиальной вариабельности — в скользящем окне в ходе стандартного ступенчатого </w:t>
      </w:r>
      <w:proofErr w:type="spellStart"/>
      <w:r>
        <w:t>велоэргометрического</w:t>
      </w:r>
      <w:proofErr w:type="spellEnd"/>
      <w:r>
        <w:t xml:space="preserve"> теста у тренированных спортсменов на выносливость.</w:t>
      </w:r>
    </w:p>
    <w:p w14:paraId="221A5098" w14:textId="77777777" w:rsidR="00AD039F" w:rsidRDefault="00431EEE">
      <w:pPr>
        <w:ind w:firstLine="708"/>
        <w:jc w:val="both"/>
      </w:pPr>
      <w:r>
        <w:t xml:space="preserve">Настоящая диссертационная работа непосредственно закрывает этот разрыв: предлагается </w:t>
      </w:r>
      <w:proofErr w:type="spellStart"/>
      <w:r>
        <w:t>пайплайн</w:t>
      </w:r>
      <w:proofErr w:type="spellEnd"/>
      <w:r>
        <w:t xml:space="preserve">, объединяющий признаки ЭМГ </w:t>
      </w:r>
      <w:r>
        <w:rPr>
          <w:i/>
          <w:iCs/>
        </w:rPr>
        <w:t xml:space="preserve">m. </w:t>
      </w:r>
      <w:proofErr w:type="spellStart"/>
      <w:r>
        <w:rPr>
          <w:i/>
          <w:iCs/>
        </w:rPr>
        <w:t>vastus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lateralis</w:t>
      </w:r>
      <w:proofErr w:type="spellEnd"/>
      <w:r>
        <w:t xml:space="preserve"> и </w:t>
      </w:r>
      <w:r>
        <w:rPr>
          <w:i/>
          <w:iCs/>
        </w:rPr>
        <w:t xml:space="preserve">m. </w:t>
      </w:r>
      <w:proofErr w:type="spellStart"/>
      <w:r>
        <w:rPr>
          <w:i/>
          <w:iCs/>
        </w:rPr>
        <w:t>rectus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femoris</w:t>
      </w:r>
      <w:proofErr w:type="spellEnd"/>
      <w:r>
        <w:t xml:space="preserve"> (включая классические амплитудно-частотные индексы, </w:t>
      </w:r>
      <w:proofErr w:type="spellStart"/>
      <w:r>
        <w:t>вейвлетные</w:t>
      </w:r>
      <w:proofErr w:type="spellEnd"/>
      <w:r>
        <w:t xml:space="preserve"> признаки и фазовую разбивку по гироскопу), </w:t>
      </w:r>
      <w:proofErr w:type="spellStart"/>
      <w:r>
        <w:t>SmO</w:t>
      </w:r>
      <w:proofErr w:type="spellEnd"/>
      <w:r>
        <w:t xml:space="preserve">₂ и </w:t>
      </w:r>
      <w:proofErr w:type="spellStart"/>
      <w:r>
        <w:t>ΔHHb</w:t>
      </w:r>
      <w:proofErr w:type="spellEnd"/>
      <w:r>
        <w:t xml:space="preserve"> по NIRS на VL, а также DFA-α1 по RR-интервалам в единую ML-модель для оценки вероятностей P(LT1) и P(LT2) в режиме реального времени. Верификация проводится на выборке </w:t>
      </w:r>
      <w:proofErr w:type="spellStart"/>
      <w:r>
        <w:t>триатлонистов</w:t>
      </w:r>
      <w:proofErr w:type="spellEnd"/>
      <w:r>
        <w:t xml:space="preserve"> (30–40 человек) с </w:t>
      </w:r>
      <w:proofErr w:type="spellStart"/>
      <w:r>
        <w:t>лактатным</w:t>
      </w:r>
      <w:proofErr w:type="spellEnd"/>
      <w:r>
        <w:t xml:space="preserve"> анализом как </w:t>
      </w:r>
      <w:proofErr w:type="spellStart"/>
      <w:r>
        <w:t>gold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и </w:t>
      </w:r>
      <w:proofErr w:type="spellStart"/>
      <w:r>
        <w:t>breakpoint</w:t>
      </w:r>
      <w:proofErr w:type="spellEnd"/>
      <w:r>
        <w:t xml:space="preserve"> </w:t>
      </w:r>
      <w:proofErr w:type="spellStart"/>
      <w:r>
        <w:t>SmO</w:t>
      </w:r>
      <w:proofErr w:type="spellEnd"/>
      <w:r>
        <w:t>₂ как вспомогательным маркером, с использованием LOSO-</w:t>
      </w:r>
      <w:proofErr w:type="spellStart"/>
      <w:r>
        <w:t>валидации</w:t>
      </w:r>
      <w:proofErr w:type="spellEnd"/>
      <w:r>
        <w:t xml:space="preserve"> и </w:t>
      </w:r>
      <w:proofErr w:type="spellStart"/>
      <w:r>
        <w:t>вейвлетной</w:t>
      </w:r>
      <w:proofErr w:type="spellEnd"/>
      <w:r>
        <w:t xml:space="preserve"> аугментации обучающего </w:t>
      </w:r>
      <w:proofErr w:type="spellStart"/>
      <w:r>
        <w:t>фолда</w:t>
      </w:r>
      <w:proofErr w:type="spellEnd"/>
      <w:r>
        <w:t>. В следующем разделе подробно описываются материалы, методы сбора данных, алгоритмы предобработки и архитектура модели.</w:t>
      </w:r>
    </w:p>
    <w:sectPr w:rsidR="00AD039F">
      <w:pgSz w:w="11905" w:h="16837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9205C"/>
    <w:multiLevelType w:val="hybridMultilevel"/>
    <w:tmpl w:val="4E3EFA22"/>
    <w:lvl w:ilvl="0" w:tplc="7F3CC6AA">
      <w:start w:val="1"/>
      <w:numFmt w:val="bullet"/>
      <w:lvlText w:val="●"/>
      <w:lvlJc w:val="left"/>
      <w:pPr>
        <w:ind w:left="720" w:hanging="360"/>
      </w:pPr>
    </w:lvl>
    <w:lvl w:ilvl="1" w:tplc="F0385DD2">
      <w:start w:val="1"/>
      <w:numFmt w:val="bullet"/>
      <w:lvlText w:val="○"/>
      <w:lvlJc w:val="left"/>
      <w:pPr>
        <w:ind w:left="1440" w:hanging="360"/>
      </w:pPr>
    </w:lvl>
    <w:lvl w:ilvl="2" w:tplc="AF62D310">
      <w:start w:val="1"/>
      <w:numFmt w:val="bullet"/>
      <w:lvlText w:val="■"/>
      <w:lvlJc w:val="left"/>
      <w:pPr>
        <w:ind w:left="2160" w:hanging="360"/>
      </w:pPr>
    </w:lvl>
    <w:lvl w:ilvl="3" w:tplc="85C8E8FC">
      <w:start w:val="1"/>
      <w:numFmt w:val="bullet"/>
      <w:lvlText w:val="●"/>
      <w:lvlJc w:val="left"/>
      <w:pPr>
        <w:ind w:left="2880" w:hanging="360"/>
      </w:pPr>
    </w:lvl>
    <w:lvl w:ilvl="4" w:tplc="C4323E34">
      <w:start w:val="1"/>
      <w:numFmt w:val="bullet"/>
      <w:lvlText w:val="○"/>
      <w:lvlJc w:val="left"/>
      <w:pPr>
        <w:ind w:left="3600" w:hanging="360"/>
      </w:pPr>
    </w:lvl>
    <w:lvl w:ilvl="5" w:tplc="9DDEB598">
      <w:start w:val="1"/>
      <w:numFmt w:val="bullet"/>
      <w:lvlText w:val="■"/>
      <w:lvlJc w:val="left"/>
      <w:pPr>
        <w:ind w:left="4320" w:hanging="360"/>
      </w:pPr>
    </w:lvl>
    <w:lvl w:ilvl="6" w:tplc="038A1E30">
      <w:start w:val="1"/>
      <w:numFmt w:val="bullet"/>
      <w:lvlText w:val="●"/>
      <w:lvlJc w:val="left"/>
      <w:pPr>
        <w:ind w:left="5040" w:hanging="360"/>
      </w:pPr>
    </w:lvl>
    <w:lvl w:ilvl="7" w:tplc="6AEC56F4">
      <w:start w:val="1"/>
      <w:numFmt w:val="bullet"/>
      <w:lvlText w:val="●"/>
      <w:lvlJc w:val="left"/>
      <w:pPr>
        <w:ind w:left="5760" w:hanging="360"/>
      </w:pPr>
    </w:lvl>
    <w:lvl w:ilvl="8" w:tplc="230044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9F"/>
    <w:rsid w:val="00394B9A"/>
    <w:rsid w:val="00431EEE"/>
    <w:rsid w:val="00AD039F"/>
    <w:rsid w:val="00E3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660C38"/>
  <w15:docId w15:val="{172507A6-1845-024A-ACD7-9B559B64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9578</Words>
  <Characters>54598</Characters>
  <Application>Microsoft Office Word</Application>
  <DocSecurity>0</DocSecurity>
  <Lines>454</Lines>
  <Paragraphs>128</Paragraphs>
  <ScaleCrop>false</ScaleCrop>
  <Company/>
  <LinksUpToDate>false</LinksUpToDate>
  <CharactersWithSpaces>64048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Глава 2. Обзор литературы</dc:title>
  <dc:creator>Claude</dc:creator>
  <cp:lastModifiedBy>Microsoft Office User</cp:lastModifiedBy>
  <cp:revision>4</cp:revision>
  <dcterms:created xsi:type="dcterms:W3CDTF">2026-04-27T15:33:00Z</dcterms:created>
  <dcterms:modified xsi:type="dcterms:W3CDTF">2026-04-28T16:32:00Z</dcterms:modified>
</cp:coreProperties>
</file>