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C1D53"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BADC92E"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750B9CE2"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04059D2"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598E8CA0" w14:textId="743E2C8F"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F880BCA"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4CB5C026" w14:textId="3D0B08BF"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73994C77"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3FB0FC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5B176930" w14:textId="5B0F45F1"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2C2B4F4C" w14:textId="76E03632"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148DEFED"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1269E662" w14:textId="3606165A"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A8F1B0" w14:textId="3159AC4F"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243A1E5B" w14:textId="3D839AB0"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64AB58E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C7F946E" w14:textId="32B6D4FC" w:rsidR="00124BDC" w:rsidRPr="00842A2D" w:rsidRDefault="00124BDC" w:rsidP="00A942C2">
      <w:pPr>
        <w:widowControl w:val="0"/>
        <w:spacing w:after="0" w:line="240" w:lineRule="auto"/>
        <w:rPr>
          <w:rFonts w:eastAsia="Times New Roman" w:cs="Times New Roman"/>
          <w:szCs w:val="28"/>
          <w:lang w:eastAsia="ru-RU"/>
        </w:rPr>
      </w:pPr>
    </w:p>
    <w:p w14:paraId="656DFE00" w14:textId="5D084DC5"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47B62F2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BB835A8" w14:textId="0E0A12B1"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6B64D84" w14:textId="1B63AC0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495F6D80" w14:textId="2D82C16F"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32216A93" w14:textId="73B3E6B7" w:rsidR="00A942C2" w:rsidRDefault="00A942C2" w:rsidP="00A942C2">
      <w:pPr>
        <w:widowControl w:val="0"/>
        <w:spacing w:after="0" w:line="240" w:lineRule="auto"/>
        <w:jc w:val="center"/>
        <w:rPr>
          <w:rFonts w:eastAsia="Times New Roman" w:cs="Times New Roman"/>
          <w:szCs w:val="28"/>
          <w:lang w:eastAsia="ru-RU"/>
        </w:rPr>
      </w:pPr>
    </w:p>
    <w:p w14:paraId="57A6F3A3"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3E67FD14"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6B4AA158" w14:textId="77777777" w:rsidTr="00EB4825">
        <w:tc>
          <w:tcPr>
            <w:tcW w:w="4672" w:type="dxa"/>
          </w:tcPr>
          <w:p w14:paraId="2311EC69" w14:textId="77777777" w:rsidR="008A7A55" w:rsidRPr="007637A2" w:rsidRDefault="008A7A55" w:rsidP="00EB4825">
            <w:pPr>
              <w:widowControl w:val="0"/>
              <w:spacing w:line="240" w:lineRule="auto"/>
              <w:jc w:val="left"/>
              <w:rPr>
                <w:szCs w:val="28"/>
              </w:rPr>
            </w:pPr>
          </w:p>
          <w:p w14:paraId="01A741E1" w14:textId="77777777" w:rsidR="008A7A55" w:rsidRPr="007637A2" w:rsidRDefault="008A7A55" w:rsidP="00EB4825">
            <w:pPr>
              <w:widowControl w:val="0"/>
              <w:spacing w:line="240" w:lineRule="auto"/>
              <w:jc w:val="left"/>
              <w:rPr>
                <w:szCs w:val="28"/>
              </w:rPr>
            </w:pPr>
          </w:p>
          <w:p w14:paraId="0896FE07" w14:textId="77777777" w:rsidR="008A7A55" w:rsidRPr="007637A2" w:rsidRDefault="008A7A55" w:rsidP="00EB4825">
            <w:pPr>
              <w:widowControl w:val="0"/>
              <w:spacing w:line="240" w:lineRule="auto"/>
              <w:jc w:val="left"/>
              <w:rPr>
                <w:szCs w:val="28"/>
              </w:rPr>
            </w:pPr>
          </w:p>
          <w:p w14:paraId="239C093E" w14:textId="77777777" w:rsidR="008A7A55" w:rsidRPr="007637A2" w:rsidRDefault="008A7A55" w:rsidP="00EB4825">
            <w:pPr>
              <w:widowControl w:val="0"/>
              <w:spacing w:line="240" w:lineRule="auto"/>
              <w:jc w:val="left"/>
              <w:rPr>
                <w:szCs w:val="28"/>
              </w:rPr>
            </w:pPr>
          </w:p>
          <w:p w14:paraId="341B656E" w14:textId="77777777" w:rsidR="008A7A55" w:rsidRPr="007637A2" w:rsidRDefault="008A7A55" w:rsidP="00EB4825">
            <w:pPr>
              <w:widowControl w:val="0"/>
              <w:spacing w:line="240" w:lineRule="auto"/>
              <w:jc w:val="left"/>
              <w:rPr>
                <w:szCs w:val="28"/>
              </w:rPr>
            </w:pPr>
            <w:r>
              <w:rPr>
                <w:rFonts w:eastAsia="Times New Roman"/>
                <w:szCs w:val="28"/>
              </w:rPr>
              <w:t xml:space="preserve">Согласовано </w:t>
            </w:r>
            <w:r>
              <w:rPr>
                <w:rFonts w:eastAsia="Times New Roman"/>
                <w:color w:val="FF0000"/>
                <w:sz w:val="22"/>
                <w:szCs w:val="22"/>
              </w:rPr>
              <w:t>(при наличии консультанта)</w:t>
            </w:r>
          </w:p>
          <w:p w14:paraId="1A0EFD40" w14:textId="77777777" w:rsidR="008A7A55" w:rsidRPr="007637A2" w:rsidRDefault="008A7A55" w:rsidP="00EB4825">
            <w:pPr>
              <w:widowControl w:val="0"/>
              <w:spacing w:line="240" w:lineRule="auto"/>
              <w:jc w:val="left"/>
              <w:rPr>
                <w:szCs w:val="28"/>
              </w:rPr>
            </w:pPr>
            <w:r>
              <w:rPr>
                <w:szCs w:val="28"/>
              </w:rPr>
              <w:t>Консультант</w:t>
            </w:r>
          </w:p>
          <w:p w14:paraId="4C1638A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0B877FC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83D93B6"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1D58A39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C884545" w14:textId="77777777" w:rsidR="008A7A55" w:rsidRDefault="008A7A55" w:rsidP="00EB4825">
            <w:pPr>
              <w:widowControl w:val="0"/>
              <w:spacing w:line="240" w:lineRule="auto"/>
              <w:jc w:val="left"/>
              <w:rPr>
                <w:rFonts w:eastAsia="Times New Roman"/>
                <w:szCs w:val="28"/>
              </w:rPr>
            </w:pPr>
          </w:p>
        </w:tc>
        <w:tc>
          <w:tcPr>
            <w:tcW w:w="4673" w:type="dxa"/>
          </w:tcPr>
          <w:p w14:paraId="42D66678"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3625F3E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690B4E8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1D111F8" w14:textId="77777777" w:rsidR="008A7A55" w:rsidRPr="00CF375F" w:rsidRDefault="008A7A55" w:rsidP="00EB4825">
            <w:pPr>
              <w:widowControl w:val="0"/>
              <w:spacing w:line="240" w:lineRule="auto"/>
              <w:jc w:val="left"/>
              <w:rPr>
                <w:rFonts w:eastAsia="Times New Roman"/>
                <w:color w:val="000000"/>
                <w:szCs w:val="28"/>
              </w:rPr>
            </w:pPr>
          </w:p>
          <w:p w14:paraId="7CAB5160" w14:textId="77777777" w:rsidR="008A7A55" w:rsidRPr="00CF375F" w:rsidRDefault="008A7A55" w:rsidP="00EB4825">
            <w:pPr>
              <w:widowControl w:val="0"/>
              <w:spacing w:line="240" w:lineRule="auto"/>
              <w:jc w:val="left"/>
              <w:rPr>
                <w:rFonts w:eastAsia="Times New Roman"/>
                <w:color w:val="000000"/>
                <w:szCs w:val="28"/>
              </w:rPr>
            </w:pPr>
          </w:p>
          <w:p w14:paraId="535DBA7F"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4DC8864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20D36FF0"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A7A1B7C"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697D40F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0531D9D7" w14:textId="77777777" w:rsidR="008A7A55" w:rsidRPr="00CF375F" w:rsidRDefault="008A7A55" w:rsidP="00EB4825">
            <w:pPr>
              <w:widowControl w:val="0"/>
              <w:spacing w:line="240" w:lineRule="auto"/>
              <w:jc w:val="left"/>
              <w:rPr>
                <w:rFonts w:eastAsia="Times New Roman"/>
                <w:szCs w:val="28"/>
              </w:rPr>
            </w:pPr>
          </w:p>
          <w:p w14:paraId="647EB09F" w14:textId="77777777" w:rsidR="008A7A55" w:rsidRDefault="008A7A55" w:rsidP="00EB4825">
            <w:pPr>
              <w:widowControl w:val="0"/>
              <w:spacing w:line="240" w:lineRule="auto"/>
              <w:jc w:val="center"/>
              <w:rPr>
                <w:rFonts w:eastAsia="Times New Roman"/>
                <w:szCs w:val="28"/>
              </w:rPr>
            </w:pPr>
          </w:p>
        </w:tc>
      </w:tr>
    </w:tbl>
    <w:p w14:paraId="4202752C"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809870A" w14:textId="133C3154"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00A745D8" w14:textId="67568D25"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3E27FB65"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13582B8E" w14:textId="18E32F11"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CE3E0B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4D2FCD07"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3DD96095"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75B0234"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59706912"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87BABC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4B79119C"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56FF3FA" w14:textId="77777777" w:rsidR="00AE1645" w:rsidRPr="00081748" w:rsidRDefault="00AE1645" w:rsidP="00AE1645">
      <w:pPr>
        <w:spacing w:after="240" w:line="240" w:lineRule="auto"/>
        <w:jc w:val="left"/>
        <w:rPr>
          <w:rFonts w:eastAsia="Times New Roman" w:cs="Times New Roman"/>
          <w:szCs w:val="28"/>
          <w:lang w:eastAsia="ru-RU"/>
        </w:rPr>
      </w:pPr>
    </w:p>
    <w:p w14:paraId="22EF84C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59C5A0A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DB1291F"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3D0922BF" w14:textId="73ACDC0B"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08346CD" w14:textId="569D23CA"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64C3EBBF" w14:textId="77777777" w:rsidR="00A942C2" w:rsidRPr="00081748" w:rsidRDefault="00A942C2" w:rsidP="00A942C2">
      <w:pPr>
        <w:spacing w:after="0" w:line="240" w:lineRule="auto"/>
        <w:ind w:left="5103"/>
        <w:rPr>
          <w:rFonts w:eastAsia="Times New Roman" w:cs="Times New Roman"/>
          <w:szCs w:val="28"/>
          <w:lang w:eastAsia="ru-RU"/>
        </w:rPr>
      </w:pPr>
    </w:p>
    <w:p w14:paraId="27401DAF" w14:textId="35EF509E"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1BF9C09" w14:textId="77777777" w:rsidR="00AE1645" w:rsidRPr="00081748" w:rsidRDefault="00AE1645" w:rsidP="00AE1645">
      <w:pPr>
        <w:spacing w:after="240" w:line="240" w:lineRule="auto"/>
        <w:jc w:val="left"/>
        <w:rPr>
          <w:rFonts w:eastAsia="Times New Roman" w:cs="Times New Roman"/>
          <w:szCs w:val="28"/>
          <w:lang w:eastAsia="ru-RU"/>
        </w:rPr>
      </w:pPr>
    </w:p>
    <w:p w14:paraId="0ED200D4" w14:textId="543B3D12"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02C1631" w14:textId="14A8DC5A"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165C376F" w14:textId="2D7477F8"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2AA4C9A" w14:textId="5EFF46E9"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165EDEF8" w14:textId="77777777" w:rsidR="00F86377" w:rsidRPr="00081748" w:rsidRDefault="00F86377" w:rsidP="00F86377">
      <w:pPr>
        <w:spacing w:after="0" w:line="240" w:lineRule="auto"/>
        <w:jc w:val="center"/>
        <w:rPr>
          <w:rFonts w:eastAsia="Times New Roman" w:cs="Times New Roman"/>
          <w:szCs w:val="28"/>
          <w:lang w:eastAsia="ru-RU"/>
        </w:rPr>
      </w:pPr>
    </w:p>
    <w:p w14:paraId="3A49ADD3" w14:textId="78DD3BA2" w:rsidR="00AE1645" w:rsidRPr="00A334C7" w:rsidRDefault="00484C57" w:rsidP="00AE1645">
      <w:pPr>
        <w:spacing w:after="0" w:line="240" w:lineRule="auto"/>
        <w:jc w:val="center"/>
        <w:rPr>
          <w:rFonts w:eastAsia="Times New Roman" w:cs="Times New Roman"/>
          <w:szCs w:val="28"/>
          <w:lang w:eastAsia="ru-RU"/>
        </w:rPr>
      </w:pPr>
      <w:r>
        <w:rPr>
          <w:rFonts w:eastAsia="Times New Roman" w:cs="Times New Roman"/>
          <w:b/>
          <w:bCs/>
          <w:color w:val="000000"/>
          <w:szCs w:val="28"/>
          <w:lang w:eastAsia="ru-RU"/>
        </w:rPr>
        <w:t>Тамразов Александр Сергеевич</w:t>
      </w:r>
    </w:p>
    <w:p w14:paraId="379E577D" w14:textId="5A9B11C8" w:rsidR="00AE1645" w:rsidRDefault="00AE1645" w:rsidP="00AE1645">
      <w:pPr>
        <w:spacing w:after="0" w:line="240" w:lineRule="auto"/>
        <w:jc w:val="left"/>
        <w:rPr>
          <w:rFonts w:eastAsia="Times New Roman" w:cs="Times New Roman"/>
          <w:szCs w:val="28"/>
          <w:lang w:eastAsia="ru-RU"/>
        </w:rPr>
      </w:pPr>
    </w:p>
    <w:p w14:paraId="0A06087E" w14:textId="77777777" w:rsidR="00081748" w:rsidRPr="00081748" w:rsidRDefault="00081748" w:rsidP="00AE1645">
      <w:pPr>
        <w:spacing w:after="0" w:line="240" w:lineRule="auto"/>
        <w:jc w:val="left"/>
        <w:rPr>
          <w:rFonts w:eastAsia="Times New Roman" w:cs="Times New Roman"/>
          <w:szCs w:val="28"/>
          <w:lang w:eastAsia="ru-RU"/>
        </w:rPr>
      </w:pPr>
    </w:p>
    <w:p w14:paraId="508F1619" w14:textId="01F98CA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Тема: «Предсказание аэробно-анаэробного перехода по электромиограмме и данным ИК-спектрометрии на работающей мышце»</w:t>
      </w:r>
    </w:p>
    <w:p w14:paraId="1C4FA60F" w14:textId="4B9642B0"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Цель: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w:t>
      </w:r>
    </w:p>
    <w:p w14:paraId="36A2534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0C61D617" w14:textId="12BE278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w:t>
      </w:r>
    </w:p>
    <w:p w14:paraId="3CA4E899" w14:textId="5D16C61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разночастотных физиологических сигналов, включая: сегментацию ЭМГ по </w:t>
      </w:r>
      <w:r>
        <w:rPr>
          <w:rFonts w:eastAsia="Times New Roman" w:cs="Times New Roman"/>
          <w:color w:val="000000"/>
          <w:szCs w:val="28"/>
          <w:lang w:eastAsia="ru-RU"/>
        </w:rPr>
        <w:lastRenderedPageBreak/>
        <w:t>фазам педалирования на основе данных гироскопа, фильтрацию и нормализацию ЭМГ, сглаживание SmO₂, интерполяцию RR-интервалов и расчёт DFA-α1 в скользящем окне.</w:t>
      </w:r>
    </w:p>
    <w:p w14:paraId="4DB9829F" w14:textId="3697BD1D"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Провести экспериментальный сбор данных согласно разработанному протоколу: выполнить ступенчатые велоэргометрические тесты с синхронной записью сигналов всех датчиков, верифицировать индивидуальные пороги LT1 и LT2 по концентрации лактата в капиллярной крови.</w:t>
      </w:r>
    </w:p>
    <w:p w14:paraId="64BE383A" w14:textId="33C23594"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Сформировать датасет для онлайн-классификации зоны интенсивности, включающий классические ЭМГ-характеристики, показатели мышечной оксигенации и вариабельности сердечного ритма, с учётом фазовой структуры цикла педалирования.</w:t>
      </w:r>
    </w:p>
    <w:p w14:paraId="5582E1F8" w14:textId="11DAAB5B" w:rsidR="00FA31D8"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ML-модель, предсказывающую вероятность нахождения испытуемого выше порога LT2 в скользящем временном окне в режиме реального времени, с оценкой применимости baseline-подхода (Random Forest / XGBoost на ручных признаках) и расширенного подхода (TCN на временных рядах).</w:t>
      </w:r>
    </w:p>
    <w:p w14:paraId="0561D3FA" w14:textId="3C02E1E6"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Оценить точность предсказания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и сопоставить результаты с данными литературы.</w:t>
      </w:r>
    </w:p>
    <w:p w14:paraId="55A0F990"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3134247E" w14:textId="61335DF4"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44AD118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92202"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7DF1"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E70E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AEE2100"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70F5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42A29" w14:textId="28639BFE"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25185" w14:textId="77777777" w:rsidR="00AE1645" w:rsidRPr="00081748" w:rsidRDefault="00AE1645" w:rsidP="00842A2D">
            <w:pPr>
              <w:spacing w:after="0"/>
              <w:jc w:val="left"/>
              <w:rPr>
                <w:rFonts w:eastAsia="Times New Roman" w:cs="Times New Roman"/>
                <w:szCs w:val="28"/>
                <w:lang w:eastAsia="ru-RU"/>
              </w:rPr>
            </w:pPr>
          </w:p>
        </w:tc>
      </w:tr>
      <w:tr w:rsidR="00AE1645" w:rsidRPr="00081748" w14:paraId="062E7E2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D3F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58CB0" w14:textId="761FD816"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33ED5"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2DEBA29D"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B1D2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A195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BE777" w14:textId="77777777" w:rsidR="00AE1645" w:rsidRPr="00081748" w:rsidRDefault="00AE1645" w:rsidP="00842A2D">
            <w:pPr>
              <w:spacing w:after="0"/>
              <w:jc w:val="left"/>
              <w:rPr>
                <w:rFonts w:eastAsia="Times New Roman" w:cs="Times New Roman"/>
                <w:szCs w:val="28"/>
                <w:lang w:eastAsia="ru-RU"/>
              </w:rPr>
            </w:pPr>
          </w:p>
        </w:tc>
      </w:tr>
    </w:tbl>
    <w:p w14:paraId="696212DD" w14:textId="77777777" w:rsidR="008A7A55" w:rsidRPr="007D195F" w:rsidRDefault="008A7A55" w:rsidP="008A7A55">
      <w:pPr>
        <w:spacing w:after="0"/>
        <w:rPr>
          <w:rFonts w:eastAsia="Times New Roman" w:cs="Times New Roman"/>
          <w:color w:val="FF0000"/>
          <w:szCs w:val="28"/>
          <w:lang w:eastAsia="ru-RU"/>
        </w:rPr>
      </w:pPr>
      <w:r>
        <w:rPr>
          <w:rFonts w:eastAsia="Times New Roman" w:cs="Times New Roman"/>
          <w:bCs/>
          <w:color w:val="FF0000"/>
          <w:szCs w:val="28"/>
          <w:u w:val="single"/>
          <w:lang w:eastAsia="ru-RU"/>
        </w:rPr>
        <w:t>Сроки выполнения</w:t>
      </w:r>
      <w:r>
        <w:rPr>
          <w:rFonts w:eastAsia="Times New Roman" w:cs="Times New Roman"/>
          <w:bCs/>
          <w:color w:val="FF0000"/>
          <w:szCs w:val="28"/>
          <w:lang w:eastAsia="ru-RU"/>
        </w:rPr>
        <w:t xml:space="preserve"> </w:t>
      </w:r>
      <w:r>
        <w:rPr>
          <w:rFonts w:eastAsia="Times New Roman" w:cs="Times New Roman"/>
          <w:color w:val="FF0000"/>
          <w:szCs w:val="28"/>
          <w:lang w:eastAsia="ru-RU"/>
        </w:rPr>
        <w:t>магистерской диссертации -</w:t>
      </w:r>
      <w:r>
        <w:rPr>
          <w:rFonts w:eastAsia="Times New Roman" w:cs="Times New Roman"/>
          <w:bCs/>
          <w:color w:val="FF0000"/>
          <w:szCs w:val="28"/>
          <w:lang w:eastAsia="ru-RU"/>
        </w:rPr>
        <w:t xml:space="preserve"> </w:t>
      </w:r>
      <w:r>
        <w:rPr>
          <w:rFonts w:eastAsia="Times New Roman" w:cs="Times New Roman"/>
          <w:color w:val="FF0000"/>
          <w:szCs w:val="28"/>
          <w:lang w:eastAsia="ru-RU"/>
        </w:rPr>
        <w:t xml:space="preserve">любые даты </w:t>
      </w:r>
      <w:r>
        <w:rPr>
          <w:rFonts w:eastAsia="Times New Roman" w:cs="Times New Roman"/>
          <w:color w:val="FF0000"/>
          <w:szCs w:val="28"/>
          <w:u w:val="single"/>
          <w:lang w:eastAsia="ru-RU"/>
        </w:rPr>
        <w:t>после даты выдачи задания.</w:t>
      </w:r>
      <w:r>
        <w:rPr>
          <w:rFonts w:eastAsia="Times New Roman" w:cs="Times New Roman"/>
          <w:color w:val="FF0000"/>
          <w:szCs w:val="28"/>
          <w:lang w:eastAsia="ru-RU"/>
        </w:rPr>
        <w:t xml:space="preserve"> </w:t>
      </w:r>
    </w:p>
    <w:p w14:paraId="3D5BD66A" w14:textId="42ADB40D"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lastRenderedPageBreak/>
        <w:t>Дата выдачи: «___» ____________ 20___ г.</w:t>
      </w:r>
      <w:r>
        <w:rPr>
          <w:rFonts w:eastAsia="Times New Roman" w:cs="Times New Roman"/>
          <w:color w:val="FF0000"/>
          <w:szCs w:val="28"/>
          <w:lang w:eastAsia="ru-RU"/>
        </w:rPr>
        <w:t xml:space="preserve"> (Любая после 03.12.2025)</w:t>
      </w:r>
    </w:p>
    <w:p w14:paraId="5AD68DA9"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5DF2046" w14:textId="050E6FB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 xml:space="preserve">_______________ Д. А. Онищенко </w:t>
      </w:r>
      <w:r>
        <w:rPr>
          <w:rFonts w:eastAsia="Times New Roman" w:cs="Times New Roman"/>
          <w:color w:val="FF0000"/>
          <w:szCs w:val="28"/>
          <w:lang w:eastAsia="ru-RU"/>
        </w:rPr>
        <w:t>(по приказу на день выдачи ТЗ)</w:t>
      </w:r>
    </w:p>
    <w:p w14:paraId="3CDFFF3B" w14:textId="77777777" w:rsidR="00842A2D" w:rsidRDefault="00842A2D" w:rsidP="00842A2D">
      <w:pPr>
        <w:spacing w:after="0"/>
        <w:rPr>
          <w:rFonts w:eastAsia="Times New Roman" w:cs="Times New Roman"/>
          <w:color w:val="000000"/>
          <w:szCs w:val="28"/>
          <w:lang w:eastAsia="ru-RU"/>
        </w:rPr>
      </w:pPr>
    </w:p>
    <w:p w14:paraId="7BE5DB9E" w14:textId="5760EFE5"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46EE0178" w14:textId="5F1BB153"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5A929A9A" w14:textId="60D2309A"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Тамразов </w:t>
      </w:r>
    </w:p>
    <w:p w14:paraId="70EBB6D4" w14:textId="77777777" w:rsidR="00842A2D" w:rsidRDefault="00842A2D" w:rsidP="00842A2D">
      <w:pPr>
        <w:spacing w:after="0" w:line="240" w:lineRule="auto"/>
        <w:rPr>
          <w:rFonts w:eastAsia="Times New Roman" w:cs="Times New Roman"/>
          <w:color w:val="000000"/>
          <w:szCs w:val="28"/>
          <w:lang w:eastAsia="ru-RU"/>
        </w:rPr>
      </w:pPr>
    </w:p>
    <w:p w14:paraId="311FEBC3" w14:textId="2CC5A3BD"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 </w:t>
      </w:r>
      <w:r>
        <w:rPr>
          <w:rFonts w:eastAsia="Times New Roman" w:cs="Times New Roman"/>
          <w:color w:val="FF0000"/>
          <w:szCs w:val="28"/>
          <w:lang w:eastAsia="ru-RU"/>
        </w:rPr>
        <w:t>(Любая после даты выдачи задания)</w:t>
      </w:r>
    </w:p>
    <w:p w14:paraId="748C37E4" w14:textId="5557E8D8" w:rsidR="00842A2D" w:rsidRPr="00842A2D" w:rsidRDefault="00842A2D" w:rsidP="00842A2D">
      <w:pPr>
        <w:spacing w:after="0" w:line="240" w:lineRule="auto"/>
        <w:rPr>
          <w:rFonts w:eastAsia="Times New Roman" w:cs="Times New Roman"/>
          <w:color w:val="000000"/>
          <w:szCs w:val="28"/>
          <w:lang w:eastAsia="ru-RU"/>
        </w:rPr>
      </w:pPr>
    </w:p>
    <w:p w14:paraId="288C78D1" w14:textId="77777777" w:rsidR="00842A2D" w:rsidRPr="00842A2D" w:rsidRDefault="00842A2D" w:rsidP="00842A2D">
      <w:pPr>
        <w:spacing w:after="0" w:line="240" w:lineRule="auto"/>
        <w:rPr>
          <w:rFonts w:eastAsia="Times New Roman" w:cs="Times New Roman"/>
          <w:szCs w:val="28"/>
          <w:lang w:eastAsia="ru-RU"/>
        </w:rPr>
      </w:pPr>
    </w:p>
    <w:p w14:paraId="6864DD5B" w14:textId="193EE376" w:rsidR="008F06E7" w:rsidRPr="005C1D3B" w:rsidRDefault="008F06E7" w:rsidP="00842A2D">
      <w:r>
        <w:t xml:space="preserve">На второй странице должен продолжаться текст задания, либо все ТЗ с подписями должно умещаться на 1 странице. </w:t>
      </w:r>
      <w:r>
        <w:rPr>
          <w:b/>
        </w:rPr>
        <w:t>Недопустимо</w:t>
      </w:r>
      <w:r>
        <w:t xml:space="preserve"> ставить подписи на листе без текста.</w:t>
      </w:r>
    </w:p>
    <w:p w14:paraId="2EC11C5C" w14:textId="77777777" w:rsidR="00AE1645" w:rsidRPr="00AE1645" w:rsidRDefault="00AE1645" w:rsidP="00AE1645">
      <w:pPr>
        <w:spacing w:after="240" w:line="240" w:lineRule="auto"/>
        <w:jc w:val="left"/>
        <w:rPr>
          <w:rFonts w:eastAsia="Times New Roman" w:cs="Times New Roman"/>
          <w:sz w:val="24"/>
          <w:szCs w:val="24"/>
          <w:lang w:eastAsia="ru-RU"/>
        </w:rPr>
      </w:pPr>
    </w:p>
    <w:p w14:paraId="5AC73BCF"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4169C359" w14:textId="154C53CF" w:rsidR="00AE1645" w:rsidRDefault="00AE1645" w:rsidP="00CD1121">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2C37E4FF" w14:textId="77777777" w:rsidR="00866F49" w:rsidRPr="00AE1645" w:rsidRDefault="00866F49" w:rsidP="00CD1121">
      <w:pPr>
        <w:widowControl w:val="0"/>
        <w:spacing w:after="0"/>
        <w:jc w:val="center"/>
        <w:rPr>
          <w:rFonts w:eastAsia="Times New Roman" w:cs="Times New Roman"/>
          <w:sz w:val="24"/>
          <w:szCs w:val="24"/>
          <w:lang w:eastAsia="ru-RU"/>
        </w:rPr>
      </w:pPr>
    </w:p>
    <w:p w14:paraId="11780394" w14:textId="4269C922" w:rsidR="00AE1645" w:rsidRPr="00EB20D9" w:rsidRDefault="00EB20D9" w:rsidP="00CD1121">
      <w:pPr>
        <w:widowControl w:val="0"/>
        <w:spacing w:after="0"/>
        <w:jc w:val="left"/>
        <w:rPr>
          <w:rFonts w:eastAsia="Times New Roman" w:cs="Times New Roman"/>
          <w:b/>
          <w:bCs/>
          <w:sz w:val="24"/>
          <w:szCs w:val="24"/>
          <w:lang w:eastAsia="ru-RU"/>
        </w:rPr>
      </w:pPr>
      <w:r>
        <w:rPr>
          <w:rFonts w:eastAsia="Times New Roman" w:cs="Times New Roman"/>
          <w:b/>
          <w:bCs/>
          <w:sz w:val="24"/>
          <w:szCs w:val="24"/>
          <w:lang w:eastAsia="ru-RU"/>
        </w:rPr>
        <w:t>позже</w:t>
      </w:r>
    </w:p>
    <w:p w14:paraId="12F6EBE5" w14:textId="27E5D110" w:rsidR="007F2370" w:rsidRDefault="007F2370" w:rsidP="00CD1121">
      <w:pPr>
        <w:widowControl w:val="0"/>
        <w:spacing w:after="0"/>
        <w:ind w:firstLine="709"/>
        <w:rPr>
          <w:lang w:eastAsia="ru-RU"/>
        </w:rPr>
      </w:pPr>
      <w:r>
        <w:rPr>
          <w:lang w:eastAsia="ru-RU"/>
        </w:rPr>
        <w:t>Реферат магистерской диссертации представляет собой краткое изложение содержания работы. Реферат включает в себя:</w:t>
      </w:r>
    </w:p>
    <w:p w14:paraId="25C47B92" w14:textId="5F82703C" w:rsidR="007F2370" w:rsidRPr="0053606B" w:rsidRDefault="007F2370" w:rsidP="00CD1121">
      <w:pPr>
        <w:widowControl w:val="0"/>
        <w:spacing w:after="0"/>
        <w:ind w:firstLine="709"/>
        <w:rPr>
          <w:szCs w:val="28"/>
          <w:lang w:eastAsia="ru-RU"/>
        </w:rPr>
      </w:pPr>
      <w:r>
        <w:rPr>
          <w:lang w:eastAsia="ru-RU"/>
        </w:rPr>
        <w:t xml:space="preserve">1. </w:t>
      </w:r>
      <w:r>
        <w:rPr>
          <w:b/>
          <w:lang w:eastAsia="ru-RU"/>
        </w:rPr>
        <w:t>Общие сведения</w:t>
      </w:r>
      <w:r>
        <w:rPr>
          <w:szCs w:val="28"/>
          <w:lang w:eastAsia="ru-RU"/>
        </w:rPr>
        <w:t>:</w:t>
      </w:r>
    </w:p>
    <w:p w14:paraId="042DFB3C" w14:textId="6E444998"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объем диссертации (количество страниц);</w:t>
      </w:r>
    </w:p>
    <w:p w14:paraId="31063E2C" w14:textId="715B2ADF"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иллюстраций и таблиц;</w:t>
      </w:r>
    </w:p>
    <w:p w14:paraId="7DC55F89" w14:textId="7AB3B3E0"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использованных источников.</w:t>
      </w:r>
    </w:p>
    <w:p w14:paraId="17EF0043" w14:textId="6B707C0A" w:rsidR="007F2370" w:rsidRDefault="007F2370" w:rsidP="00CD1121">
      <w:pPr>
        <w:widowControl w:val="0"/>
        <w:spacing w:after="0"/>
        <w:ind w:firstLine="709"/>
        <w:rPr>
          <w:lang w:eastAsia="ru-RU"/>
        </w:rPr>
      </w:pPr>
      <w:r>
        <w:rPr>
          <w:lang w:eastAsia="ru-RU"/>
        </w:rPr>
        <w:t xml:space="preserve">2. </w:t>
      </w:r>
      <w:r>
        <w:rPr>
          <w:b/>
          <w:lang w:eastAsia="ru-RU"/>
        </w:rPr>
        <w:t>Основное содержание работы</w:t>
      </w:r>
      <w:r>
        <w:rPr>
          <w:lang w:eastAsia="ru-RU"/>
        </w:rPr>
        <w:t>:</w:t>
      </w:r>
    </w:p>
    <w:p w14:paraId="79328CE9" w14:textId="6355B6D4" w:rsidR="007F2370" w:rsidRDefault="007F2370" w:rsidP="00CD1121">
      <w:pPr>
        <w:pStyle w:val="a5"/>
        <w:widowControl w:val="0"/>
        <w:tabs>
          <w:tab w:val="left" w:pos="993"/>
        </w:tabs>
        <w:spacing w:after="0"/>
        <w:ind w:left="0" w:firstLine="709"/>
        <w:contextualSpacing w:val="0"/>
        <w:rPr>
          <w:lang w:eastAsia="ru-RU"/>
        </w:rPr>
      </w:pPr>
      <w:r>
        <w:rPr>
          <w:lang w:eastAsia="ru-RU"/>
        </w:rPr>
        <w:t>Цель и задачи исследования</w:t>
      </w:r>
      <w:r>
        <w:rPr>
          <w:lang w:val="en-US" w:eastAsia="ru-RU"/>
        </w:rPr>
        <w:t>;</w:t>
      </w:r>
    </w:p>
    <w:p w14:paraId="7AB064F8" w14:textId="48151B7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методы исследования</w:t>
      </w:r>
      <w:r>
        <w:rPr>
          <w:lang w:val="en-US" w:eastAsia="ru-RU"/>
        </w:rPr>
        <w:t>;</w:t>
      </w:r>
    </w:p>
    <w:p w14:paraId="119CDD33" w14:textId="6118DAA3"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результаты и их новизна</w:t>
      </w:r>
      <w:r>
        <w:rPr>
          <w:lang w:val="en-US" w:eastAsia="ru-RU"/>
        </w:rPr>
        <w:t>;</w:t>
      </w:r>
    </w:p>
    <w:p w14:paraId="7C607A34" w14:textId="3EDD5A20"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практическая значимость</w:t>
      </w:r>
      <w:r>
        <w:rPr>
          <w:lang w:val="en-US" w:eastAsia="ru-RU"/>
        </w:rPr>
        <w:t>;</w:t>
      </w:r>
      <w:r>
        <w:rPr>
          <w:lang w:eastAsia="ru-RU"/>
        </w:rPr>
        <w:t xml:space="preserve">   </w:t>
      </w:r>
    </w:p>
    <w:p w14:paraId="46E9B69F" w14:textId="49DE9E0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область применения результатов.</w:t>
      </w:r>
    </w:p>
    <w:p w14:paraId="15F44182" w14:textId="77777777" w:rsidR="007F2370" w:rsidRDefault="007F2370" w:rsidP="00CD1121">
      <w:pPr>
        <w:widowControl w:val="0"/>
        <w:spacing w:after="0"/>
        <w:ind w:firstLine="709"/>
        <w:rPr>
          <w:lang w:eastAsia="ru-RU"/>
        </w:rPr>
      </w:pPr>
      <w:r>
        <w:rPr>
          <w:lang w:eastAsia="ru-RU"/>
        </w:rPr>
        <w:t xml:space="preserve">3. </w:t>
      </w:r>
      <w:r>
        <w:rPr>
          <w:b/>
          <w:lang w:eastAsia="ru-RU"/>
        </w:rPr>
        <w:t>Ключевые слова</w:t>
      </w:r>
      <w:r>
        <w:rPr>
          <w:lang w:eastAsia="ru-RU"/>
        </w:rPr>
        <w:t>:</w:t>
      </w:r>
    </w:p>
    <w:p w14:paraId="6E052D77" w14:textId="26AEAB74" w:rsidR="007F2370" w:rsidRDefault="007F2370" w:rsidP="00CD1121">
      <w:pPr>
        <w:widowControl w:val="0"/>
        <w:spacing w:after="0"/>
        <w:ind w:firstLine="709"/>
        <w:rPr>
          <w:lang w:eastAsia="ru-RU"/>
        </w:rPr>
      </w:pPr>
      <w:r>
        <w:rPr>
          <w:lang w:eastAsia="ru-RU"/>
        </w:rPr>
        <w:t>Перечень терминов, отражающих основное содержание работы (обычно 5–15 слов).</w:t>
      </w:r>
    </w:p>
    <w:p w14:paraId="620EEBB4" w14:textId="0D9BECCB" w:rsidR="00AE1645" w:rsidRPr="00AE1645" w:rsidRDefault="007F2370" w:rsidP="00CD1121">
      <w:pPr>
        <w:widowControl w:val="0"/>
        <w:spacing w:after="0"/>
        <w:ind w:firstLine="709"/>
        <w:rPr>
          <w:lang w:eastAsia="ru-RU"/>
        </w:rPr>
      </w:pPr>
      <w:r>
        <w:rPr>
          <w:lang w:eastAsia="ru-RU"/>
        </w:rPr>
        <w:t>Объем реферата, должен составлять не более 850 символов (без пробелов), но не более 1 страницы А4.</w:t>
      </w:r>
    </w:p>
    <w:p w14:paraId="2C74AA34" w14:textId="772C5760" w:rsidR="00866F49" w:rsidRPr="00866F49" w:rsidRDefault="00866F49">
      <w:pPr>
        <w:spacing w:line="259" w:lineRule="auto"/>
        <w:jc w:val="left"/>
        <w:rPr>
          <w:rFonts w:eastAsia="Times New Roman" w:cs="Times New Roman"/>
          <w:b/>
          <w:bCs/>
          <w:color w:val="000000"/>
          <w:szCs w:val="28"/>
          <w:lang w:eastAsia="ru-RU"/>
        </w:rPr>
      </w:pPr>
      <w:r>
        <w:rPr>
          <w:color w:val="FF0000"/>
        </w:rPr>
        <w:t>Образец оформления см.: Стандарт, приложение Г.</w:t>
      </w:r>
    </w:p>
    <w:p w14:paraId="2742CC37" w14:textId="1A00D193" w:rsidR="008F06E7" w:rsidRPr="00FD1F6C" w:rsidRDefault="008F06E7">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17550CC" w14:textId="71ABA882" w:rsidR="00AE1645" w:rsidRPr="00EC452F" w:rsidRDefault="00AE1645" w:rsidP="00AE1645">
      <w:pPr>
        <w:spacing w:after="0" w:line="240" w:lineRule="auto"/>
        <w:jc w:val="center"/>
        <w:rPr>
          <w:rFonts w:eastAsia="Times New Roman" w:cs="Times New Roman"/>
          <w:b/>
          <w:bCs/>
          <w:color w:val="000000"/>
          <w:szCs w:val="28"/>
          <w:lang w:eastAsia="ru-RU"/>
        </w:rPr>
      </w:pPr>
      <w:r>
        <w:rPr>
          <w:rFonts w:eastAsia="Times New Roman" w:cs="Times New Roman"/>
          <w:b/>
          <w:bCs/>
          <w:color w:val="000000"/>
          <w:szCs w:val="28"/>
          <w:lang w:val="en-US" w:eastAsia="ru-RU"/>
        </w:rPr>
        <w:lastRenderedPageBreak/>
        <w:t>The</w:t>
      </w:r>
      <w:r>
        <w:rPr>
          <w:rFonts w:eastAsia="Times New Roman" w:cs="Times New Roman"/>
          <w:b/>
          <w:bCs/>
          <w:color w:val="000000"/>
          <w:szCs w:val="28"/>
          <w:lang w:eastAsia="ru-RU"/>
        </w:rPr>
        <w:t xml:space="preserve"> </w:t>
      </w:r>
      <w:r>
        <w:rPr>
          <w:rFonts w:eastAsia="Times New Roman" w:cs="Times New Roman"/>
          <w:b/>
          <w:bCs/>
          <w:color w:val="000000"/>
          <w:szCs w:val="28"/>
          <w:lang w:val="en-US" w:eastAsia="ru-RU"/>
        </w:rPr>
        <w:t>Abstract</w:t>
      </w:r>
    </w:p>
    <w:p w14:paraId="616C8454" w14:textId="77777777" w:rsidR="00866F49" w:rsidRPr="00AE1645" w:rsidRDefault="00866F49" w:rsidP="00AE1645">
      <w:pPr>
        <w:spacing w:after="0" w:line="240" w:lineRule="auto"/>
        <w:jc w:val="center"/>
        <w:rPr>
          <w:rFonts w:eastAsia="Times New Roman" w:cs="Times New Roman"/>
          <w:sz w:val="24"/>
          <w:szCs w:val="24"/>
          <w:lang w:eastAsia="ru-RU"/>
        </w:rPr>
      </w:pPr>
    </w:p>
    <w:p w14:paraId="3CA99E57" w14:textId="77777777" w:rsidR="00AE1645" w:rsidRPr="00AE1645" w:rsidRDefault="00AE1645" w:rsidP="00AE1645">
      <w:pPr>
        <w:spacing w:after="0" w:line="240" w:lineRule="auto"/>
        <w:jc w:val="left"/>
        <w:rPr>
          <w:rFonts w:eastAsia="Times New Roman" w:cs="Times New Roman"/>
          <w:sz w:val="24"/>
          <w:szCs w:val="24"/>
          <w:lang w:eastAsia="ru-RU"/>
        </w:rPr>
      </w:pPr>
    </w:p>
    <w:p w14:paraId="443BA546" w14:textId="4CDAD513" w:rsidR="00822088" w:rsidRPr="007F2370" w:rsidRDefault="007F2370" w:rsidP="00866F49">
      <w:pPr>
        <w:tabs>
          <w:tab w:val="center" w:pos="4677"/>
        </w:tabs>
        <w:ind w:firstLine="709"/>
      </w:pPr>
      <w:r>
        <w:t>Тоже самое, что и в реферате, но переведённое на английский язык.</w:t>
      </w:r>
    </w:p>
    <w:p w14:paraId="3EA92450" w14:textId="086B2CB7" w:rsidR="008E1440" w:rsidRPr="008E1440" w:rsidRDefault="00DF758A" w:rsidP="00A334C7">
      <w:pPr>
        <w:spacing w:line="259" w:lineRule="auto"/>
        <w:jc w:val="center"/>
        <w:rPr>
          <w:b/>
        </w:rPr>
      </w:pPr>
      <w:r>
        <w:br w:type="page"/>
      </w:r>
      <w:r>
        <w:rPr>
          <w:rFonts w:cs="Times New Roman"/>
          <w:b/>
          <w:szCs w:val="28"/>
        </w:rPr>
        <w:lastRenderedPageBreak/>
        <w:t>Сокращения, обозначения, термины и определения</w:t>
      </w:r>
    </w:p>
    <w:p w14:paraId="79E2F3D1" w14:textId="77777777" w:rsidR="008E1440" w:rsidRPr="008E1440" w:rsidRDefault="008E1440" w:rsidP="008E1440">
      <w:pPr>
        <w:spacing w:line="259" w:lineRule="auto"/>
        <w:jc w:val="left"/>
      </w:pPr>
    </w:p>
    <w:p w14:paraId="296AB079" w14:textId="53863AF0" w:rsidR="00295B3B" w:rsidRDefault="00295B3B" w:rsidP="00983AF2">
      <w:pPr>
        <w:ind w:firstLine="709"/>
      </w:pPr>
      <w:r>
        <w:t>В настоящей работе применяют следующие термины и соответствующие определения:</w:t>
      </w:r>
    </w:p>
    <w:p w14:paraId="47DA4909" w14:textId="1E966E94" w:rsidR="004A25E7" w:rsidRDefault="004A25E7" w:rsidP="004A25E7">
      <w:pPr>
        <w:ind w:firstLine="709"/>
      </w:pPr>
      <w:r>
        <w:t>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лактата в крови, десатурацией мышечного гемоглобина и изменением паттерна рекрутирования двигательных единиц.</w:t>
      </w:r>
    </w:p>
    <w:p w14:paraId="14B4D49B" w14:textId="4D3A4C00" w:rsidR="004A25E7" w:rsidRDefault="004A25E7" w:rsidP="004A25E7">
      <w:pPr>
        <w:ind w:firstLine="709"/>
      </w:pPr>
      <w:r>
        <w:t>Вейвлетное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ABC3F81" w14:textId="38908389" w:rsidR="004A25E7" w:rsidRDefault="004A25E7" w:rsidP="004A25E7">
      <w:pPr>
        <w:ind w:firstLine="709"/>
      </w:pPr>
      <w:r>
        <w:t>Вейвлет-энтропия – мера сложности сигнала, вычисляемая как нормированная энтропия Шеннона по распределению энергии вейвлет-коэффициентов по уровням декомпозиции.</w:t>
      </w:r>
    </w:p>
    <w:p w14:paraId="531199B0" w14:textId="41B00C28" w:rsidR="004A25E7" w:rsidRDefault="004A25E7" w:rsidP="004A25E7">
      <w:pPr>
        <w:ind w:firstLine="709"/>
      </w:pPr>
      <w:r>
        <w:t>Двигательная единица (ДЕ) – мотонейрон и иннервируемые им мышечные волокна; минимальная функциональная единица нервно-мышечной системы.</w:t>
      </w:r>
    </w:p>
    <w:p w14:paraId="282DBF66" w14:textId="3A2D93CF" w:rsidR="004A25E7" w:rsidRDefault="004A25E7" w:rsidP="004A25E7">
      <w:pPr>
        <w:ind w:firstLine="709"/>
      </w:pPr>
      <w:r>
        <w:t>DFA-α1 (краткосрочный показатель детрендированного флуктуационного анализа) – безразмерный показатель, характеризующий фрактальные свойства временного ряда RR-интервалов в коротких временных масштабах (4–16 кардиоциклов); значение α1 = 0,75 эмпирически соответствует первому аэробному порогу (VT1/LT1).</w:t>
      </w:r>
    </w:p>
    <w:p w14:paraId="718194F8" w14:textId="072E0A27" w:rsidR="004A25E7" w:rsidRDefault="004A25E7" w:rsidP="004A25E7">
      <w:pPr>
        <w:ind w:firstLine="709"/>
      </w:pPr>
      <w:r>
        <w:t>Лактатный порог (LT) – и</w:t>
      </w:r>
      <w:r>
        <w:softHyphen/>
        <w:t>нтенсивность нагрузки, при которой концентрация лактата в крови начинает нелинейно возрастать относительно базального уровня покоя; различают первый (LT1, ~2–2,5 ммоль/л) и второй (LT2, ~4 ммоль/л) лактатные пороги.</w:t>
      </w:r>
    </w:p>
    <w:p w14:paraId="20A34CFC" w14:textId="1C5B4CE5" w:rsidR="004A25E7" w:rsidRDefault="004A25E7" w:rsidP="004A25E7">
      <w:pPr>
        <w:ind w:firstLine="709"/>
      </w:pPr>
      <w:r>
        <w:lastRenderedPageBreak/>
        <w:t>Leave-One-Subject-Out (LOSO) – метод перекрёстной валидации, при котором на каждой итерации модель обучается на данных всех испытуемых, кроме одного, и тестируется а оставленном; обеспечивает оценку обобщаемости модели на новых субъектах без утечки данных.</w:t>
      </w:r>
    </w:p>
    <w:p w14:paraId="5DF23841" w14:textId="5852271D"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2E31450F" w14:textId="192B59DB" w:rsidR="004A25E7" w:rsidRDefault="004A25E7" w:rsidP="004A25E7">
      <w:pPr>
        <w:ind w:firstLine="709"/>
      </w:pPr>
      <w:r>
        <w:t>Мышечная оксигенация (SmO₂) – доля оксигенированного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4CA24DCA" w14:textId="69078670" w:rsidR="004A25E7" w:rsidRDefault="004A25E7" w:rsidP="004A25E7">
      <w:pPr>
        <w:ind w:firstLine="709"/>
      </w:pPr>
      <w:r>
        <w:t>NIRS (ближняя инфракрасная спектроскопия) – оптический метод неинвазивного мониторинга оксигенации тканей, основанный на различии спектров поглощения оксигемоглобина (O₂Hb) и дезоксигемоглобина (HHb) в диапазоне длин волн 700–900 нм.</w:t>
      </w:r>
    </w:p>
    <w:p w14:paraId="4FC109FA" w14:textId="5B7C090E" w:rsidR="004A25E7" w:rsidRDefault="004A25E7" w:rsidP="004A25E7">
      <w:pPr>
        <w:ind w:firstLine="709"/>
      </w:pPr>
      <w:r>
        <w:t>Рекрутирование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4D17EADA" w14:textId="495DE50F"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01A79867" w14:textId="733C5FC3" w:rsidR="004A25E7" w:rsidRDefault="004A25E7" w:rsidP="004A25E7">
      <w:pPr>
        <w:ind w:firstLine="709"/>
      </w:pPr>
      <w:r>
        <w:t>SHAP (SHapley Additive exPlanations)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16CF2ED" w14:textId="29201DDE"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E8D943" w14:textId="7536809D" w:rsidR="004A25E7" w:rsidRDefault="004A25E7" w:rsidP="004A25E7">
      <w:pPr>
        <w:ind w:firstLine="709"/>
      </w:pPr>
      <w:r>
        <w:t>Темпоральная свёрточная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49E3C368" w14:textId="630432DC"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(sEMG) регистрирует сигнал посредством электродов, размещённых на коже над исследуемой мышцей.</w:t>
      </w:r>
    </w:p>
    <w:p w14:paraId="5F8FF41C" w14:textId="3094B7BB" w:rsidR="004A25E7" w:rsidRDefault="004A25E7" w:rsidP="00983AF2">
      <w:pPr>
        <w:ind w:firstLine="709"/>
      </w:pPr>
    </w:p>
    <w:p w14:paraId="001690F9"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54594771" w14:textId="77777777" w:rsidR="004A25E7" w:rsidRDefault="004A25E7" w:rsidP="00983AF2">
      <w:pPr>
        <w:ind w:firstLine="709"/>
      </w:pPr>
    </w:p>
    <w:p w14:paraId="5CEC748E" w14:textId="77777777" w:rsidR="00983AF2" w:rsidRDefault="00983AF2" w:rsidP="00983AF2">
      <w:pPr>
        <w:ind w:firstLine="709"/>
      </w:pPr>
      <w:r>
        <w:t>АДФ – аденозиндифосфат</w:t>
      </w:r>
    </w:p>
    <w:p w14:paraId="5381A595" w14:textId="77777777" w:rsidR="00983AF2" w:rsidRDefault="00983AF2" w:rsidP="00983AF2">
      <w:pPr>
        <w:ind w:firstLine="709"/>
      </w:pPr>
      <w:r>
        <w:t>ДЕ – двигательная единица</w:t>
      </w:r>
    </w:p>
    <w:p w14:paraId="4025199E" w14:textId="77777777" w:rsidR="00983AF2" w:rsidRDefault="00983AF2" w:rsidP="00983AF2">
      <w:pPr>
        <w:ind w:firstLine="709"/>
      </w:pPr>
      <w:r>
        <w:t>ИК – инфракрасный (-ая, -ое)</w:t>
      </w:r>
    </w:p>
    <w:p w14:paraId="0DF048CB" w14:textId="77777777" w:rsidR="00983AF2" w:rsidRDefault="00983AF2" w:rsidP="00983AF2">
      <w:pPr>
        <w:ind w:firstLine="709"/>
      </w:pPr>
      <w:r>
        <w:t>ИМУ – инерциальный измерительный модуль</w:t>
      </w:r>
    </w:p>
    <w:p w14:paraId="60839B91" w14:textId="77777777" w:rsidR="00983AF2" w:rsidRDefault="00983AF2" w:rsidP="00983AF2">
      <w:pPr>
        <w:ind w:firstLine="709"/>
      </w:pPr>
      <w:r>
        <w:t>ТЗ – техническое задание</w:t>
      </w:r>
    </w:p>
    <w:p w14:paraId="64717B8B" w14:textId="77777777" w:rsidR="00983AF2" w:rsidRDefault="00983AF2" w:rsidP="00983AF2">
      <w:pPr>
        <w:ind w:firstLine="709"/>
      </w:pPr>
      <w:r>
        <w:t>ЧСС – частота сердечных сокращений</w:t>
      </w:r>
    </w:p>
    <w:p w14:paraId="33FDEAAA" w14:textId="709D7370" w:rsidR="00983AF2" w:rsidRDefault="00983AF2" w:rsidP="00983AF2">
      <w:pPr>
        <w:ind w:firstLine="709"/>
      </w:pPr>
      <w:r>
        <w:t>ЭМГ – электромиография; электромиограмма</w:t>
      </w:r>
    </w:p>
    <w:p w14:paraId="64F69067" w14:textId="710F4B36" w:rsidR="00983AF2" w:rsidRDefault="00983AF2" w:rsidP="00983AF2">
      <w:pPr>
        <w:ind w:firstLine="709"/>
      </w:pPr>
      <w:r>
        <w:t>ANT+ – Adaptive Network Topology – беспроводной протокол передачи данных</w:t>
      </w:r>
    </w:p>
    <w:p w14:paraId="2CDBE9A6" w14:textId="14EEA714" w:rsidR="00983AF2" w:rsidRDefault="00983AF2" w:rsidP="00983AF2">
      <w:pPr>
        <w:ind w:firstLine="709"/>
      </w:pPr>
      <w:r>
        <w:t>ATA – naerobic Threshold – анаэробный порог</w:t>
      </w:r>
    </w:p>
    <w:p w14:paraId="2C4F5596" w14:textId="7DB016CC" w:rsidR="00983AF2" w:rsidRDefault="00983AF2" w:rsidP="00983AF2">
      <w:pPr>
        <w:ind w:firstLine="709"/>
      </w:pPr>
      <w:r>
        <w:lastRenderedPageBreak/>
        <w:t>ATT – Adipose Tissue Thickness – толщина подкожной жировой клетчатки</w:t>
      </w:r>
    </w:p>
    <w:p w14:paraId="786BDB1A" w14:textId="0899FB86" w:rsidR="00983AF2" w:rsidRDefault="00983AF2" w:rsidP="00983AF2">
      <w:pPr>
        <w:ind w:firstLine="709"/>
      </w:pPr>
      <w:r>
        <w:t>BLE – Bluetooth Low Energy – протокол беспроводной связи малой мощности</w:t>
      </w:r>
    </w:p>
    <w:p w14:paraId="58D780DA" w14:textId="07FA6A0B" w:rsidR="00983AF2" w:rsidRDefault="00983AF2" w:rsidP="00983AF2">
      <w:pPr>
        <w:ind w:firstLine="709"/>
      </w:pPr>
      <w:r>
        <w:t>CI – Confidence Interval – доверительный интервал</w:t>
      </w:r>
    </w:p>
    <w:p w14:paraId="718FC81D" w14:textId="4A8A2135" w:rsidR="00983AF2" w:rsidRDefault="00983AF2" w:rsidP="00983AF2">
      <w:pPr>
        <w:ind w:firstLine="709"/>
      </w:pPr>
      <w:r>
        <w:t>CNN – Convolutional Neural Network – свёрточная нейронная сеть</w:t>
      </w:r>
    </w:p>
    <w:p w14:paraId="37A00340" w14:textId="26747F32" w:rsidR="00983AF2" w:rsidRDefault="00983AF2" w:rsidP="00983AF2">
      <w:pPr>
        <w:ind w:firstLine="709"/>
      </w:pPr>
      <w:r>
        <w:t>CPET – Cardiopulmonary Exercise Testing – кардиопульмональное нагрузочное тестирование</w:t>
      </w:r>
    </w:p>
    <w:p w14:paraId="79050285" w14:textId="6890DFFE" w:rsidR="00983AF2" w:rsidRDefault="00983AF2" w:rsidP="00983AF2">
      <w:pPr>
        <w:ind w:firstLine="709"/>
      </w:pPr>
      <w:r>
        <w:t>CWT – Continuous Wavelet Transform – непрерывное вейвлетное преобразование</w:t>
      </w:r>
    </w:p>
    <w:p w14:paraId="40209BF8" w14:textId="7ED2F37B" w:rsidR="00983AF2" w:rsidRDefault="00983AF2" w:rsidP="00983AF2">
      <w:pPr>
        <w:ind w:firstLine="709"/>
      </w:pPr>
      <w:r>
        <w:t>DFA-α1 – Detrended Fluctuation Analysis alpha-1 – краткосрочный показатель детрендированного флуктуационного анализа</w:t>
      </w:r>
    </w:p>
    <w:p w14:paraId="3319349C" w14:textId="3FF82023" w:rsidR="00983AF2" w:rsidRDefault="00983AF2" w:rsidP="00983AF2">
      <w:pPr>
        <w:ind w:firstLine="709"/>
      </w:pPr>
      <w:r>
        <w:t>DWT – Discrete Wavelet Transform – дискретное вейвлетное преобразование</w:t>
      </w:r>
    </w:p>
    <w:p w14:paraId="75F53E87" w14:textId="6A6DE8FB" w:rsidR="00983AF2" w:rsidRDefault="00983AF2" w:rsidP="00983AF2">
      <w:pPr>
        <w:ind w:firstLine="709"/>
      </w:pPr>
      <w:r>
        <w:t>FFT – Fast Fourier Transform – быстрое преобразование Фурье</w:t>
      </w:r>
    </w:p>
    <w:p w14:paraId="5296E223" w14:textId="4746D35A"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газообменный порог</w:t>
      </w:r>
    </w:p>
    <w:p w14:paraId="15C3A705" w14:textId="0874D27B"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720220E" w14:textId="26F77521"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29A89952" w14:textId="25E30FA6" w:rsidR="00983AF2" w:rsidRPr="004A25E7" w:rsidRDefault="00983AF2" w:rsidP="00983AF2">
      <w:pPr>
        <w:ind w:firstLine="709"/>
      </w:pPr>
      <w:r>
        <w:rPr>
          <w:lang w:val="en-US"/>
        </w:rPr>
        <w:t>HHb</w:t>
      </w:r>
      <w:r>
        <w:t xml:space="preserve"> – </w:t>
      </w:r>
      <w:r>
        <w:rPr>
          <w:lang w:val="en-US"/>
        </w:rPr>
        <w:t>Deoxyhaemoglobin</w:t>
      </w:r>
      <w:r>
        <w:t xml:space="preserve"> – дезоксигемоглобин</w:t>
      </w:r>
    </w:p>
    <w:p w14:paraId="5E00DE06" w14:textId="1E1F76C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2211D3B8" w14:textId="38315FF1"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697A481F" w14:textId="30C43F0A"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38AB588F" w14:textId="3CD08EE4"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375215BF" w14:textId="1E79FA0A"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электромиограмма</w:t>
      </w:r>
    </w:p>
    <w:p w14:paraId="6F2B0F07" w14:textId="0ECEF611"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валидация с исключением одного испытуемого</w:t>
      </w:r>
    </w:p>
    <w:p w14:paraId="71568E33" w14:textId="2B93C568"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4CAA630A" w14:textId="762D73A8"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лактатный порог</w:t>
      </w:r>
    </w:p>
    <w:p w14:paraId="31982830" w14:textId="4619007A"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лактатный порог</w:t>
      </w:r>
    </w:p>
    <w:p w14:paraId="40BEBA1F" w14:textId="128DF664"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лактатный порог</w:t>
      </w:r>
    </w:p>
    <w:p w14:paraId="17CCCCD4" w14:textId="7942D546"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лактатный порог при концентрации 4 ммоль/л</w:t>
      </w:r>
    </w:p>
    <w:p w14:paraId="74B2D14F" w14:textId="659CCE1E"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0FBAE0B" w14:textId="1CC28394" w:rsidR="001B0FFE" w:rsidRPr="001B0FFE" w:rsidRDefault="00983AF2" w:rsidP="00983AF2">
      <w:pPr>
        <w:ind w:firstLine="709"/>
        <w:rPr>
          <w:lang w:val="en-US"/>
        </w:rPr>
      </w:pPr>
      <w:r>
        <w:rPr>
          <w:lang w:val="en-US"/>
        </w:rPr>
        <w:t xml:space="preserve">MCT1 – Monocarboxylate Transporter 1 – </w:t>
      </w:r>
      <w:r>
        <w:t>монокарбоксилатный</w:t>
      </w:r>
      <w:r>
        <w:rPr>
          <w:lang w:val="en-US"/>
        </w:rPr>
        <w:t xml:space="preserve"> </w:t>
      </w:r>
      <w:r>
        <w:t>транспортёр</w:t>
      </w:r>
      <w:r>
        <w:rPr>
          <w:lang w:val="en-US"/>
        </w:rPr>
        <w:t xml:space="preserve"> 1MDFMedian Frequency – </w:t>
      </w:r>
      <w:r>
        <w:t>медианная</w:t>
      </w:r>
      <w:r>
        <w:rPr>
          <w:lang w:val="en-US"/>
        </w:rPr>
        <w:t xml:space="preserve"> </w:t>
      </w:r>
      <w:r>
        <w:t>частота</w:t>
      </w:r>
    </w:p>
    <w:p w14:paraId="0E0706A1" w14:textId="1520FFF3"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4FF37770" w14:textId="7DE45677" w:rsidR="001B0FFE" w:rsidRPr="004A25E7" w:rsidRDefault="00983AF2" w:rsidP="00983AF2">
      <w:pPr>
        <w:ind w:firstLine="709"/>
        <w:rPr>
          <w:lang w:val="en-US"/>
        </w:rPr>
      </w:pPr>
      <w:r>
        <w:rPr>
          <w:lang w:val="en-US"/>
        </w:rPr>
        <w:t xml:space="preserve">MLSS – Maximal Lactate Steady State – </w:t>
      </w:r>
      <w:r>
        <w:t>максимальное</w:t>
      </w:r>
      <w:r>
        <w:rPr>
          <w:lang w:val="en-US"/>
        </w:rPr>
        <w:t xml:space="preserve"> </w:t>
      </w:r>
      <w:r>
        <w:t>лактатное</w:t>
      </w:r>
      <w:r>
        <w:rPr>
          <w:lang w:val="en-US"/>
        </w:rPr>
        <w:t xml:space="preserve"> </w:t>
      </w:r>
      <w:r>
        <w:t>стационарное</w:t>
      </w:r>
      <w:r>
        <w:rPr>
          <w:lang w:val="en-US"/>
        </w:rPr>
        <w:t xml:space="preserve"> </w:t>
      </w:r>
      <w:r>
        <w:t>состояние</w:t>
      </w:r>
    </w:p>
    <w:p w14:paraId="6E1A58F1" w14:textId="209D0516" w:rsidR="001B0FFE" w:rsidRPr="004A25E7" w:rsidRDefault="00983AF2" w:rsidP="00983AF2">
      <w:pPr>
        <w:ind w:firstLine="709"/>
        <w:rPr>
          <w:lang w:val="en-US"/>
        </w:rPr>
      </w:pPr>
      <w:r>
        <w:rPr>
          <w:lang w:val="en-US"/>
        </w:rPr>
        <w:t xml:space="preserve">MN – FMean Frequency – </w:t>
      </w:r>
      <w:r>
        <w:t>средняя</w:t>
      </w:r>
      <w:r>
        <w:rPr>
          <w:lang w:val="en-US"/>
        </w:rPr>
        <w:t xml:space="preserve"> </w:t>
      </w:r>
      <w:r>
        <w:t>частота</w:t>
      </w:r>
    </w:p>
    <w:p w14:paraId="59A9A39C" w14:textId="17FB0122" w:rsidR="001B0FFE" w:rsidRPr="004A25E7" w:rsidRDefault="00983AF2" w:rsidP="00983AF2">
      <w:pPr>
        <w:ind w:firstLine="709"/>
        <w:rPr>
          <w:lang w:val="en-US"/>
        </w:rPr>
      </w:pPr>
      <w:r>
        <w:rPr>
          <w:lang w:val="en-US"/>
        </w:rPr>
        <w:t xml:space="preserve">NIRS – Near-Infrared Spectroscopy – </w:t>
      </w:r>
      <w:r>
        <w:t>ближняя</w:t>
      </w:r>
      <w:r>
        <w:rPr>
          <w:lang w:val="en-US"/>
        </w:rPr>
        <w:t xml:space="preserve"> </w:t>
      </w:r>
      <w:r>
        <w:t>инфракрасная</w:t>
      </w:r>
      <w:r>
        <w:rPr>
          <w:lang w:val="en-US"/>
        </w:rPr>
        <w:t xml:space="preserve"> </w:t>
      </w:r>
      <w:r>
        <w:t>спектроскопия</w:t>
      </w:r>
    </w:p>
    <w:p w14:paraId="5590E16A" w14:textId="77CCBC3A" w:rsidR="001B0FFE" w:rsidRPr="004A25E7" w:rsidRDefault="00983AF2" w:rsidP="00983AF2">
      <w:pPr>
        <w:ind w:firstLine="709"/>
        <w:rPr>
          <w:lang w:val="en-US"/>
        </w:rPr>
      </w:pPr>
      <w:r>
        <w:rPr>
          <w:lang w:val="en-US"/>
        </w:rPr>
        <w:t xml:space="preserve">OBLA – Onset of Blood Lactate Accumulation – </w:t>
      </w:r>
      <w:r>
        <w:t>начало</w:t>
      </w:r>
      <w:r>
        <w:rPr>
          <w:lang w:val="en-US"/>
        </w:rPr>
        <w:t xml:space="preserve"> </w:t>
      </w:r>
      <w:r>
        <w:t>накопления</w:t>
      </w:r>
      <w:r>
        <w:rPr>
          <w:lang w:val="en-US"/>
        </w:rPr>
        <w:t xml:space="preserve"> </w:t>
      </w:r>
      <w:r>
        <w:t>лактата</w:t>
      </w:r>
      <w:r>
        <w:rPr>
          <w:lang w:val="en-US"/>
        </w:rPr>
        <w:t xml:space="preserve"> </w:t>
      </w:r>
      <w:r>
        <w:t>в</w:t>
      </w:r>
      <w:r>
        <w:rPr>
          <w:lang w:val="en-US"/>
        </w:rPr>
        <w:t xml:space="preserve"> </w:t>
      </w:r>
      <w:r>
        <w:t>крови</w:t>
      </w:r>
    </w:p>
    <w:p w14:paraId="3123A826" w14:textId="247C9B98" w:rsidR="001B0FFE" w:rsidRPr="004A25E7" w:rsidRDefault="00983AF2" w:rsidP="00983AF2">
      <w:pPr>
        <w:ind w:firstLine="709"/>
        <w:rPr>
          <w:lang w:val="en-US"/>
        </w:rPr>
      </w:pPr>
      <w:r>
        <w:rPr>
          <w:lang w:val="en-US"/>
        </w:rPr>
        <w:t xml:space="preserve">O₂Hb – Oxyhaemoglobin – </w:t>
      </w:r>
      <w:r>
        <w:t>оксигемоглобин</w:t>
      </w:r>
    </w:p>
    <w:p w14:paraId="147B0254" w14:textId="0987687F" w:rsidR="001B0FFE" w:rsidRPr="001B0FFE" w:rsidRDefault="00983AF2" w:rsidP="00983AF2">
      <w:pPr>
        <w:ind w:firstLine="709"/>
        <w:rPr>
          <w:lang w:val="en-US"/>
        </w:rPr>
      </w:pPr>
      <w:r>
        <w:rPr>
          <w:lang w:val="en-US"/>
        </w:rPr>
        <w:lastRenderedPageBreak/>
        <w:t xml:space="preserve">R² – Coefficient of Determination – </w:t>
      </w:r>
      <w:r>
        <w:t>коэффициент</w:t>
      </w:r>
      <w:r>
        <w:rPr>
          <w:lang w:val="en-US"/>
        </w:rPr>
        <w:t xml:space="preserve"> </w:t>
      </w:r>
      <w:r>
        <w:t>детерминации</w:t>
      </w:r>
    </w:p>
    <w:p w14:paraId="5DC8A9AD" w14:textId="3729C856"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68BAF8" w14:textId="2527513A"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1EBCBF33" w14:textId="42B7FF05"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1595087C" w14:textId="6E58CCC5"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2A7676ED" w14:textId="2DFFA7B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7CB49A42" w14:textId="6404B7EC" w:rsidR="001B0FFE" w:rsidRDefault="00983AF2" w:rsidP="00983AF2">
      <w:pPr>
        <w:ind w:firstLine="709"/>
      </w:pPr>
      <w:r>
        <w:rPr>
          <w:lang w:val="en-US"/>
        </w:rPr>
        <w:t>RRRR</w:t>
      </w:r>
      <w:r>
        <w:t xml:space="preserve">-интервал – интервал между последовательными зубцами </w:t>
      </w:r>
      <w:r>
        <w:rPr>
          <w:lang w:val="en-US"/>
        </w:rPr>
        <w:t>R</w:t>
      </w:r>
      <w:r>
        <w:t xml:space="preserve"> на ЭКГ</w:t>
      </w:r>
    </w:p>
    <w:p w14:paraId="1DD2E55B" w14:textId="31FE07CA" w:rsidR="001B0FFE" w:rsidRDefault="00983AF2" w:rsidP="00983AF2">
      <w:pPr>
        <w:ind w:firstLine="709"/>
      </w:pPr>
      <w:r>
        <w:rPr>
          <w:lang w:val="en-US"/>
        </w:rPr>
        <w:t>SHAPS</w:t>
      </w:r>
      <w:r>
        <w:t xml:space="preserve"> – </w:t>
      </w:r>
      <w:r>
        <w:rPr>
          <w:lang w:val="en-US"/>
        </w:rPr>
        <w:t>Hapley</w:t>
      </w:r>
      <w:r>
        <w:t xml:space="preserve"> </w:t>
      </w:r>
      <w:r>
        <w:rPr>
          <w:lang w:val="en-US"/>
        </w:rPr>
        <w:t>Additive</w:t>
      </w:r>
      <w:r>
        <w:t xml:space="preserve"> </w:t>
      </w:r>
      <w:r>
        <w:rPr>
          <w:lang w:val="en-US"/>
        </w:rPr>
        <w:t>exPlanations</w:t>
      </w:r>
      <w:r>
        <w:t xml:space="preserve"> – метод интерпретации моделей машинного обучения на основе значений Шепли</w:t>
      </w:r>
    </w:p>
    <w:p w14:paraId="7CD925B2" w14:textId="6112AB41" w:rsidR="001B0FFE" w:rsidRDefault="00983AF2" w:rsidP="00983AF2">
      <w:pPr>
        <w:ind w:firstLine="709"/>
      </w:pPr>
      <w:r>
        <w:rPr>
          <w:lang w:val="en-US"/>
        </w:rPr>
        <w:t>SMD</w:t>
      </w:r>
      <w:r>
        <w:t xml:space="preserve"> – </w:t>
      </w:r>
      <w:r>
        <w:rPr>
          <w:lang w:val="en-US"/>
        </w:rPr>
        <w:t>Standardised</w:t>
      </w:r>
      <w:r>
        <w:t xml:space="preserve"> </w:t>
      </w:r>
      <w:r>
        <w:rPr>
          <w:lang w:val="en-US"/>
        </w:rPr>
        <w:t>Mean</w:t>
      </w:r>
      <w:r>
        <w:t xml:space="preserve"> </w:t>
      </w:r>
      <w:r>
        <w:rPr>
          <w:lang w:val="en-US"/>
        </w:rPr>
        <w:t>Difference</w:t>
      </w:r>
      <w:r>
        <w:t xml:space="preserve"> – стандартизованная разность средних</w:t>
      </w:r>
    </w:p>
    <w:p w14:paraId="76276760" w14:textId="632B4039" w:rsidR="001B0FFE" w:rsidRDefault="00983AF2" w:rsidP="00983AF2">
      <w:pPr>
        <w:ind w:firstLine="709"/>
      </w:pPr>
      <w:r>
        <w:rPr>
          <w:lang w:val="en-US"/>
        </w:rPr>
        <w:t>SmO</w:t>
      </w:r>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09AF2F68" w14:textId="2C220772"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7E36EE82" w14:textId="606D99AB" w:rsidR="001B0FFE" w:rsidRPr="001B0FFE" w:rsidRDefault="00983AF2" w:rsidP="00983AF2">
      <w:pPr>
        <w:ind w:firstLine="709"/>
        <w:rPr>
          <w:lang w:val="en-US"/>
        </w:rPr>
      </w:pPr>
      <w:r>
        <w:rPr>
          <w:lang w:val="en-US"/>
        </w:rPr>
        <w:t xml:space="preserve">TCN – Temporal Convolutional Network – </w:t>
      </w:r>
      <w:r>
        <w:t>темпоральная</w:t>
      </w:r>
      <w:r>
        <w:rPr>
          <w:lang w:val="en-US"/>
        </w:rPr>
        <w:t xml:space="preserve"> </w:t>
      </w:r>
      <w:r>
        <w:t>свёрточная</w:t>
      </w:r>
      <w:r>
        <w:rPr>
          <w:lang w:val="en-US"/>
        </w:rPr>
        <w:t xml:space="preserve"> </w:t>
      </w:r>
      <w:r>
        <w:t>сеть</w:t>
      </w:r>
    </w:p>
    <w:p w14:paraId="579E8442" w14:textId="79E0CE76" w:rsidR="001B0FFE" w:rsidRDefault="00983AF2" w:rsidP="00983AF2">
      <w:pPr>
        <w:ind w:firstLine="709"/>
        <w:rPr>
          <w:lang w:val="en-US"/>
        </w:rPr>
      </w:pPr>
      <w:r>
        <w:rPr>
          <w:lang w:val="en-US"/>
        </w:rPr>
        <w:t xml:space="preserve">TCU – Trigno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Delsys Trigno</w:t>
      </w:r>
    </w:p>
    <w:p w14:paraId="6B2FCC61" w14:textId="5CCCEC0C" w:rsidR="001B0FFE" w:rsidRPr="001B0FFE" w:rsidRDefault="00983AF2" w:rsidP="00983AF2">
      <w:pPr>
        <w:ind w:firstLine="709"/>
        <w:rPr>
          <w:lang w:val="en-US"/>
        </w:rPr>
      </w:pPr>
      <w:r>
        <w:rPr>
          <w:lang w:val="en-US"/>
        </w:rPr>
        <w:t xml:space="preserve">THb – Total Haemoglobin – </w:t>
      </w:r>
      <w:r>
        <w:t>суммарный</w:t>
      </w:r>
      <w:r>
        <w:rPr>
          <w:lang w:val="en-US"/>
        </w:rPr>
        <w:t xml:space="preserve"> </w:t>
      </w:r>
      <w:r>
        <w:t>гемоглобин</w:t>
      </w:r>
    </w:p>
    <w:p w14:paraId="01AF4813" w14:textId="579C2B28"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F4757B3" w14:textId="66383681"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52A43FA4" w14:textId="48FA8392" w:rsidR="001B0FFE" w:rsidRPr="004A25E7" w:rsidRDefault="00983AF2" w:rsidP="00983AF2">
      <w:pPr>
        <w:ind w:firstLine="709"/>
        <w:rPr>
          <w:lang w:val="en-US"/>
        </w:rPr>
      </w:pPr>
      <w:r>
        <w:rPr>
          <w:lang w:val="en-US"/>
        </w:rPr>
        <w:t xml:space="preserve">VO₂max – Maximum Oxygen Uptake – </w:t>
      </w:r>
      <w:r>
        <w:t>максимальное</w:t>
      </w:r>
      <w:r>
        <w:rPr>
          <w:lang w:val="en-US"/>
        </w:rPr>
        <w:t xml:space="preserve"> </w:t>
      </w:r>
      <w:r>
        <w:t>потребление</w:t>
      </w:r>
      <w:r>
        <w:rPr>
          <w:lang w:val="en-US"/>
        </w:rPr>
        <w:t xml:space="preserve"> </w:t>
      </w:r>
      <w:r>
        <w:t>кислорода</w:t>
      </w:r>
    </w:p>
    <w:p w14:paraId="3FC16A13" w14:textId="1B515098"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5BC4BE84" w14:textId="66F1B61E"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07219904" w14:textId="178EC119"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вейвлетный индекс</w:t>
      </w:r>
    </w:p>
    <w:p w14:paraId="50ACDFB1" w14:textId="77777777" w:rsidR="008E1440" w:rsidRDefault="008E1440">
      <w:pPr>
        <w:spacing w:line="259" w:lineRule="auto"/>
        <w:jc w:val="left"/>
      </w:pPr>
      <w:r>
        <w:br w:type="page"/>
      </w:r>
    </w:p>
    <w:sdt>
      <w:sdtPr>
        <w:rPr>
          <w:rFonts w:eastAsiaTheme="minorHAnsi" w:cstheme="minorBidi"/>
          <w:b w:val="0"/>
          <w:caps w:val="0"/>
          <w:sz w:val="28"/>
          <w:szCs w:val="22"/>
          <w:lang w:eastAsia="en-US"/>
        </w:rPr>
        <w:id w:val="222796521"/>
        <w:docPartObj>
          <w:docPartGallery w:val="Table of Contents"/>
          <w:docPartUnique/>
        </w:docPartObj>
      </w:sdtPr>
      <w:sdtEndPr>
        <w:rPr>
          <w:bCs/>
        </w:rPr>
      </w:sdtEndPr>
      <w:sdtContent>
        <w:p w14:paraId="14A1B48B" w14:textId="36F5DC10" w:rsidR="00295B3B" w:rsidRDefault="00295B3B" w:rsidP="00A334C7">
          <w:pPr>
            <w:pStyle w:val="a3"/>
          </w:pPr>
          <w:r>
            <w:t>Оглавление</w:t>
          </w:r>
        </w:p>
        <w:p w14:paraId="11083565" w14:textId="77777777" w:rsidR="00295B3B" w:rsidRPr="00EC452F" w:rsidRDefault="00295B3B" w:rsidP="00A334C7"/>
        <w:p w14:paraId="47B850B6" w14:textId="49AD7F0E" w:rsidR="00741998" w:rsidRDefault="00295B3B">
          <w:pPr>
            <w:pStyle w:val="23"/>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28326027" w:history="1">
            <w:r>
              <w:rPr>
                <w:rStyle w:val="a4"/>
                <w:noProof/>
              </w:rPr>
              <w:t>Введение</w:t>
            </w:r>
            <w:r>
              <w:rPr>
                <w:noProof/>
                <w:webHidden/>
              </w:rPr>
              <w:tab/>
            </w:r>
            <w:r>
              <w:rPr>
                <w:noProof/>
                <w:webHidden/>
              </w:rPr>
              <w:fldChar w:fldCharType="begin"/>
            </w:r>
            <w:r>
              <w:rPr>
                <w:noProof/>
                <w:webHidden/>
              </w:rPr>
              <w:instrText xml:space="preserve"> PAGEREF _Toc228326027 \h </w:instrText>
            </w:r>
            <w:r>
              <w:rPr>
                <w:noProof/>
                <w:webHidden/>
              </w:rPr>
            </w:r>
            <w:r>
              <w:rPr>
                <w:noProof/>
                <w:webHidden/>
              </w:rPr>
              <w:fldChar w:fldCharType="separate"/>
            </w:r>
            <w:r>
              <w:rPr>
                <w:noProof/>
                <w:webHidden/>
              </w:rPr>
              <w:t>16</w:t>
            </w:r>
            <w:r>
              <w:rPr>
                <w:noProof/>
                <w:webHidden/>
              </w:rPr>
              <w:fldChar w:fldCharType="end"/>
            </w:r>
          </w:hyperlink>
        </w:p>
        <w:p w14:paraId="04FD2758" w14:textId="477FB5A8" w:rsidR="00741998" w:rsidRDefault="00031FA9">
          <w:pPr>
            <w:pStyle w:val="11"/>
            <w:tabs>
              <w:tab w:val="right" w:leader="dot" w:pos="9345"/>
            </w:tabs>
            <w:rPr>
              <w:rFonts w:asciiTheme="minorHAnsi" w:eastAsiaTheme="minorEastAsia" w:hAnsiTheme="minorHAnsi"/>
              <w:noProof/>
              <w:sz w:val="24"/>
              <w:szCs w:val="24"/>
              <w:lang w:eastAsia="ru-RU"/>
            </w:rPr>
          </w:pPr>
          <w:hyperlink w:anchor="_Toc228326028" w:history="1">
            <w:r w:rsidR="00A444D4">
              <w:rPr>
                <w:rStyle w:val="a4"/>
                <w:noProof/>
              </w:rPr>
              <w:t>1 Обзор литературы</w:t>
            </w:r>
            <w:r w:rsidR="00A444D4">
              <w:rPr>
                <w:noProof/>
                <w:webHidden/>
              </w:rPr>
              <w:tab/>
            </w:r>
            <w:r w:rsidR="00A444D4">
              <w:rPr>
                <w:noProof/>
                <w:webHidden/>
              </w:rPr>
              <w:fldChar w:fldCharType="begin"/>
            </w:r>
            <w:r w:rsidR="00A444D4">
              <w:rPr>
                <w:noProof/>
                <w:webHidden/>
              </w:rPr>
              <w:instrText xml:space="preserve"> PAGEREF _Toc228326028 \h </w:instrText>
            </w:r>
            <w:r w:rsidR="00A444D4">
              <w:rPr>
                <w:noProof/>
                <w:webHidden/>
              </w:rPr>
            </w:r>
            <w:r w:rsidR="00A444D4">
              <w:rPr>
                <w:noProof/>
                <w:webHidden/>
              </w:rPr>
              <w:fldChar w:fldCharType="separate"/>
            </w:r>
            <w:r w:rsidR="00A444D4">
              <w:rPr>
                <w:noProof/>
                <w:webHidden/>
              </w:rPr>
              <w:t>19</w:t>
            </w:r>
            <w:r w:rsidR="00A444D4">
              <w:rPr>
                <w:noProof/>
                <w:webHidden/>
              </w:rPr>
              <w:fldChar w:fldCharType="end"/>
            </w:r>
          </w:hyperlink>
        </w:p>
        <w:p w14:paraId="7EDB0A8B" w14:textId="1227BA70" w:rsidR="00741998" w:rsidRDefault="00031FA9">
          <w:pPr>
            <w:pStyle w:val="23"/>
            <w:rPr>
              <w:rFonts w:asciiTheme="minorHAnsi" w:eastAsiaTheme="minorEastAsia" w:hAnsiTheme="minorHAnsi"/>
              <w:noProof/>
              <w:sz w:val="24"/>
              <w:szCs w:val="24"/>
              <w:lang w:eastAsia="ru-RU"/>
            </w:rPr>
          </w:pPr>
          <w:hyperlink w:anchor="_Toc228326029" w:history="1">
            <w:r w:rsidR="00A444D4">
              <w:rPr>
                <w:rStyle w:val="a4"/>
                <w:noProof/>
              </w:rPr>
              <w:t>1.1 Аэробно-анаэробный переход: физиологические механизмы</w:t>
            </w:r>
            <w:r w:rsidR="00A444D4">
              <w:rPr>
                <w:noProof/>
                <w:webHidden/>
              </w:rPr>
              <w:tab/>
            </w:r>
            <w:r w:rsidR="00A444D4">
              <w:rPr>
                <w:noProof/>
                <w:webHidden/>
              </w:rPr>
              <w:fldChar w:fldCharType="begin"/>
            </w:r>
            <w:r w:rsidR="00A444D4">
              <w:rPr>
                <w:noProof/>
                <w:webHidden/>
              </w:rPr>
              <w:instrText xml:space="preserve"> PAGEREF _Toc228326029 \h </w:instrText>
            </w:r>
            <w:r w:rsidR="00A444D4">
              <w:rPr>
                <w:noProof/>
                <w:webHidden/>
              </w:rPr>
            </w:r>
            <w:r w:rsidR="00A444D4">
              <w:rPr>
                <w:noProof/>
                <w:webHidden/>
              </w:rPr>
              <w:fldChar w:fldCharType="separate"/>
            </w:r>
            <w:r w:rsidR="00A444D4">
              <w:rPr>
                <w:noProof/>
                <w:webHidden/>
              </w:rPr>
              <w:t>19</w:t>
            </w:r>
            <w:r w:rsidR="00A444D4">
              <w:rPr>
                <w:noProof/>
                <w:webHidden/>
              </w:rPr>
              <w:fldChar w:fldCharType="end"/>
            </w:r>
          </w:hyperlink>
        </w:p>
        <w:p w14:paraId="343083D0" w14:textId="33F2ED8E" w:rsidR="00741998" w:rsidRDefault="00031FA9">
          <w:pPr>
            <w:pStyle w:val="23"/>
            <w:rPr>
              <w:rFonts w:asciiTheme="minorHAnsi" w:eastAsiaTheme="minorEastAsia" w:hAnsiTheme="minorHAnsi"/>
              <w:noProof/>
              <w:sz w:val="24"/>
              <w:szCs w:val="24"/>
              <w:lang w:eastAsia="ru-RU"/>
            </w:rPr>
          </w:pPr>
          <w:hyperlink w:anchor="_Toc228326030" w:history="1">
            <w:r w:rsidR="00A444D4">
              <w:rPr>
                <w:rStyle w:val="a4"/>
                <w:noProof/>
              </w:rPr>
              <w:t>1.2 Электромиография как неинвазивный маркер порога при велоэргометрии</w:t>
            </w:r>
            <w:r w:rsidR="00A444D4">
              <w:rPr>
                <w:noProof/>
                <w:webHidden/>
              </w:rPr>
              <w:tab/>
            </w:r>
            <w:r w:rsidR="00A444D4">
              <w:rPr>
                <w:noProof/>
                <w:webHidden/>
              </w:rPr>
              <w:fldChar w:fldCharType="begin"/>
            </w:r>
            <w:r w:rsidR="00A444D4">
              <w:rPr>
                <w:noProof/>
                <w:webHidden/>
              </w:rPr>
              <w:instrText xml:space="preserve"> PAGEREF _Toc228326030 \h </w:instrText>
            </w:r>
            <w:r w:rsidR="00A444D4">
              <w:rPr>
                <w:noProof/>
                <w:webHidden/>
              </w:rPr>
            </w:r>
            <w:r w:rsidR="00A444D4">
              <w:rPr>
                <w:noProof/>
                <w:webHidden/>
              </w:rPr>
              <w:fldChar w:fldCharType="separate"/>
            </w:r>
            <w:r w:rsidR="00A444D4">
              <w:rPr>
                <w:noProof/>
                <w:webHidden/>
              </w:rPr>
              <w:t>22</w:t>
            </w:r>
            <w:r w:rsidR="00A444D4">
              <w:rPr>
                <w:noProof/>
                <w:webHidden/>
              </w:rPr>
              <w:fldChar w:fldCharType="end"/>
            </w:r>
          </w:hyperlink>
        </w:p>
        <w:p w14:paraId="443D8C38" w14:textId="7CCADD04"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31" w:history="1">
            <w:r w:rsidR="00A444D4">
              <w:rPr>
                <w:rStyle w:val="a4"/>
                <w:noProof/>
              </w:rPr>
              <w:t>1.2.1 Классические признаки: RMS, MDF и ЭМГ-порог</w:t>
            </w:r>
            <w:r w:rsidR="00A444D4">
              <w:rPr>
                <w:noProof/>
                <w:webHidden/>
              </w:rPr>
              <w:tab/>
            </w:r>
            <w:r w:rsidR="00A444D4">
              <w:rPr>
                <w:noProof/>
                <w:webHidden/>
              </w:rPr>
              <w:fldChar w:fldCharType="begin"/>
            </w:r>
            <w:r w:rsidR="00A444D4">
              <w:rPr>
                <w:noProof/>
                <w:webHidden/>
              </w:rPr>
              <w:instrText xml:space="preserve"> PAGEREF _Toc228326031 \h </w:instrText>
            </w:r>
            <w:r w:rsidR="00A444D4">
              <w:rPr>
                <w:noProof/>
                <w:webHidden/>
              </w:rPr>
            </w:r>
            <w:r w:rsidR="00A444D4">
              <w:rPr>
                <w:noProof/>
                <w:webHidden/>
              </w:rPr>
              <w:fldChar w:fldCharType="separate"/>
            </w:r>
            <w:r w:rsidR="00A444D4">
              <w:rPr>
                <w:noProof/>
                <w:webHidden/>
              </w:rPr>
              <w:t>22</w:t>
            </w:r>
            <w:r w:rsidR="00A444D4">
              <w:rPr>
                <w:noProof/>
                <w:webHidden/>
              </w:rPr>
              <w:fldChar w:fldCharType="end"/>
            </w:r>
          </w:hyperlink>
        </w:p>
        <w:p w14:paraId="08390907" w14:textId="17D571DA"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32" w:history="1">
            <w:r w:rsidR="00A444D4">
              <w:rPr>
                <w:rStyle w:val="a4"/>
                <w:noProof/>
              </w:rPr>
              <w:t>1.2.2 Вейвлетный анализ ЭМГ</w:t>
            </w:r>
            <w:r w:rsidR="00A444D4">
              <w:rPr>
                <w:noProof/>
                <w:webHidden/>
              </w:rPr>
              <w:tab/>
            </w:r>
            <w:r w:rsidR="00A444D4">
              <w:rPr>
                <w:noProof/>
                <w:webHidden/>
              </w:rPr>
              <w:fldChar w:fldCharType="begin"/>
            </w:r>
            <w:r w:rsidR="00A444D4">
              <w:rPr>
                <w:noProof/>
                <w:webHidden/>
              </w:rPr>
              <w:instrText xml:space="preserve"> PAGEREF _Toc228326032 \h </w:instrText>
            </w:r>
            <w:r w:rsidR="00A444D4">
              <w:rPr>
                <w:noProof/>
                <w:webHidden/>
              </w:rPr>
            </w:r>
            <w:r w:rsidR="00A444D4">
              <w:rPr>
                <w:noProof/>
                <w:webHidden/>
              </w:rPr>
              <w:fldChar w:fldCharType="separate"/>
            </w:r>
            <w:r w:rsidR="00A444D4">
              <w:rPr>
                <w:noProof/>
                <w:webHidden/>
              </w:rPr>
              <w:t>25</w:t>
            </w:r>
            <w:r w:rsidR="00A444D4">
              <w:rPr>
                <w:noProof/>
                <w:webHidden/>
              </w:rPr>
              <w:fldChar w:fldCharType="end"/>
            </w:r>
          </w:hyperlink>
        </w:p>
        <w:p w14:paraId="0F1C0C5D" w14:textId="524A83A1" w:rsidR="00741998" w:rsidRDefault="00031FA9">
          <w:pPr>
            <w:pStyle w:val="23"/>
            <w:rPr>
              <w:rFonts w:asciiTheme="minorHAnsi" w:eastAsiaTheme="minorEastAsia" w:hAnsiTheme="minorHAnsi"/>
              <w:noProof/>
              <w:sz w:val="24"/>
              <w:szCs w:val="24"/>
              <w:lang w:eastAsia="ru-RU"/>
            </w:rPr>
          </w:pPr>
          <w:hyperlink w:anchor="_Toc228326033" w:history="1">
            <w:r w:rsidR="00A444D4">
              <w:rPr>
                <w:rStyle w:val="a4"/>
                <w:noProof/>
              </w:rPr>
              <w:t>1.3 Ближняя инфракрасная спектроскопия и локальная мышечная оксигенация</w:t>
            </w:r>
            <w:r w:rsidR="00A444D4">
              <w:rPr>
                <w:noProof/>
                <w:webHidden/>
              </w:rPr>
              <w:tab/>
            </w:r>
            <w:r w:rsidR="00A444D4">
              <w:rPr>
                <w:noProof/>
                <w:webHidden/>
              </w:rPr>
              <w:fldChar w:fldCharType="begin"/>
            </w:r>
            <w:r w:rsidR="00A444D4">
              <w:rPr>
                <w:noProof/>
                <w:webHidden/>
              </w:rPr>
              <w:instrText xml:space="preserve"> PAGEREF _Toc228326033 \h </w:instrText>
            </w:r>
            <w:r w:rsidR="00A444D4">
              <w:rPr>
                <w:noProof/>
                <w:webHidden/>
              </w:rPr>
            </w:r>
            <w:r w:rsidR="00A444D4">
              <w:rPr>
                <w:noProof/>
                <w:webHidden/>
              </w:rPr>
              <w:fldChar w:fldCharType="separate"/>
            </w:r>
            <w:r w:rsidR="00A444D4">
              <w:rPr>
                <w:noProof/>
                <w:webHidden/>
              </w:rPr>
              <w:t>29</w:t>
            </w:r>
            <w:r w:rsidR="00A444D4">
              <w:rPr>
                <w:noProof/>
                <w:webHidden/>
              </w:rPr>
              <w:fldChar w:fldCharType="end"/>
            </w:r>
          </w:hyperlink>
        </w:p>
        <w:p w14:paraId="421315D1" w14:textId="4F88E473" w:rsidR="00741998" w:rsidRDefault="00031FA9">
          <w:pPr>
            <w:pStyle w:val="23"/>
            <w:rPr>
              <w:rFonts w:asciiTheme="minorHAnsi" w:eastAsiaTheme="minorEastAsia" w:hAnsiTheme="minorHAnsi"/>
              <w:noProof/>
              <w:sz w:val="24"/>
              <w:szCs w:val="24"/>
              <w:lang w:eastAsia="ru-RU"/>
            </w:rPr>
          </w:pPr>
          <w:hyperlink w:anchor="_Toc228326034" w:history="1">
            <w:r w:rsidR="00A444D4">
              <w:rPr>
                <w:rStyle w:val="a4"/>
                <w:noProof/>
              </w:rPr>
              <w:t>1.4 Вариабельность сердечного ритма и DFA-α1 как онлайн-маркер первого порога</w:t>
            </w:r>
            <w:r w:rsidR="00A444D4">
              <w:rPr>
                <w:noProof/>
                <w:webHidden/>
              </w:rPr>
              <w:tab/>
            </w:r>
            <w:r w:rsidR="00A444D4">
              <w:rPr>
                <w:noProof/>
                <w:webHidden/>
              </w:rPr>
              <w:fldChar w:fldCharType="begin"/>
            </w:r>
            <w:r w:rsidR="00A444D4">
              <w:rPr>
                <w:noProof/>
                <w:webHidden/>
              </w:rPr>
              <w:instrText xml:space="preserve"> PAGEREF _Toc228326034 \h </w:instrText>
            </w:r>
            <w:r w:rsidR="00A444D4">
              <w:rPr>
                <w:noProof/>
                <w:webHidden/>
              </w:rPr>
            </w:r>
            <w:r w:rsidR="00A444D4">
              <w:rPr>
                <w:noProof/>
                <w:webHidden/>
              </w:rPr>
              <w:fldChar w:fldCharType="separate"/>
            </w:r>
            <w:r w:rsidR="00A444D4">
              <w:rPr>
                <w:noProof/>
                <w:webHidden/>
              </w:rPr>
              <w:t>33</w:t>
            </w:r>
            <w:r w:rsidR="00A444D4">
              <w:rPr>
                <w:noProof/>
                <w:webHidden/>
              </w:rPr>
              <w:fldChar w:fldCharType="end"/>
            </w:r>
          </w:hyperlink>
        </w:p>
        <w:p w14:paraId="7138B815" w14:textId="0910BA51" w:rsidR="00741998" w:rsidRDefault="00031FA9">
          <w:pPr>
            <w:pStyle w:val="23"/>
            <w:rPr>
              <w:rFonts w:asciiTheme="minorHAnsi" w:eastAsiaTheme="minorEastAsia" w:hAnsiTheme="minorHAnsi"/>
              <w:noProof/>
              <w:sz w:val="24"/>
              <w:szCs w:val="24"/>
              <w:lang w:eastAsia="ru-RU"/>
            </w:rPr>
          </w:pPr>
          <w:hyperlink w:anchor="_Toc228326035" w:history="1">
            <w:r w:rsidR="00A444D4">
              <w:rPr>
                <w:rStyle w:val="a4"/>
                <w:noProof/>
              </w:rPr>
              <w:t>1.5 Кинетика лактата: задержка системного сигнала относительно локального</w:t>
            </w:r>
            <w:r w:rsidR="00A444D4">
              <w:rPr>
                <w:noProof/>
                <w:webHidden/>
              </w:rPr>
              <w:tab/>
            </w:r>
            <w:r w:rsidR="00A444D4">
              <w:rPr>
                <w:noProof/>
                <w:webHidden/>
              </w:rPr>
              <w:fldChar w:fldCharType="begin"/>
            </w:r>
            <w:r w:rsidR="00A444D4">
              <w:rPr>
                <w:noProof/>
                <w:webHidden/>
              </w:rPr>
              <w:instrText xml:space="preserve"> PAGEREF _Toc228326035 \h </w:instrText>
            </w:r>
            <w:r w:rsidR="00A444D4">
              <w:rPr>
                <w:noProof/>
                <w:webHidden/>
              </w:rPr>
            </w:r>
            <w:r w:rsidR="00A444D4">
              <w:rPr>
                <w:noProof/>
                <w:webHidden/>
              </w:rPr>
              <w:fldChar w:fldCharType="separate"/>
            </w:r>
            <w:r w:rsidR="00A444D4">
              <w:rPr>
                <w:noProof/>
                <w:webHidden/>
              </w:rPr>
              <w:t>36</w:t>
            </w:r>
            <w:r w:rsidR="00A444D4">
              <w:rPr>
                <w:noProof/>
                <w:webHidden/>
              </w:rPr>
              <w:fldChar w:fldCharType="end"/>
            </w:r>
          </w:hyperlink>
        </w:p>
        <w:p w14:paraId="27FAF092" w14:textId="631958CF" w:rsidR="00741998" w:rsidRDefault="00031FA9">
          <w:pPr>
            <w:pStyle w:val="23"/>
            <w:rPr>
              <w:rFonts w:asciiTheme="minorHAnsi" w:eastAsiaTheme="minorEastAsia" w:hAnsiTheme="minorHAnsi"/>
              <w:noProof/>
              <w:sz w:val="24"/>
              <w:szCs w:val="24"/>
              <w:lang w:eastAsia="ru-RU"/>
            </w:rPr>
          </w:pPr>
          <w:hyperlink w:anchor="_Toc228326036" w:history="1">
            <w:r w:rsidR="00A444D4">
              <w:rPr>
                <w:rStyle w:val="a4"/>
                <w:noProof/>
              </w:rPr>
              <w:t>1.6 Машинное обучение и алгоритмы онлайн-детекции аэробно-анаэробного перехода</w:t>
            </w:r>
            <w:r w:rsidR="00A444D4">
              <w:rPr>
                <w:noProof/>
                <w:webHidden/>
              </w:rPr>
              <w:tab/>
            </w:r>
            <w:r w:rsidR="00A444D4">
              <w:rPr>
                <w:noProof/>
                <w:webHidden/>
              </w:rPr>
              <w:fldChar w:fldCharType="begin"/>
            </w:r>
            <w:r w:rsidR="00A444D4">
              <w:rPr>
                <w:noProof/>
                <w:webHidden/>
              </w:rPr>
              <w:instrText xml:space="preserve"> PAGEREF _Toc228326036 \h </w:instrText>
            </w:r>
            <w:r w:rsidR="00A444D4">
              <w:rPr>
                <w:noProof/>
                <w:webHidden/>
              </w:rPr>
            </w:r>
            <w:r w:rsidR="00A444D4">
              <w:rPr>
                <w:noProof/>
                <w:webHidden/>
              </w:rPr>
              <w:fldChar w:fldCharType="separate"/>
            </w:r>
            <w:r w:rsidR="00A444D4">
              <w:rPr>
                <w:noProof/>
                <w:webHidden/>
              </w:rPr>
              <w:t>40</w:t>
            </w:r>
            <w:r w:rsidR="00A444D4">
              <w:rPr>
                <w:noProof/>
                <w:webHidden/>
              </w:rPr>
              <w:fldChar w:fldCharType="end"/>
            </w:r>
          </w:hyperlink>
        </w:p>
        <w:p w14:paraId="60EBDD17" w14:textId="2C63505F"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37" w:history="1">
            <w:r w:rsidR="00A444D4">
              <w:rPr>
                <w:rStyle w:val="a4"/>
                <w:noProof/>
                <w:lang w:val="en-US"/>
              </w:rPr>
              <w:t>1</w:t>
            </w:r>
            <w:r w:rsidR="00A444D4">
              <w:rPr>
                <w:rStyle w:val="a4"/>
                <w:noProof/>
              </w:rPr>
              <w:t>.6.1 Классический ML на ручных признаках</w:t>
            </w:r>
            <w:r w:rsidR="00A444D4">
              <w:rPr>
                <w:noProof/>
                <w:webHidden/>
              </w:rPr>
              <w:tab/>
            </w:r>
            <w:r w:rsidR="00A444D4">
              <w:rPr>
                <w:noProof/>
                <w:webHidden/>
              </w:rPr>
              <w:fldChar w:fldCharType="begin"/>
            </w:r>
            <w:r w:rsidR="00A444D4">
              <w:rPr>
                <w:noProof/>
                <w:webHidden/>
              </w:rPr>
              <w:instrText xml:space="preserve"> PAGEREF _Toc228326037 \h </w:instrText>
            </w:r>
            <w:r w:rsidR="00A444D4">
              <w:rPr>
                <w:noProof/>
                <w:webHidden/>
              </w:rPr>
            </w:r>
            <w:r w:rsidR="00A444D4">
              <w:rPr>
                <w:noProof/>
                <w:webHidden/>
              </w:rPr>
              <w:fldChar w:fldCharType="separate"/>
            </w:r>
            <w:r w:rsidR="00A444D4">
              <w:rPr>
                <w:noProof/>
                <w:webHidden/>
              </w:rPr>
              <w:t>40</w:t>
            </w:r>
            <w:r w:rsidR="00A444D4">
              <w:rPr>
                <w:noProof/>
                <w:webHidden/>
              </w:rPr>
              <w:fldChar w:fldCharType="end"/>
            </w:r>
          </w:hyperlink>
        </w:p>
        <w:p w14:paraId="538DA335" w14:textId="5402EA98"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38" w:history="1">
            <w:r w:rsidR="00A444D4">
              <w:rPr>
                <w:rStyle w:val="a4"/>
                <w:noProof/>
              </w:rPr>
              <w:t>1.6.2 ML для временных рядов: LSTM, TCN и вейвлетные сети</w:t>
            </w:r>
            <w:r w:rsidR="00A444D4">
              <w:rPr>
                <w:noProof/>
                <w:webHidden/>
              </w:rPr>
              <w:tab/>
            </w:r>
            <w:r w:rsidR="00A444D4">
              <w:rPr>
                <w:noProof/>
                <w:webHidden/>
              </w:rPr>
              <w:fldChar w:fldCharType="begin"/>
            </w:r>
            <w:r w:rsidR="00A444D4">
              <w:rPr>
                <w:noProof/>
                <w:webHidden/>
              </w:rPr>
              <w:instrText xml:space="preserve"> PAGEREF _Toc228326038 \h </w:instrText>
            </w:r>
            <w:r w:rsidR="00A444D4">
              <w:rPr>
                <w:noProof/>
                <w:webHidden/>
              </w:rPr>
            </w:r>
            <w:r w:rsidR="00A444D4">
              <w:rPr>
                <w:noProof/>
                <w:webHidden/>
              </w:rPr>
              <w:fldChar w:fldCharType="separate"/>
            </w:r>
            <w:r w:rsidR="00A444D4">
              <w:rPr>
                <w:noProof/>
                <w:webHidden/>
              </w:rPr>
              <w:t>43</w:t>
            </w:r>
            <w:r w:rsidR="00A444D4">
              <w:rPr>
                <w:noProof/>
                <w:webHidden/>
              </w:rPr>
              <w:fldChar w:fldCharType="end"/>
            </w:r>
          </w:hyperlink>
        </w:p>
        <w:p w14:paraId="7BBAF8A6" w14:textId="72D2D50D"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39" w:history="1">
            <w:r w:rsidR="00A444D4">
              <w:rPr>
                <w:rStyle w:val="a4"/>
                <w:noProof/>
              </w:rPr>
              <w:t>1.6.3 Обучение при малых датасетах и стратегии валидации</w:t>
            </w:r>
            <w:r w:rsidR="00A444D4">
              <w:rPr>
                <w:noProof/>
                <w:webHidden/>
              </w:rPr>
              <w:tab/>
            </w:r>
            <w:r w:rsidR="00A444D4">
              <w:rPr>
                <w:noProof/>
                <w:webHidden/>
              </w:rPr>
              <w:fldChar w:fldCharType="begin"/>
            </w:r>
            <w:r w:rsidR="00A444D4">
              <w:rPr>
                <w:noProof/>
                <w:webHidden/>
              </w:rPr>
              <w:instrText xml:space="preserve"> PAGEREF _Toc228326039 \h </w:instrText>
            </w:r>
            <w:r w:rsidR="00A444D4">
              <w:rPr>
                <w:noProof/>
                <w:webHidden/>
              </w:rPr>
            </w:r>
            <w:r w:rsidR="00A444D4">
              <w:rPr>
                <w:noProof/>
                <w:webHidden/>
              </w:rPr>
              <w:fldChar w:fldCharType="separate"/>
            </w:r>
            <w:r w:rsidR="00A444D4">
              <w:rPr>
                <w:noProof/>
                <w:webHidden/>
              </w:rPr>
              <w:t>46</w:t>
            </w:r>
            <w:r w:rsidR="00A444D4">
              <w:rPr>
                <w:noProof/>
                <w:webHidden/>
              </w:rPr>
              <w:fldChar w:fldCharType="end"/>
            </w:r>
          </w:hyperlink>
        </w:p>
        <w:p w14:paraId="4EE1F4AF" w14:textId="5FC7CEB1"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40" w:history="1">
            <w:r w:rsidR="00A444D4">
              <w:rPr>
                <w:rStyle w:val="a4"/>
                <w:noProof/>
                <w:lang w:val="en-US"/>
              </w:rPr>
              <w:t>1</w:t>
            </w:r>
            <w:r w:rsidR="00A444D4">
              <w:rPr>
                <w:rStyle w:val="a4"/>
                <w:noProof/>
              </w:rPr>
              <w:t>.6.4 Gap: мультимодальные онлайн-системы</w:t>
            </w:r>
            <w:r w:rsidR="00A444D4">
              <w:rPr>
                <w:noProof/>
                <w:webHidden/>
              </w:rPr>
              <w:tab/>
            </w:r>
            <w:r w:rsidR="00A444D4">
              <w:rPr>
                <w:noProof/>
                <w:webHidden/>
              </w:rPr>
              <w:fldChar w:fldCharType="begin"/>
            </w:r>
            <w:r w:rsidR="00A444D4">
              <w:rPr>
                <w:noProof/>
                <w:webHidden/>
              </w:rPr>
              <w:instrText xml:space="preserve"> PAGEREF _Toc228326040 \h </w:instrText>
            </w:r>
            <w:r w:rsidR="00A444D4">
              <w:rPr>
                <w:noProof/>
                <w:webHidden/>
              </w:rPr>
            </w:r>
            <w:r w:rsidR="00A444D4">
              <w:rPr>
                <w:noProof/>
                <w:webHidden/>
              </w:rPr>
              <w:fldChar w:fldCharType="separate"/>
            </w:r>
            <w:r w:rsidR="00A444D4">
              <w:rPr>
                <w:noProof/>
                <w:webHidden/>
              </w:rPr>
              <w:t>49</w:t>
            </w:r>
            <w:r w:rsidR="00A444D4">
              <w:rPr>
                <w:noProof/>
                <w:webHidden/>
              </w:rPr>
              <w:fldChar w:fldCharType="end"/>
            </w:r>
          </w:hyperlink>
        </w:p>
        <w:p w14:paraId="4D74CB7E" w14:textId="398E3523" w:rsidR="00741998" w:rsidRDefault="00031FA9">
          <w:pPr>
            <w:pStyle w:val="23"/>
            <w:rPr>
              <w:rFonts w:asciiTheme="minorHAnsi" w:eastAsiaTheme="minorEastAsia" w:hAnsiTheme="minorHAnsi"/>
              <w:noProof/>
              <w:sz w:val="24"/>
              <w:szCs w:val="24"/>
              <w:lang w:eastAsia="ru-RU"/>
            </w:rPr>
          </w:pPr>
          <w:hyperlink w:anchor="_Toc228326041" w:history="1">
            <w:r w:rsidR="00A444D4">
              <w:rPr>
                <w:rStyle w:val="a4"/>
                <w:noProof/>
              </w:rPr>
              <w:t>1.7 Физиологические особенности триатлонистов при велоэргометрическом тестировании</w:t>
            </w:r>
            <w:r w:rsidR="00A444D4">
              <w:rPr>
                <w:noProof/>
                <w:webHidden/>
              </w:rPr>
              <w:tab/>
            </w:r>
            <w:r w:rsidR="00A444D4">
              <w:rPr>
                <w:noProof/>
                <w:webHidden/>
              </w:rPr>
              <w:fldChar w:fldCharType="begin"/>
            </w:r>
            <w:r w:rsidR="00A444D4">
              <w:rPr>
                <w:noProof/>
                <w:webHidden/>
              </w:rPr>
              <w:instrText xml:space="preserve"> PAGEREF _Toc228326041 \h </w:instrText>
            </w:r>
            <w:r w:rsidR="00A444D4">
              <w:rPr>
                <w:noProof/>
                <w:webHidden/>
              </w:rPr>
            </w:r>
            <w:r w:rsidR="00A444D4">
              <w:rPr>
                <w:noProof/>
                <w:webHidden/>
              </w:rPr>
              <w:fldChar w:fldCharType="separate"/>
            </w:r>
            <w:r w:rsidR="00A444D4">
              <w:rPr>
                <w:noProof/>
                <w:webHidden/>
              </w:rPr>
              <w:t>49</w:t>
            </w:r>
            <w:r w:rsidR="00A444D4">
              <w:rPr>
                <w:noProof/>
                <w:webHidden/>
              </w:rPr>
              <w:fldChar w:fldCharType="end"/>
            </w:r>
          </w:hyperlink>
        </w:p>
        <w:p w14:paraId="14AF8C86" w14:textId="5AD679B2"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42" w:history="1">
            <w:r w:rsidR="00A444D4">
              <w:rPr>
                <w:rStyle w:val="a4"/>
                <w:noProof/>
                <w:lang w:val="en-US"/>
              </w:rPr>
              <w:t>1</w:t>
            </w:r>
            <w:r w:rsidR="00A444D4">
              <w:rPr>
                <w:rStyle w:val="a4"/>
                <w:noProof/>
              </w:rPr>
              <w:t>.8 Заключение по обзору литературы</w:t>
            </w:r>
            <w:r w:rsidR="00A444D4">
              <w:rPr>
                <w:noProof/>
                <w:webHidden/>
              </w:rPr>
              <w:tab/>
            </w:r>
            <w:r w:rsidR="00A444D4">
              <w:rPr>
                <w:noProof/>
                <w:webHidden/>
              </w:rPr>
              <w:fldChar w:fldCharType="begin"/>
            </w:r>
            <w:r w:rsidR="00A444D4">
              <w:rPr>
                <w:noProof/>
                <w:webHidden/>
              </w:rPr>
              <w:instrText xml:space="preserve"> PAGEREF _Toc228326042 \h </w:instrText>
            </w:r>
            <w:r w:rsidR="00A444D4">
              <w:rPr>
                <w:noProof/>
                <w:webHidden/>
              </w:rPr>
            </w:r>
            <w:r w:rsidR="00A444D4">
              <w:rPr>
                <w:noProof/>
                <w:webHidden/>
              </w:rPr>
              <w:fldChar w:fldCharType="separate"/>
            </w:r>
            <w:r w:rsidR="00A444D4">
              <w:rPr>
                <w:noProof/>
                <w:webHidden/>
              </w:rPr>
              <w:t>51</w:t>
            </w:r>
            <w:r w:rsidR="00A444D4">
              <w:rPr>
                <w:noProof/>
                <w:webHidden/>
              </w:rPr>
              <w:fldChar w:fldCharType="end"/>
            </w:r>
          </w:hyperlink>
        </w:p>
        <w:p w14:paraId="2DAEABCD" w14:textId="4692BB9D" w:rsidR="00741998" w:rsidRDefault="00031FA9">
          <w:pPr>
            <w:pStyle w:val="11"/>
            <w:tabs>
              <w:tab w:val="right" w:leader="dot" w:pos="9345"/>
            </w:tabs>
            <w:rPr>
              <w:rFonts w:asciiTheme="minorHAnsi" w:eastAsiaTheme="minorEastAsia" w:hAnsiTheme="minorHAnsi"/>
              <w:noProof/>
              <w:sz w:val="24"/>
              <w:szCs w:val="24"/>
              <w:lang w:eastAsia="ru-RU"/>
            </w:rPr>
          </w:pPr>
          <w:hyperlink w:anchor="_Toc228326043" w:history="1">
            <w:r w:rsidR="00A444D4">
              <w:rPr>
                <w:rStyle w:val="a4"/>
                <w:noProof/>
              </w:rPr>
              <w:t>2 Материалы и методы</w:t>
            </w:r>
            <w:r w:rsidR="00A444D4">
              <w:rPr>
                <w:noProof/>
                <w:webHidden/>
              </w:rPr>
              <w:tab/>
            </w:r>
            <w:r w:rsidR="00A444D4">
              <w:rPr>
                <w:noProof/>
                <w:webHidden/>
              </w:rPr>
              <w:fldChar w:fldCharType="begin"/>
            </w:r>
            <w:r w:rsidR="00A444D4">
              <w:rPr>
                <w:noProof/>
                <w:webHidden/>
              </w:rPr>
              <w:instrText xml:space="preserve"> PAGEREF _Toc228326043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21019704" w14:textId="20229376" w:rsidR="00741998" w:rsidRDefault="00031FA9">
          <w:pPr>
            <w:pStyle w:val="23"/>
            <w:rPr>
              <w:rFonts w:asciiTheme="minorHAnsi" w:eastAsiaTheme="minorEastAsia" w:hAnsiTheme="minorHAnsi"/>
              <w:noProof/>
              <w:sz w:val="24"/>
              <w:szCs w:val="24"/>
              <w:lang w:eastAsia="ru-RU"/>
            </w:rPr>
          </w:pPr>
          <w:hyperlink w:anchor="_Toc228326044" w:history="1">
            <w:r w:rsidR="00A444D4">
              <w:rPr>
                <w:rStyle w:val="a4"/>
                <w:noProof/>
              </w:rPr>
              <w:t>2.1 Участники исследования</w:t>
            </w:r>
            <w:r w:rsidR="00A444D4">
              <w:rPr>
                <w:noProof/>
                <w:webHidden/>
              </w:rPr>
              <w:tab/>
            </w:r>
            <w:r w:rsidR="00A444D4">
              <w:rPr>
                <w:noProof/>
                <w:webHidden/>
              </w:rPr>
              <w:fldChar w:fldCharType="begin"/>
            </w:r>
            <w:r w:rsidR="00A444D4">
              <w:rPr>
                <w:noProof/>
                <w:webHidden/>
              </w:rPr>
              <w:instrText xml:space="preserve"> PAGEREF _Toc228326044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550B2920" w14:textId="6B300F07" w:rsidR="00741998" w:rsidRDefault="00031FA9">
          <w:pPr>
            <w:pStyle w:val="23"/>
            <w:rPr>
              <w:rFonts w:asciiTheme="minorHAnsi" w:eastAsiaTheme="minorEastAsia" w:hAnsiTheme="minorHAnsi"/>
              <w:noProof/>
              <w:sz w:val="24"/>
              <w:szCs w:val="24"/>
              <w:lang w:eastAsia="ru-RU"/>
            </w:rPr>
          </w:pPr>
          <w:hyperlink w:anchor="_Toc228326045" w:history="1">
            <w:r w:rsidR="00A444D4">
              <w:rPr>
                <w:rStyle w:val="a4"/>
                <w:noProof/>
              </w:rPr>
              <w:t>2.2 Протокол нагрузочного тестирования</w:t>
            </w:r>
            <w:r w:rsidR="00A444D4">
              <w:rPr>
                <w:noProof/>
                <w:webHidden/>
              </w:rPr>
              <w:tab/>
            </w:r>
            <w:r w:rsidR="00A444D4">
              <w:rPr>
                <w:noProof/>
                <w:webHidden/>
              </w:rPr>
              <w:fldChar w:fldCharType="begin"/>
            </w:r>
            <w:r w:rsidR="00A444D4">
              <w:rPr>
                <w:noProof/>
                <w:webHidden/>
              </w:rPr>
              <w:instrText xml:space="preserve"> PAGEREF _Toc228326045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2835A511" w14:textId="58AFA195" w:rsidR="00741998" w:rsidRDefault="00031FA9">
          <w:pPr>
            <w:pStyle w:val="23"/>
            <w:rPr>
              <w:rFonts w:asciiTheme="minorHAnsi" w:eastAsiaTheme="minorEastAsia" w:hAnsiTheme="minorHAnsi"/>
              <w:noProof/>
              <w:sz w:val="24"/>
              <w:szCs w:val="24"/>
              <w:lang w:eastAsia="ru-RU"/>
            </w:rPr>
          </w:pPr>
          <w:hyperlink w:anchor="_Toc228326046" w:history="1">
            <w:r w:rsidR="00A444D4">
              <w:rPr>
                <w:rStyle w:val="a4"/>
                <w:noProof/>
              </w:rPr>
              <w:t>2.3 Аппаратный комплекс регистрации</w:t>
            </w:r>
            <w:r w:rsidR="00A444D4">
              <w:rPr>
                <w:noProof/>
                <w:webHidden/>
              </w:rPr>
              <w:tab/>
            </w:r>
            <w:r w:rsidR="00A444D4">
              <w:rPr>
                <w:noProof/>
                <w:webHidden/>
              </w:rPr>
              <w:fldChar w:fldCharType="begin"/>
            </w:r>
            <w:r w:rsidR="00A444D4">
              <w:rPr>
                <w:noProof/>
                <w:webHidden/>
              </w:rPr>
              <w:instrText xml:space="preserve"> PAGEREF _Toc228326046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2D0A3AFE" w14:textId="1C60C723"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47" w:history="1">
            <w:r w:rsidR="00A444D4">
              <w:rPr>
                <w:rStyle w:val="a4"/>
                <w:noProof/>
              </w:rPr>
              <w:t>2.3.1 Электромиография и инерционные измерения</w:t>
            </w:r>
            <w:r w:rsidR="00A444D4">
              <w:rPr>
                <w:noProof/>
                <w:webHidden/>
              </w:rPr>
              <w:tab/>
            </w:r>
            <w:r w:rsidR="00A444D4">
              <w:rPr>
                <w:noProof/>
                <w:webHidden/>
              </w:rPr>
              <w:fldChar w:fldCharType="begin"/>
            </w:r>
            <w:r w:rsidR="00A444D4">
              <w:rPr>
                <w:noProof/>
                <w:webHidden/>
              </w:rPr>
              <w:instrText xml:space="preserve"> PAGEREF _Toc228326047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7C85F67D" w14:textId="4F8325ED"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48" w:history="1">
            <w:r w:rsidR="00A444D4">
              <w:rPr>
                <w:rStyle w:val="a4"/>
                <w:noProof/>
              </w:rPr>
              <w:t>2.3.2 Ближняя инфракрасная спектроскопия</w:t>
            </w:r>
            <w:r w:rsidR="00A444D4">
              <w:rPr>
                <w:noProof/>
                <w:webHidden/>
              </w:rPr>
              <w:tab/>
            </w:r>
            <w:r w:rsidR="00A444D4">
              <w:rPr>
                <w:noProof/>
                <w:webHidden/>
              </w:rPr>
              <w:fldChar w:fldCharType="begin"/>
            </w:r>
            <w:r w:rsidR="00A444D4">
              <w:rPr>
                <w:noProof/>
                <w:webHidden/>
              </w:rPr>
              <w:instrText xml:space="preserve"> PAGEREF _Toc228326048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3A4E1FE8" w14:textId="081E193B"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49" w:history="1">
            <w:r w:rsidR="00A444D4">
              <w:rPr>
                <w:rStyle w:val="a4"/>
                <w:noProof/>
              </w:rPr>
              <w:t>2.3.3 Сердечный ритм</w:t>
            </w:r>
            <w:r w:rsidR="00A444D4">
              <w:rPr>
                <w:noProof/>
                <w:webHidden/>
              </w:rPr>
              <w:tab/>
            </w:r>
            <w:r w:rsidR="00A444D4">
              <w:rPr>
                <w:noProof/>
                <w:webHidden/>
              </w:rPr>
              <w:fldChar w:fldCharType="begin"/>
            </w:r>
            <w:r w:rsidR="00A444D4">
              <w:rPr>
                <w:noProof/>
                <w:webHidden/>
              </w:rPr>
              <w:instrText xml:space="preserve"> PAGEREF _Toc228326049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622AE2EB" w14:textId="6208D129" w:rsidR="00741998" w:rsidRDefault="00031FA9">
          <w:pPr>
            <w:pStyle w:val="23"/>
            <w:rPr>
              <w:rFonts w:asciiTheme="minorHAnsi" w:eastAsiaTheme="minorEastAsia" w:hAnsiTheme="minorHAnsi"/>
              <w:noProof/>
              <w:sz w:val="24"/>
              <w:szCs w:val="24"/>
              <w:lang w:eastAsia="ru-RU"/>
            </w:rPr>
          </w:pPr>
          <w:hyperlink w:anchor="_Toc228326050" w:history="1">
            <w:r w:rsidR="00A444D4">
              <w:rPr>
                <w:rStyle w:val="a4"/>
                <w:noProof/>
              </w:rPr>
              <w:t>2.4 Система синхронного сбора данных Sensync</w:t>
            </w:r>
            <w:r w:rsidR="00A444D4">
              <w:rPr>
                <w:noProof/>
                <w:webHidden/>
              </w:rPr>
              <w:tab/>
            </w:r>
            <w:r w:rsidR="00A444D4">
              <w:rPr>
                <w:noProof/>
                <w:webHidden/>
              </w:rPr>
              <w:fldChar w:fldCharType="begin"/>
            </w:r>
            <w:r w:rsidR="00A444D4">
              <w:rPr>
                <w:noProof/>
                <w:webHidden/>
              </w:rPr>
              <w:instrText xml:space="preserve"> PAGEREF _Toc228326050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225030D5" w14:textId="31A8272C"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51" w:history="1">
            <w:r w:rsidR="00A444D4">
              <w:rPr>
                <w:rStyle w:val="a4"/>
                <w:noProof/>
              </w:rPr>
              <w:t>2.4.1 Архитектура и мотивация</w:t>
            </w:r>
            <w:r w:rsidR="00A444D4">
              <w:rPr>
                <w:noProof/>
                <w:webHidden/>
              </w:rPr>
              <w:tab/>
            </w:r>
            <w:r w:rsidR="00A444D4">
              <w:rPr>
                <w:noProof/>
                <w:webHidden/>
              </w:rPr>
              <w:fldChar w:fldCharType="begin"/>
            </w:r>
            <w:r w:rsidR="00A444D4">
              <w:rPr>
                <w:noProof/>
                <w:webHidden/>
              </w:rPr>
              <w:instrText xml:space="preserve"> PAGEREF _Toc228326051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796E1E96" w14:textId="0ACF0AA0"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52" w:history="1">
            <w:r w:rsidR="00A444D4">
              <w:rPr>
                <w:rStyle w:val="a4"/>
                <w:noProof/>
              </w:rPr>
              <w:t>2.4.2 Реализация</w:t>
            </w:r>
            <w:r w:rsidR="00A444D4">
              <w:rPr>
                <w:noProof/>
                <w:webHidden/>
              </w:rPr>
              <w:tab/>
            </w:r>
            <w:r w:rsidR="00A444D4">
              <w:rPr>
                <w:noProof/>
                <w:webHidden/>
              </w:rPr>
              <w:fldChar w:fldCharType="begin"/>
            </w:r>
            <w:r w:rsidR="00A444D4">
              <w:rPr>
                <w:noProof/>
                <w:webHidden/>
              </w:rPr>
              <w:instrText xml:space="preserve"> PAGEREF _Toc228326052 \h </w:instrText>
            </w:r>
            <w:r w:rsidR="00A444D4">
              <w:rPr>
                <w:noProof/>
                <w:webHidden/>
              </w:rPr>
            </w:r>
            <w:r w:rsidR="00A444D4">
              <w:rPr>
                <w:noProof/>
                <w:webHidden/>
              </w:rPr>
              <w:fldChar w:fldCharType="separate"/>
            </w:r>
            <w:r w:rsidR="00A444D4">
              <w:rPr>
                <w:noProof/>
                <w:webHidden/>
              </w:rPr>
              <w:t>57</w:t>
            </w:r>
            <w:r w:rsidR="00A444D4">
              <w:rPr>
                <w:noProof/>
                <w:webHidden/>
              </w:rPr>
              <w:fldChar w:fldCharType="end"/>
            </w:r>
          </w:hyperlink>
        </w:p>
        <w:p w14:paraId="10985E13" w14:textId="38A4FB22"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53" w:history="1">
            <w:r w:rsidR="00A444D4">
              <w:rPr>
                <w:rStyle w:val="a4"/>
                <w:noProof/>
              </w:rPr>
              <w:t>2.4.3 Технологический стек</w:t>
            </w:r>
            <w:r w:rsidR="00A444D4">
              <w:rPr>
                <w:noProof/>
                <w:webHidden/>
              </w:rPr>
              <w:tab/>
            </w:r>
            <w:r w:rsidR="00A444D4">
              <w:rPr>
                <w:noProof/>
                <w:webHidden/>
              </w:rPr>
              <w:fldChar w:fldCharType="begin"/>
            </w:r>
            <w:r w:rsidR="00A444D4">
              <w:rPr>
                <w:noProof/>
                <w:webHidden/>
              </w:rPr>
              <w:instrText xml:space="preserve"> PAGEREF _Toc228326053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405DC2DD" w14:textId="237787D7" w:rsidR="00741998" w:rsidRDefault="00031FA9">
          <w:pPr>
            <w:pStyle w:val="23"/>
            <w:rPr>
              <w:rFonts w:asciiTheme="minorHAnsi" w:eastAsiaTheme="minorEastAsia" w:hAnsiTheme="minorHAnsi"/>
              <w:noProof/>
              <w:sz w:val="24"/>
              <w:szCs w:val="24"/>
              <w:lang w:eastAsia="ru-RU"/>
            </w:rPr>
          </w:pPr>
          <w:hyperlink w:anchor="_Toc228326054" w:history="1">
            <w:r w:rsidR="00A444D4">
              <w:rPr>
                <w:rStyle w:val="a4"/>
                <w:noProof/>
              </w:rPr>
              <w:t>2.5 Предобработка сигналов</w:t>
            </w:r>
            <w:r w:rsidR="00A444D4">
              <w:rPr>
                <w:noProof/>
                <w:webHidden/>
              </w:rPr>
              <w:tab/>
            </w:r>
            <w:r w:rsidR="00A444D4">
              <w:rPr>
                <w:noProof/>
                <w:webHidden/>
              </w:rPr>
              <w:fldChar w:fldCharType="begin"/>
            </w:r>
            <w:r w:rsidR="00A444D4">
              <w:rPr>
                <w:noProof/>
                <w:webHidden/>
              </w:rPr>
              <w:instrText xml:space="preserve"> PAGEREF _Toc228326054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68096875" w14:textId="79E5553D"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55" w:history="1">
            <w:r w:rsidR="00A444D4">
              <w:rPr>
                <w:rStyle w:val="a4"/>
                <w:noProof/>
              </w:rPr>
              <w:t>2.5.1 Электромиография</w:t>
            </w:r>
            <w:r w:rsidR="00A444D4">
              <w:rPr>
                <w:noProof/>
                <w:webHidden/>
              </w:rPr>
              <w:tab/>
            </w:r>
            <w:r w:rsidR="00A444D4">
              <w:rPr>
                <w:noProof/>
                <w:webHidden/>
              </w:rPr>
              <w:fldChar w:fldCharType="begin"/>
            </w:r>
            <w:r w:rsidR="00A444D4">
              <w:rPr>
                <w:noProof/>
                <w:webHidden/>
              </w:rPr>
              <w:instrText xml:space="preserve"> PAGEREF _Toc228326055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4BF937FB" w14:textId="2D203D95"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56" w:history="1">
            <w:r w:rsidR="00A444D4">
              <w:rPr>
                <w:rStyle w:val="a4"/>
                <w:noProof/>
              </w:rPr>
              <w:t>2.5.2 Мышечная оксигенация</w:t>
            </w:r>
            <w:r w:rsidR="00A444D4">
              <w:rPr>
                <w:noProof/>
                <w:webHidden/>
              </w:rPr>
              <w:tab/>
            </w:r>
            <w:r w:rsidR="00A444D4">
              <w:rPr>
                <w:noProof/>
                <w:webHidden/>
              </w:rPr>
              <w:fldChar w:fldCharType="begin"/>
            </w:r>
            <w:r w:rsidR="00A444D4">
              <w:rPr>
                <w:noProof/>
                <w:webHidden/>
              </w:rPr>
              <w:instrText xml:space="preserve"> PAGEREF _Toc228326056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32E56C1B" w14:textId="6CAD0906"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57" w:history="1">
            <w:r w:rsidR="00A444D4">
              <w:rPr>
                <w:rStyle w:val="a4"/>
                <w:noProof/>
              </w:rPr>
              <w:t>2.5.2 RR-интервалы и HRV</w:t>
            </w:r>
            <w:r w:rsidR="00A444D4">
              <w:rPr>
                <w:noProof/>
                <w:webHidden/>
              </w:rPr>
              <w:tab/>
            </w:r>
            <w:r w:rsidR="00A444D4">
              <w:rPr>
                <w:noProof/>
                <w:webHidden/>
              </w:rPr>
              <w:fldChar w:fldCharType="begin"/>
            </w:r>
            <w:r w:rsidR="00A444D4">
              <w:rPr>
                <w:noProof/>
                <w:webHidden/>
              </w:rPr>
              <w:instrText xml:space="preserve"> PAGEREF _Toc228326057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26710C12" w14:textId="47DEB698" w:rsidR="00741998" w:rsidRDefault="00031FA9">
          <w:pPr>
            <w:pStyle w:val="23"/>
            <w:rPr>
              <w:rFonts w:asciiTheme="minorHAnsi" w:eastAsiaTheme="minorEastAsia" w:hAnsiTheme="minorHAnsi"/>
              <w:noProof/>
              <w:sz w:val="24"/>
              <w:szCs w:val="24"/>
              <w:lang w:eastAsia="ru-RU"/>
            </w:rPr>
          </w:pPr>
          <w:hyperlink w:anchor="_Toc228326058" w:history="1">
            <w:r w:rsidR="00A444D4">
              <w:rPr>
                <w:rStyle w:val="a4"/>
                <w:noProof/>
              </w:rPr>
              <w:t>2.6 Определение лактатных порогов (ground truth)</w:t>
            </w:r>
            <w:r w:rsidR="00A444D4">
              <w:rPr>
                <w:noProof/>
                <w:webHidden/>
              </w:rPr>
              <w:tab/>
            </w:r>
            <w:r w:rsidR="00A444D4">
              <w:rPr>
                <w:noProof/>
                <w:webHidden/>
              </w:rPr>
              <w:fldChar w:fldCharType="begin"/>
            </w:r>
            <w:r w:rsidR="00A444D4">
              <w:rPr>
                <w:noProof/>
                <w:webHidden/>
              </w:rPr>
              <w:instrText xml:space="preserve"> PAGEREF _Toc228326058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59E8D439" w14:textId="63192B87" w:rsidR="00741998" w:rsidRDefault="00031FA9">
          <w:pPr>
            <w:pStyle w:val="23"/>
            <w:rPr>
              <w:rFonts w:asciiTheme="minorHAnsi" w:eastAsiaTheme="minorEastAsia" w:hAnsiTheme="minorHAnsi"/>
              <w:noProof/>
              <w:sz w:val="24"/>
              <w:szCs w:val="24"/>
              <w:lang w:eastAsia="ru-RU"/>
            </w:rPr>
          </w:pPr>
          <w:hyperlink w:anchor="_Toc228326059" w:history="1">
            <w:r w:rsidR="00A444D4">
              <w:rPr>
                <w:rStyle w:val="a4"/>
                <w:noProof/>
              </w:rPr>
              <w:t>2.7 Признаковое пространство</w:t>
            </w:r>
            <w:r w:rsidR="00A444D4">
              <w:rPr>
                <w:noProof/>
                <w:webHidden/>
              </w:rPr>
              <w:tab/>
            </w:r>
            <w:r w:rsidR="00A444D4">
              <w:rPr>
                <w:noProof/>
                <w:webHidden/>
              </w:rPr>
              <w:fldChar w:fldCharType="begin"/>
            </w:r>
            <w:r w:rsidR="00A444D4">
              <w:rPr>
                <w:noProof/>
                <w:webHidden/>
              </w:rPr>
              <w:instrText xml:space="preserve"> PAGEREF _Toc228326059 \h </w:instrText>
            </w:r>
            <w:r w:rsidR="00A444D4">
              <w:rPr>
                <w:noProof/>
                <w:webHidden/>
              </w:rPr>
            </w:r>
            <w:r w:rsidR="00A444D4">
              <w:rPr>
                <w:noProof/>
                <w:webHidden/>
              </w:rPr>
              <w:fldChar w:fldCharType="separate"/>
            </w:r>
            <w:r w:rsidR="00A444D4">
              <w:rPr>
                <w:noProof/>
                <w:webHidden/>
              </w:rPr>
              <w:t>60</w:t>
            </w:r>
            <w:r w:rsidR="00A444D4">
              <w:rPr>
                <w:noProof/>
                <w:webHidden/>
              </w:rPr>
              <w:fldChar w:fldCharType="end"/>
            </w:r>
          </w:hyperlink>
        </w:p>
        <w:p w14:paraId="542265B3" w14:textId="5A27FA31" w:rsidR="00741998" w:rsidRDefault="00031FA9">
          <w:pPr>
            <w:pStyle w:val="23"/>
            <w:rPr>
              <w:rFonts w:asciiTheme="minorHAnsi" w:eastAsiaTheme="minorEastAsia" w:hAnsiTheme="minorHAnsi"/>
              <w:noProof/>
              <w:sz w:val="24"/>
              <w:szCs w:val="24"/>
              <w:lang w:eastAsia="ru-RU"/>
            </w:rPr>
          </w:pPr>
          <w:hyperlink w:anchor="_Toc228326060" w:history="1">
            <w:r w:rsidR="00A444D4">
              <w:rPr>
                <w:rStyle w:val="a4"/>
                <w:noProof/>
              </w:rPr>
              <w:t>2.8 Модели машинного обучения</w:t>
            </w:r>
            <w:r w:rsidR="00A444D4">
              <w:rPr>
                <w:noProof/>
                <w:webHidden/>
              </w:rPr>
              <w:tab/>
            </w:r>
            <w:r w:rsidR="00A444D4">
              <w:rPr>
                <w:noProof/>
                <w:webHidden/>
              </w:rPr>
              <w:fldChar w:fldCharType="begin"/>
            </w:r>
            <w:r w:rsidR="00A444D4">
              <w:rPr>
                <w:noProof/>
                <w:webHidden/>
              </w:rPr>
              <w:instrText xml:space="preserve"> PAGEREF _Toc228326060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46A45972" w14:textId="45238BD3"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61" w:history="1">
            <w:r w:rsidR="00A444D4">
              <w:rPr>
                <w:rStyle w:val="a4"/>
                <w:noProof/>
              </w:rPr>
              <w:t>2.8.1 Постановка задачи</w:t>
            </w:r>
            <w:r w:rsidR="00A444D4">
              <w:rPr>
                <w:noProof/>
                <w:webHidden/>
              </w:rPr>
              <w:tab/>
            </w:r>
            <w:r w:rsidR="00A444D4">
              <w:rPr>
                <w:noProof/>
                <w:webHidden/>
              </w:rPr>
              <w:fldChar w:fldCharType="begin"/>
            </w:r>
            <w:r w:rsidR="00A444D4">
              <w:rPr>
                <w:noProof/>
                <w:webHidden/>
              </w:rPr>
              <w:instrText xml:space="preserve"> PAGEREF _Toc228326061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2A0846F4" w14:textId="519B378E"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62" w:history="1">
            <w:r w:rsidR="00A444D4">
              <w:rPr>
                <w:rStyle w:val="a4"/>
                <w:noProof/>
              </w:rPr>
              <w:t>2.8.2 Baseline-модель</w:t>
            </w:r>
            <w:r w:rsidR="00A444D4">
              <w:rPr>
                <w:noProof/>
                <w:webHidden/>
              </w:rPr>
              <w:tab/>
            </w:r>
            <w:r w:rsidR="00A444D4">
              <w:rPr>
                <w:noProof/>
                <w:webHidden/>
              </w:rPr>
              <w:fldChar w:fldCharType="begin"/>
            </w:r>
            <w:r w:rsidR="00A444D4">
              <w:rPr>
                <w:noProof/>
                <w:webHidden/>
              </w:rPr>
              <w:instrText xml:space="preserve"> PAGEREF _Toc228326062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1A96BEA2" w14:textId="3ABFD4D2"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63" w:history="1">
            <w:r w:rsidR="00A444D4">
              <w:rPr>
                <w:rStyle w:val="a4"/>
                <w:noProof/>
              </w:rPr>
              <w:t>2.8.3 Расширенная модель</w:t>
            </w:r>
            <w:r w:rsidR="00A444D4">
              <w:rPr>
                <w:noProof/>
                <w:webHidden/>
              </w:rPr>
              <w:tab/>
            </w:r>
            <w:r w:rsidR="00A444D4">
              <w:rPr>
                <w:noProof/>
                <w:webHidden/>
              </w:rPr>
              <w:fldChar w:fldCharType="begin"/>
            </w:r>
            <w:r w:rsidR="00A444D4">
              <w:rPr>
                <w:noProof/>
                <w:webHidden/>
              </w:rPr>
              <w:instrText xml:space="preserve"> PAGEREF _Toc228326063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241C04FA" w14:textId="7C112F4B" w:rsidR="00741998" w:rsidRDefault="00031FA9">
          <w:pPr>
            <w:pStyle w:val="33"/>
            <w:tabs>
              <w:tab w:val="right" w:leader="dot" w:pos="9345"/>
            </w:tabs>
            <w:rPr>
              <w:rFonts w:asciiTheme="minorHAnsi" w:eastAsiaTheme="minorEastAsia" w:hAnsiTheme="minorHAnsi"/>
              <w:noProof/>
              <w:sz w:val="24"/>
              <w:szCs w:val="24"/>
              <w:lang w:eastAsia="ru-RU"/>
            </w:rPr>
          </w:pPr>
          <w:hyperlink w:anchor="_Toc228326064" w:history="1">
            <w:r w:rsidR="00A444D4">
              <w:rPr>
                <w:rStyle w:val="a4"/>
                <w:noProof/>
              </w:rPr>
              <w:t>2.8.4 Валидация и метрики</w:t>
            </w:r>
            <w:r w:rsidR="00A444D4">
              <w:rPr>
                <w:noProof/>
                <w:webHidden/>
              </w:rPr>
              <w:tab/>
            </w:r>
            <w:r w:rsidR="00A444D4">
              <w:rPr>
                <w:noProof/>
                <w:webHidden/>
              </w:rPr>
              <w:fldChar w:fldCharType="begin"/>
            </w:r>
            <w:r w:rsidR="00A444D4">
              <w:rPr>
                <w:noProof/>
                <w:webHidden/>
              </w:rPr>
              <w:instrText xml:space="preserve"> PAGEREF _Toc228326064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61F7A02B" w14:textId="34A42F1D" w:rsidR="00741998" w:rsidRDefault="00031FA9">
          <w:pPr>
            <w:pStyle w:val="23"/>
            <w:rPr>
              <w:rFonts w:asciiTheme="minorHAnsi" w:eastAsiaTheme="minorEastAsia" w:hAnsiTheme="minorHAnsi"/>
              <w:noProof/>
              <w:sz w:val="24"/>
              <w:szCs w:val="24"/>
              <w:lang w:eastAsia="ru-RU"/>
            </w:rPr>
          </w:pPr>
          <w:hyperlink w:anchor="_Toc228326065" w:history="1">
            <w:r w:rsidR="00A444D4">
              <w:rPr>
                <w:rStyle w:val="a4"/>
                <w:noProof/>
              </w:rPr>
              <w:t>2.9 Статистическая обработка данных</w:t>
            </w:r>
            <w:r w:rsidR="00A444D4">
              <w:rPr>
                <w:noProof/>
                <w:webHidden/>
              </w:rPr>
              <w:tab/>
            </w:r>
            <w:r w:rsidR="00A444D4">
              <w:rPr>
                <w:noProof/>
                <w:webHidden/>
              </w:rPr>
              <w:fldChar w:fldCharType="begin"/>
            </w:r>
            <w:r w:rsidR="00A444D4">
              <w:rPr>
                <w:noProof/>
                <w:webHidden/>
              </w:rPr>
              <w:instrText xml:space="preserve"> PAGEREF _Toc228326065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73C8780C" w14:textId="191D742A" w:rsidR="00741998" w:rsidRDefault="00031FA9">
          <w:pPr>
            <w:pStyle w:val="11"/>
            <w:tabs>
              <w:tab w:val="right" w:leader="dot" w:pos="9345"/>
            </w:tabs>
            <w:rPr>
              <w:rFonts w:asciiTheme="minorHAnsi" w:eastAsiaTheme="minorEastAsia" w:hAnsiTheme="minorHAnsi"/>
              <w:noProof/>
              <w:sz w:val="24"/>
              <w:szCs w:val="24"/>
              <w:lang w:eastAsia="ru-RU"/>
            </w:rPr>
          </w:pPr>
          <w:hyperlink w:anchor="_Toc228326066" w:history="1">
            <w:r w:rsidR="00A444D4">
              <w:rPr>
                <w:rStyle w:val="a4"/>
                <w:noProof/>
              </w:rPr>
              <w:t>3 Результаты и обсуждения</w:t>
            </w:r>
            <w:r w:rsidR="00A444D4">
              <w:rPr>
                <w:noProof/>
                <w:webHidden/>
              </w:rPr>
              <w:tab/>
            </w:r>
            <w:r w:rsidR="00A444D4">
              <w:rPr>
                <w:noProof/>
                <w:webHidden/>
              </w:rPr>
              <w:fldChar w:fldCharType="begin"/>
            </w:r>
            <w:r w:rsidR="00A444D4">
              <w:rPr>
                <w:noProof/>
                <w:webHidden/>
              </w:rPr>
              <w:instrText xml:space="preserve"> PAGEREF _Toc228326066 \h </w:instrText>
            </w:r>
            <w:r w:rsidR="00A444D4">
              <w:rPr>
                <w:noProof/>
                <w:webHidden/>
              </w:rPr>
            </w:r>
            <w:r w:rsidR="00A444D4">
              <w:rPr>
                <w:noProof/>
                <w:webHidden/>
              </w:rPr>
              <w:fldChar w:fldCharType="separate"/>
            </w:r>
            <w:r w:rsidR="00A444D4">
              <w:rPr>
                <w:noProof/>
                <w:webHidden/>
              </w:rPr>
              <w:t>62</w:t>
            </w:r>
            <w:r w:rsidR="00A444D4">
              <w:rPr>
                <w:noProof/>
                <w:webHidden/>
              </w:rPr>
              <w:fldChar w:fldCharType="end"/>
            </w:r>
          </w:hyperlink>
        </w:p>
        <w:p w14:paraId="6CB249CF" w14:textId="46422F90" w:rsidR="00741998" w:rsidRDefault="00031FA9">
          <w:pPr>
            <w:pStyle w:val="23"/>
            <w:rPr>
              <w:rFonts w:asciiTheme="minorHAnsi" w:eastAsiaTheme="minorEastAsia" w:hAnsiTheme="minorHAnsi"/>
              <w:noProof/>
              <w:sz w:val="24"/>
              <w:szCs w:val="24"/>
              <w:lang w:eastAsia="ru-RU"/>
            </w:rPr>
          </w:pPr>
          <w:hyperlink w:anchor="_Toc228326067" w:history="1">
            <w:r w:rsidR="00A444D4">
              <w:rPr>
                <w:rStyle w:val="a4"/>
                <w:noProof/>
              </w:rPr>
              <w:t>Заключение</w:t>
            </w:r>
            <w:r w:rsidR="00A444D4">
              <w:rPr>
                <w:noProof/>
                <w:webHidden/>
              </w:rPr>
              <w:tab/>
            </w:r>
            <w:r w:rsidR="00A444D4">
              <w:rPr>
                <w:noProof/>
                <w:webHidden/>
              </w:rPr>
              <w:fldChar w:fldCharType="begin"/>
            </w:r>
            <w:r w:rsidR="00A444D4">
              <w:rPr>
                <w:noProof/>
                <w:webHidden/>
              </w:rPr>
              <w:instrText xml:space="preserve"> PAGEREF _Toc228326067 \h </w:instrText>
            </w:r>
            <w:r w:rsidR="00A444D4">
              <w:rPr>
                <w:noProof/>
                <w:webHidden/>
              </w:rPr>
            </w:r>
            <w:r w:rsidR="00A444D4">
              <w:rPr>
                <w:noProof/>
                <w:webHidden/>
              </w:rPr>
              <w:fldChar w:fldCharType="separate"/>
            </w:r>
            <w:r w:rsidR="00A444D4">
              <w:rPr>
                <w:noProof/>
                <w:webHidden/>
              </w:rPr>
              <w:t>63</w:t>
            </w:r>
            <w:r w:rsidR="00A444D4">
              <w:rPr>
                <w:noProof/>
                <w:webHidden/>
              </w:rPr>
              <w:fldChar w:fldCharType="end"/>
            </w:r>
          </w:hyperlink>
        </w:p>
        <w:p w14:paraId="0EC6884F" w14:textId="2A9B2674" w:rsidR="00741998" w:rsidRDefault="00031FA9">
          <w:pPr>
            <w:pStyle w:val="23"/>
            <w:rPr>
              <w:rFonts w:asciiTheme="minorHAnsi" w:eastAsiaTheme="minorEastAsia" w:hAnsiTheme="minorHAnsi"/>
              <w:noProof/>
              <w:sz w:val="24"/>
              <w:szCs w:val="24"/>
              <w:lang w:eastAsia="ru-RU"/>
            </w:rPr>
          </w:pPr>
          <w:hyperlink w:anchor="_Toc228326068" w:history="1">
            <w:r w:rsidR="00A444D4">
              <w:rPr>
                <w:rStyle w:val="a4"/>
                <w:noProof/>
              </w:rPr>
              <w:t>Список использованных источников</w:t>
            </w:r>
            <w:r w:rsidR="00A444D4">
              <w:rPr>
                <w:noProof/>
                <w:webHidden/>
              </w:rPr>
              <w:tab/>
            </w:r>
            <w:r w:rsidR="00A444D4">
              <w:rPr>
                <w:noProof/>
                <w:webHidden/>
              </w:rPr>
              <w:fldChar w:fldCharType="begin"/>
            </w:r>
            <w:r w:rsidR="00A444D4">
              <w:rPr>
                <w:noProof/>
                <w:webHidden/>
              </w:rPr>
              <w:instrText xml:space="preserve"> PAGEREF _Toc228326068 \h </w:instrText>
            </w:r>
            <w:r w:rsidR="00A444D4">
              <w:rPr>
                <w:noProof/>
                <w:webHidden/>
              </w:rPr>
            </w:r>
            <w:r w:rsidR="00A444D4">
              <w:rPr>
                <w:noProof/>
                <w:webHidden/>
              </w:rPr>
              <w:fldChar w:fldCharType="separate"/>
            </w:r>
            <w:r w:rsidR="00A444D4">
              <w:rPr>
                <w:noProof/>
                <w:webHidden/>
              </w:rPr>
              <w:t>64</w:t>
            </w:r>
            <w:r w:rsidR="00A444D4">
              <w:rPr>
                <w:noProof/>
                <w:webHidden/>
              </w:rPr>
              <w:fldChar w:fldCharType="end"/>
            </w:r>
          </w:hyperlink>
        </w:p>
        <w:p w14:paraId="1A97E348" w14:textId="7167E6C8" w:rsidR="00295B3B" w:rsidRDefault="00295B3B">
          <w:r>
            <w:rPr>
              <w:b/>
              <w:bCs/>
            </w:rPr>
            <w:fldChar w:fldCharType="end"/>
          </w:r>
        </w:p>
      </w:sdtContent>
    </w:sdt>
    <w:p w14:paraId="576EC4CA" w14:textId="582CDBC4" w:rsidR="00DF758A" w:rsidRDefault="00DF758A" w:rsidP="00A334C7">
      <w:pPr>
        <w:pStyle w:val="2"/>
      </w:pPr>
      <w:r>
        <w:br w:type="page"/>
      </w:r>
      <w:bookmarkStart w:id="0" w:name="_Toc228326027"/>
      <w:r>
        <w:lastRenderedPageBreak/>
        <w:t>Введение</w:t>
      </w:r>
      <w:bookmarkEnd w:id="0"/>
    </w:p>
    <w:p w14:paraId="2169F3FE" w14:textId="77777777" w:rsidR="00866F49" w:rsidRPr="00866F49" w:rsidRDefault="00866F49" w:rsidP="00866F49">
      <w:pPr>
        <w:widowControl w:val="0"/>
        <w:spacing w:after="0"/>
      </w:pPr>
    </w:p>
    <w:p w14:paraId="1348A1ED" w14:textId="14882672" w:rsidR="00B47002" w:rsidRDefault="00B47002" w:rsidP="00B47002">
      <w:pPr>
        <w:widowControl w:val="0"/>
        <w:spacing w:after="0"/>
        <w:ind w:firstLine="708"/>
      </w:pPr>
      <w:r>
        <w:t>Определение аэробно-анаэробного перехода является ключевой задачей спортивной физиологии и клинической медицины: первый лактатный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лактоацидоз.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08C4F9C6" w14:textId="3BE86142" w:rsidR="00B47002" w:rsidRDefault="00B47002" w:rsidP="00B47002">
      <w:pPr>
        <w:widowControl w:val="0"/>
        <w:spacing w:after="0"/>
        <w:ind w:firstLine="708"/>
      </w:pPr>
      <w:r>
        <w:t>Традиционные методы определения лактатных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неинвазивные подходы: анализ вариабельности сердечного ритма (HRV, в частности показатель DFA-α1), мышечная оксигенация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лактатным порогом. Вместе с тем совместное применение этих трёх сигнальных каналов в единой мультимодальной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детекцию только одного из порогов. Таким образом, разработка метода, объединяющего ЭМГ, NIRS и HRV в единый пайплайн онлайн-предсказания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572621D3" w14:textId="2585B940" w:rsidR="00B47002" w:rsidRDefault="00B47002" w:rsidP="00F532A3">
      <w:pPr>
        <w:widowControl w:val="0"/>
        <w:spacing w:after="0"/>
        <w:ind w:firstLine="708"/>
      </w:pPr>
      <w:r>
        <w:lastRenderedPageBreak/>
        <w:t>Целью настоящей работы является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 Для достижения поставленной цели решаются следующие задачи. Во-первых, 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 и сформировать размеченный датасет на выборке триатлонистов (n ≥ 20) с верификацией лактатных порогов LT1 и LT2 по капиллярной крови. Во-вторых, разработать алгоритм предобработки и синхронизации разночастотных физиологических сигналов, включая сегментацию ЭМГ по фазам педалирования на основе данных гироскопа, фильтрацию и нормализацию ЭМГ, сглаживание SmO₂, интерполяцию RR-интервалов и расчёт DFA-α1 в скользящем окне. В-третьих, сформировать набор признаков для онлайн-классификации зоны интенсивности, включающий классические ЭМГ-характеристики (RMS, MDF, вейвлетная энергия по уровням DWT), показатели мышечной оксигенации (SmO₂, ΔSmO₂/Δt) и вариабельности сердечного ритма (RMSSD, DFA-α1) с учётом фазовой структуры цикла педалирования. В-четвёртых, разработать ML-модель, предсказывающую вероятность нахождения испытуемого выше порога LT2 в скользящем временном окне в режиме реального времени, с оценкой применимости baseline-подхода (Random Forest / XGBoost на ручных признаках) и расширенного подхода (TCN на временных рядах). В-пятых, оценить точность предсказания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и сопоставить результаты с данными литературы.</w:t>
      </w:r>
    </w:p>
    <w:p w14:paraId="49AE6E8D" w14:textId="7B23ADF5"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w:t>
      </w:r>
      <w:r>
        <w:lastRenderedPageBreak/>
        <w:t>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велоэргометрическое тестирование с верификацией лактатных порогов по капиллярной крови (методы Dmax и mDmax); синхронную многоканальную запись поверхностной ЭМГ, данных ИМУ, фотоплетизмографии (NIRS) и кардиоинтервалографии; цифровую обработку сигналов (полосовая фильтрация, вейвлетное преобразование, детрендированный флуктуационный анализ); машинное обучение на временных рядах физиологических сигналов; статистическую оценку с использованием LOSO-валидации и интерпретацию модели методом SHAP.</w:t>
      </w:r>
    </w:p>
    <w:p w14:paraId="4F805E29" w14:textId="4E8BD07F" w:rsidR="00DF758A" w:rsidRPr="00162BF5" w:rsidRDefault="00B47002" w:rsidP="00B47002">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онлайн-детекции LT2 при велоэргометрической нагрузке, а также в разработке методологии мультимодальной интеграции разночастотных физиологических сигналов для построения классификатора зоны интенсивности. Практическая значимость определяется возможностью определять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0760D4A9" w14:textId="77777777" w:rsidR="00866F49" w:rsidRDefault="00866F49" w:rsidP="00866F49">
      <w:pPr>
        <w:pStyle w:val="1"/>
        <w:keepNext w:val="0"/>
        <w:keepLines w:val="0"/>
        <w:widowControl w:val="0"/>
        <w:spacing w:before="0"/>
      </w:pPr>
    </w:p>
    <w:p w14:paraId="10E726FB" w14:textId="77777777" w:rsidR="00D04F47" w:rsidRDefault="00D04F47">
      <w:pPr>
        <w:spacing w:line="259" w:lineRule="auto"/>
        <w:jc w:val="left"/>
        <w:rPr>
          <w:rFonts w:eastAsiaTheme="majorEastAsia" w:cs="Times New Roman"/>
          <w:b/>
          <w:caps/>
          <w:szCs w:val="28"/>
        </w:rPr>
      </w:pPr>
      <w:r>
        <w:br w:type="page"/>
      </w:r>
    </w:p>
    <w:p w14:paraId="3AF69D55" w14:textId="30A3813E" w:rsidR="00300F39" w:rsidRDefault="008805C7" w:rsidP="00300F39">
      <w:pPr>
        <w:pStyle w:val="1"/>
        <w:keepNext w:val="0"/>
        <w:keepLines w:val="0"/>
        <w:widowControl w:val="0"/>
        <w:spacing w:before="0"/>
      </w:pPr>
      <w:bookmarkStart w:id="1" w:name="_Toc228326028"/>
      <w:r>
        <w:lastRenderedPageBreak/>
        <w:t>1 Обзор литературы</w:t>
      </w:r>
      <w:bookmarkStart w:id="2" w:name="_Hlk189815460"/>
      <w:bookmarkEnd w:id="1"/>
    </w:p>
    <w:p w14:paraId="21FEA9D6" w14:textId="6B8778EA" w:rsidR="00300F39" w:rsidRDefault="00E62A0E" w:rsidP="00781762">
      <w:pPr>
        <w:pStyle w:val="21"/>
      </w:pPr>
      <w:bookmarkStart w:id="3" w:name="_Toc228326029"/>
      <w:r>
        <w:t>1.1 Аэробно-анаэробный переход: физиологические механизмы</w:t>
      </w:r>
      <w:bookmarkEnd w:id="3"/>
    </w:p>
    <w:p w14:paraId="41C6360F" w14:textId="0A90BBC0" w:rsidR="00300F39" w:rsidRDefault="00300F39" w:rsidP="00300F39">
      <w:pPr>
        <w:ind w:firstLine="708"/>
      </w:pPr>
      <w:r>
        <w:t>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лактат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лактата выше базального уровня – приблизительно 2,0–2,5 ммоль/л – и сопровождается начальными вентиляционными изменениями. Второй порог, нередко именуемый анаэробным порогом или максимальным лактатным стационарным состоянием (MLSS), соответствует интенсивности, при которой производство лактата окончательно превосходит скорость его клиренса; при фиксированном протоколе 4 ммоль/л он часто используется как его приближение [Wackerhage, Gehlert, 2022; Fiedler, Woll, 2025].</w:t>
      </w:r>
    </w:p>
    <w:p w14:paraId="6C14A394" w14:textId="77777777" w:rsidR="00300F39" w:rsidRDefault="00300F39" w:rsidP="00300F39">
      <w:r>
        <w:rPr>
          <w:noProof/>
        </w:rPr>
        <w:drawing>
          <wp:inline distT="0" distB="0" distL="0" distR="0" wp14:anchorId="27EA1F97" wp14:editId="5BCAB18E">
            <wp:extent cx="5940425" cy="32035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203575"/>
                    </a:xfrm>
                    <a:prstGeom prst="rect">
                      <a:avLst/>
                    </a:prstGeom>
                  </pic:spPr>
                </pic:pic>
              </a:graphicData>
            </a:graphic>
          </wp:inline>
        </w:drawing>
      </w:r>
    </w:p>
    <w:p w14:paraId="6ED46591" w14:textId="487056A6" w:rsidR="00300F39" w:rsidRDefault="00300F39" w:rsidP="00300F39">
      <w:pPr>
        <w:ind w:firstLine="708"/>
      </w:pPr>
      <w:r>
        <w:t xml:space="preserve">Ключевую роль в понимании лактатного порога сыграли работы по кинетике лактата. Messonnier с соавторами [Messonnier, Emhoff, 2013] в серии экспериментов с изотопными метками показали, что лактатный порог </w:t>
      </w:r>
      <w:r>
        <w:lastRenderedPageBreak/>
        <w:t>соответствует точке, при которой скорость удаления и утилизации лактата тканями – метаболический клиренс лактата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лактата, а точку ограничения его клиренса. Примерно 70–80% утилизируемого лактата окисляется непосредственно, а 20–30% служат субстратом для глюконеогенеза [Messonnier, Emhoff, 2013]. Транспортные белки MCT1 и MCT4, которые переносят лактат через мембрану мышечной клетки, играют роль лимитирующего звена при высокой интенсивности: семидневная тренировка увеличивает содержание MCT1 в мышечной ткани на 118%, что сопровождается повышением скорости выхода лактата из мышечного волокна в венозную кровь [Bonen, McCullagh, 1998].</w:t>
      </w:r>
    </w:p>
    <w:p w14:paraId="65494ECE" w14:textId="77777777" w:rsidR="00300F39" w:rsidRDefault="00300F39" w:rsidP="00300F39">
      <w:pPr>
        <w:ind w:firstLine="708"/>
      </w:pPr>
      <w:r>
        <w:t>Разграничение двух порогов тесно связано с физиологией рекрутирования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фосфорилирования. По мере роста нагрузки в работу постепенно вовлекаются быстрые гликолитические ДЕ (тип II), обладающие более высокой максимальной скоростью образования лактата (</w:t>
      </w:r>
      <w:r>
        <w:rPr>
          <w:i/>
        </w:rPr>
        <w:t>VLa</w:t>
      </w:r>
      <w:r>
        <w:t xml:space="preserve">max). Именно этот рекрутирующий сдвиг является физиологической основой первого порога: к нему лактат начинает накапливаться, поскольку быстрые волокна производят его быстрее, чем соседние медленные волокна и сердечная мышца успевают его утилизировать [Wackerhage, Gehlert, 2022; Brooks, 2023]. Количественно этот сдвиг можно описать через модель Мадера, детально рассмотренную Wackerhage и Gehlert [2022]: в ней активация гликолиза и окислительного фосфорилирования задаётся концентрацией свободного АДФ, а высокая </w:t>
      </w:r>
      <w:r>
        <w:rPr>
          <w:i/>
        </w:rPr>
        <w:t>VLa</w:t>
      </w:r>
      <w:r>
        <w:t>max снижает мощность на ПАНО и ухудшает результативность на длинных дистанциях.</w:t>
      </w:r>
    </w:p>
    <w:p w14:paraId="48611AAA" w14:textId="6E670139" w:rsidR="00300F39" w:rsidRDefault="00300F39" w:rsidP="00300F39">
      <w:pPr>
        <w:ind w:firstLine="708"/>
      </w:pPr>
      <w:r>
        <w:lastRenderedPageBreak/>
        <w:t>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лактата – у молодых здоровых испытуемых VT1 наступает при 59,4% VO₂max [Lin, Huang, 2020].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VO₂max [Lin, Huang, 2020]. При медленных рамп-протоколах тестирования лактатный порог может выявляться существенно раньше вентиляционного – Kominami и Nishijima [2015] показали, что у части испытуемых LT наступает уже при ~30% VO₂peak, опережая VT (~38% VO₂peak), что объясняется временем диффузии лактата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048BFD4" w14:textId="7CF1B7E4" w:rsidR="00300F39" w:rsidRDefault="00300F39" w:rsidP="00300F39">
      <w:pPr>
        <w:ind w:firstLine="708"/>
      </w:pPr>
      <w:r>
        <w:t>Первый лактатный порог (LT1) несёт практическое значение не только для спорта, но и для физиологии труда. Fasching и Rinnerhofer [2020]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6028A4D4" w14:textId="0AE85DFE" w:rsidR="00896001" w:rsidRDefault="00896001" w:rsidP="00300F39">
      <w:pPr>
        <w:ind w:firstLine="708"/>
      </w:pPr>
      <w:r>
        <w:t xml:space="preserve">Описанные различия в лимитирующих факторах имеют прямые следствия для выбора информативных неинвазивных маркеров в гетерогенной выборке. У высокотренированных спортсменов высокая митохондриальная </w:t>
      </w:r>
      <w:r>
        <w:lastRenderedPageBreak/>
        <w:t xml:space="preserve">плотность и ёмкость окислительного фосфорилирования смещают узкое горлышко в сторону доставки кислорода к работающей мышце [Messonnier, Emhoff, 2013]: NIRS-сигнал SmO₂ непосредственно отражает момент, когда доставка перестаёт покрывать метаболический спрос, и должен давать чёткий breakpoint. У менее тренированных испытуемых первичным ограничивающим звеном остаётся митохондриальная ёмкость </w:t>
      </w:r>
      <w:r>
        <w:softHyphen/>
        <w:t xml:space="preserve">– скорость гликолитического синтеза пирувата превышает способность митохондрий его окислять при ещё адекватной доставке кислорода [Wackerhage, Gehlert, 2022], что может размывать NIRS-breakpoint, тогда как более раннее рекрутирование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11F3FA37" w14:textId="409B58D7" w:rsidR="00300F39" w:rsidRDefault="00300F39" w:rsidP="00300F39">
      <w:pPr>
        <w:ind w:firstLine="708"/>
      </w:pPr>
      <w:r>
        <w:rPr>
          <w:i/>
          <w:iCs/>
        </w:rPr>
        <w:t>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лактатного анализа), либо требуют специализированного газоаналитического оборудования. Определение обоих порогов – LT1 и LT2 – в реальном времени непрерывно, по локальным неинвазивным сигналам работающей мышцы, на сегодняшний день не реализовано.</w:t>
      </w:r>
    </w:p>
    <w:p w14:paraId="57D2CD6C" w14:textId="3D2E16CD" w:rsidR="00300F39" w:rsidRDefault="00E62A0E" w:rsidP="00C44D81">
      <w:pPr>
        <w:pStyle w:val="21"/>
      </w:pPr>
      <w:bookmarkStart w:id="4" w:name="_Toc228326030"/>
      <w:r>
        <w:t>1.2 Электромиография как неинвазивный маркер порога при велоэргометрии</w:t>
      </w:r>
      <w:bookmarkEnd w:id="4"/>
    </w:p>
    <w:p w14:paraId="4D1F7FFA" w14:textId="2F513164" w:rsidR="00300F39" w:rsidRDefault="00E62A0E" w:rsidP="00C44D81">
      <w:pPr>
        <w:pStyle w:val="31"/>
      </w:pPr>
      <w:bookmarkStart w:id="5" w:name="_Toc228326031"/>
      <w:r>
        <w:t>1.2.1 Классические признаки: RMS, MDF и ЭМГ-порог</w:t>
      </w:r>
      <w:bookmarkEnd w:id="5"/>
    </w:p>
    <w:p w14:paraId="4C7D6832" w14:textId="77777777" w:rsidR="00300F39" w:rsidRDefault="00300F39" w:rsidP="00300F39">
      <w:pPr>
        <w:ind w:firstLine="708"/>
      </w:pPr>
      <w:r>
        <w:t>Поверхностная электромиография (</w:t>
      </w:r>
      <w:r>
        <w:rPr>
          <w:i/>
        </w:rPr>
        <w:t>sEMG</w:t>
      </w:r>
      <w:r>
        <w:t xml:space="preserve">) позволяет неинвазивно регистрировать электрическую активность скелетных мышц и тем самым косвенно отражать паттерн рекрутирования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r>
        <w:lastRenderedPageBreak/>
        <w:t>Nagata и соавторов [Nagata, Moritani, 1981],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(mean diff. = 10,3 Гц, t=2,82, p&lt;0,05), тогда как пиковая частота (PFR) не меняется значимо. При этом ЭМГ-порог по VO₂ определяется с незначительной задержкой относительно кровяного AT (mean diff. = 0,20 л/мин, t=3,98, p&lt;0,05), хотя в 4 из 10 случаев оба порога совпадали точно.</w:t>
      </w:r>
    </w:p>
    <w:p w14:paraId="02131FDB" w14:textId="3A3A9ACA" w:rsidR="00300F39" w:rsidRDefault="00300F39" w:rsidP="00300F39">
      <w:pPr>
        <w:ind w:firstLine="708"/>
      </w:pPr>
      <w:r>
        <w:t xml:space="preserve">Механизм формирования ЭМГ-порога связан с физиологией рекрутирования.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окислительно-гликолитические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лактата и падении внутримышечного pH [Nagata, Moritani, 1981]. – вследствие снижения скорости проведения потенциала действия по мышечным волокнам при накоплении лактата и падении внутримышечного pH [Nagata, Moritani, 1981]. Совместная регистрация NIRS и </w:t>
      </w:r>
      <w:r>
        <w:rPr>
          <w:i/>
        </w:rPr>
        <w:t>sEMG</w:t>
      </w:r>
      <w:r>
        <w:t xml:space="preserve"> позволяет верифицировать этот механизм напрямую: Şayli и Akin [2014]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оксигенацией мышцы.</w:t>
      </w:r>
    </w:p>
    <w:p w14:paraId="32B9D84B" w14:textId="408A7AD7" w:rsidR="00300F39" w:rsidRDefault="00300F39" w:rsidP="00300F39">
      <w:pPr>
        <w:ind w:firstLine="708"/>
      </w:pPr>
      <w:r>
        <w:lastRenderedPageBreak/>
        <w:t xml:space="preserve">При велоэргометрии паттерны ЭМГ-активации существенно различаются для разных мышц. </w:t>
      </w:r>
      <w:r>
        <w:rPr>
          <w:i/>
        </w:rPr>
        <w:t>Vastus lateralis</w:t>
      </w:r>
      <w:r>
        <w:t xml:space="preserve"> (VL) является главным разгибателем коленного сустава и обеспечивает преобладающий вклад в фазу давления на педаль (load-фаза, ~0°–180° цикла педалирования). Метод ATHHb-ЭМГ, разработанный и валидированный Поповым с соавторами [Popov, Vinogradova, 2019; Попов, Кузнецов, 2019], основан на совместном анализе нормированного сигнала ЭМГ (nEMG) и нормированного дезоксигемоглобина (nHHb) по VL. В велоэргометрическом тесте с нарастающей нагрузкой (n=40) корреляция метода с лактатным порогом LT4 составила r=0,89 (p&lt;0,001), а коэффициент вариации при тест-ретесте – около 3%, что значительно превышает воспроизводимость традиционных ЭМГ-пороговых методов [Popov, Vinogradova, 2019]. Алгоритм использует V-slope метод (минимальная сумма квадратов остатков при двух кусочно-линейных регрессиях) и аппроксимацию nEMG полиномом 5-й степени для определения мощности на пороге.</w:t>
      </w:r>
    </w:p>
    <w:p w14:paraId="1EAB96E2" w14:textId="052BCA9D" w:rsidR="00300F39" w:rsidRDefault="00300F39" w:rsidP="00300F39">
      <w:pPr>
        <w:ind w:firstLine="708"/>
      </w:pPr>
      <w:r>
        <w:t>Важным методологическим подтверждением запаздывающего характера ЭМГ-порога относительно мышечной оксигенации служит исследование Racinais с соавторами [Racinais и др., 2014],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 при 82±14% (оба значимо позже VT2, p&lt;0,05, d&gt;0,6), тогда как мышечный NIRS breakpoint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рекрутирование высокопороговых ДЕ. Этот вывод имеет прямое значение для архитектуры мультимодального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37C81A38" w14:textId="77777777" w:rsidR="00300F39" w:rsidRDefault="00300F39" w:rsidP="00300F39">
      <w:pPr>
        <w:ind w:firstLine="708"/>
      </w:pPr>
      <w:r>
        <w:lastRenderedPageBreak/>
        <w:t>Разделение ЭМГ-активности по фазам педалирования открывает дополнительный аналитический потенциал. Гироскоп, интегрированный в датчик Delsys Trigno (угловая скорость оси педали), позволяет в реальном времени идентифицировать load- и rest-фазы цикла. При нарастании интенсивности изменяется относительный вклад фаз в суммарную ЭМГ-активность: растёт доля load-фазы,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12A2A014" w14:textId="6E89405E" w:rsidR="00300F39" w:rsidRDefault="00300F39" w:rsidP="00300F39">
      <w:pPr>
        <w:ind w:firstLine="708"/>
      </w:pPr>
      <w:r>
        <w:t>Среди методологических ограничений метода sEMG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[Popov, Vinogradova, 2019] нормировка выполняется на диапазон [EMGmax − EMGmin]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воспроизводимость [Voet, Janssen, 2022], однако для популяции тренированных триатлонистов данное ограничение нерелевантно.</w:t>
      </w:r>
    </w:p>
    <w:p w14:paraId="03E3C88E" w14:textId="36EB3088" w:rsidR="00300F39" w:rsidRDefault="00300F39" w:rsidP="00300F39">
      <w:pPr>
        <w:ind w:firstLine="708"/>
      </w:pPr>
      <w:r>
        <w:rPr>
          <w:i/>
          <w:iCs/>
        </w:rPr>
        <w:lastRenderedPageBreak/>
        <w:t>Несмотря на демонстрацию принципиальной работоспособности ЭМГ как маркера лактатного порога, существующие подходы не обеспечивают онлайн-детекцию в скользящем окне с учётом фазовой структуры педального цикла, а комбинированный анализ ЭМГ VL с синхронной NIRS на той же мышце – как основа мультимодального предиктора – в литературе не реализован.</w:t>
      </w:r>
    </w:p>
    <w:p w14:paraId="5491A648" w14:textId="5BC20472" w:rsidR="00300F39" w:rsidRDefault="00E62A0E" w:rsidP="00C44D81">
      <w:pPr>
        <w:pStyle w:val="31"/>
      </w:pPr>
      <w:bookmarkStart w:id="6" w:name="_Toc228326032"/>
      <w:r>
        <w:t>1.2.2 Вейвлетный анализ ЭМГ</w:t>
      </w:r>
      <w:bookmarkEnd w:id="6"/>
    </w:p>
    <w:p w14:paraId="72A508EC" w14:textId="6C843926" w:rsidR="00300F39" w:rsidRDefault="00300F39" w:rsidP="00300F39">
      <w:pPr>
        <w:ind w:firstLine="708"/>
      </w:pPr>
      <w:r>
        <w:t>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рекрутирование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Graham и соавторы [Graham и др., 2015] показали, что STFT ограничен фиксированным временным разрешением порядка 500 мс, что недостаточно для разрешения быстрых частотных сдвигов при супрамаксимальных и переходных нагрузках; FFT же не сохраняет временную привязку частотного содержимого вовсе. Альтернативный класс методов – вейвлетный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0542DBC" w14:textId="5999DD76" w:rsidR="00300F39" w:rsidRDefault="00300F39" w:rsidP="00300F39">
      <w:pPr>
        <w:ind w:firstLine="708"/>
      </w:pPr>
      <w:r>
        <w:t xml:space="preserve">Дискретное вейвлетное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вейвлета Daubechies 6-го порядка (db6) уровни d1–d2 (~500–1000 Гц) преимущественно содержат высокочастотный шум, уровни </w:t>
      </w:r>
      <w:r>
        <w:lastRenderedPageBreak/>
        <w:t xml:space="preserve">d3–d5 (~50–250 Гц)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вейвлет-коэффициентов), дисперсия и вейвлет-энтропия; в ML-пайплайне такие величины образуют входной вектор признаков, по которому модель оценивает состояние утомления или вероятность приближения к пороговой зоне. Wang и соавторы [Wang и др., 2018] провели сопоставление ЭМГ-индексов на VL в 30-секундном all-out велоэргометрическом тесте (n=10) и показали, что MNF, рассчитанная по вейвлет-пакетному разложению с db6, по grey relational grade – мере близости динамики признака к выбранной референсной кривой утомления – значимо превзошла классические индексы – RMS, MF и MPF на основе FFT, MDF, а также сложность Лемпеля-Зива – для оценки мышечного утомления при динамическом педалировании. Jamaluddin и соавторы [Jamaluddin и др., 2023] ввели семейство Wavelet Index (WI) признаков (WIRM1551, WIRE51 и др.), отражающих распределение энергии по шкалам и частотным диапазонам, и применили их к задаче неинвазивной идентификации затяжной мышечной усталости (prolonged fatigue) у 20 участников по 5-дневному протоколу. Классификатор Naive Bayes на наборе WI и классических признаков достиг точности 98% на </w:t>
      </w:r>
      <w:r>
        <w:rPr>
          <w:i/>
        </w:rPr>
        <w:t>m. rectus femoris</w:t>
      </w:r>
      <w:r>
        <w:t xml:space="preserve">, 97% на </w:t>
      </w:r>
      <w:r>
        <w:rPr>
          <w:i/>
        </w:rPr>
        <w:t>m. vastus medialis</w:t>
      </w:r>
      <w:r>
        <w:t xml:space="preserve"> и 94% на </w:t>
      </w:r>
      <w:r>
        <w:rPr>
          <w:i/>
        </w:rPr>
        <w:t>m. biceps femoris</w:t>
      </w:r>
      <w:r>
        <w:t xml:space="preserve">. Принципиально важным для настоящей работы является то, что на </w:t>
      </w:r>
      <w:r>
        <w:rPr>
          <w:i/>
        </w:rPr>
        <w:t>m. vastus lateralis</w:t>
      </w:r>
      <w:r>
        <w:t xml:space="preserve"> точность того же классификатора составила лишь 9% – на порядки ниже, чем на других мышцах квадрицепса, и изменения классических индексов (ΔFmed, ΔRMS, ΔMAV) между нормальным состоянием и состоянием prolonged fatigue были статистически незначимыми именно на VL. Этот результат свидетельствует о специфической вариабельности ЭМГ VL при длительной утомляемости и требует осторожной интерпретации вейвлетных признаков на этой мышце в контексте задачи детекции лактатного порога.</w:t>
      </w:r>
    </w:p>
    <w:p w14:paraId="786B63A1" w14:textId="72310728" w:rsidR="00300F39" w:rsidRDefault="00300F39" w:rsidP="00300F39">
      <w:pPr>
        <w:ind w:firstLine="708"/>
      </w:pPr>
      <w:r>
        <w:t xml:space="preserve">Непрерывное вейвлетное преобразование (CWT) предоставляет более гибкий, хотя и вычислительно более затратный, инструмент для разведочного </w:t>
      </w:r>
      <w:r>
        <w:lastRenderedPageBreak/>
        <w:t>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скалограмму – двумерную карту того, как энергия сигнала распределяется по времени и частоте, что удобно для визуализации структурных изменений сигнала. Graham и соавторы [Graham и др., 2015] применили CWT к ЭМГ-данным велоэргометрических испытаний при трёх интенсивностях – 73%, 100% и 133% VO₂peak – и обнаружили, что при 133% VO₂peak уже с первого интервала наблюдалось достоверно большее падение центральной частоты и одновременный рост площади всплеска (intensity·duration), тогда как RMS и MDF в эти моменты ещё не различали условия. CWT, тем самым, выявила режим супрамаксимальной нагрузки как качественно отличный от 100% VO₂peak там, где классические показатели регистрировали лишь количественное различие. Для практических ML-приложений DWT/вейвлет-пакеты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ADA0BA0" w14:textId="08B6E1F2" w:rsidR="00300F39" w:rsidRDefault="00300F39" w:rsidP="00300F39">
      <w:pPr>
        <w:ind w:firstLine="708"/>
      </w:pPr>
      <w:r>
        <w:t xml:space="preserve">Естественное расширение вейвлетного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Wang G. и соавторы [Wang G. и др., 2014] предложили использовать вейвлет-разложение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четырёх двигательных паттернов, что превзошло методы без вейвлет-предобработки и без нелинейных признаков. Принципиальное значение этого подхода для задачи онлайн-детекции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w:t>
      </w:r>
      <w:r>
        <w:lastRenderedPageBreak/>
        <w:t>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29FCE7F2" w14:textId="4D157069" w:rsidR="00300F39" w:rsidRDefault="00300F39" w:rsidP="00300F39">
      <w:pPr>
        <w:ind w:firstLine="708"/>
      </w:pPr>
      <w:r>
        <w:t>Помимо извлечения признаков, вейвлетное преобразование применимо как метод аугментации обучающих данных. Tsinganos и соавторы [Tsinganos и др., 2020] систематически сопоставили техники аугментации ЭМГ для задачи распознавания жестов и показали, что декомпозиция сигнала на вейвлет-уровни с последующим добавлением шума на каждый уровень и реконструкцией обеспечивает прирост точности классификации до +16% на двух эталонных датасетах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вейвлет-аугментацию,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вейвлеты универсальным инструментом, применимым как для извлечения признаков в feature engineering, так и для генерации обучающих данных при ограниченных выборках, что напрямую релевантно настоящей работе и подробно обсуждается в разделе 2.6.3.</w:t>
      </w:r>
    </w:p>
    <w:p w14:paraId="665AFB30" w14:textId="282930A4" w:rsidR="00300F39" w:rsidRDefault="00300F39" w:rsidP="00300F39">
      <w:pPr>
        <w:ind w:firstLine="708"/>
      </w:pPr>
      <w:r>
        <w:rPr>
          <w:i/>
          <w:iCs/>
        </w:rPr>
        <w:t xml:space="preserve">Несмотря на демонстрированную информативность вейвлетных признаков ЭМГ при задачах классификации мышечной усталости, распознавания движений и идентификации затяжной утомляемости, их применение для онлайн-детекции аэробно-анаэробного порога при ступенчатом велоэргометрическом тесте – особенно на VL в сочетаниис NIRS и HRV – в рецензируемой литературе систематически не исследовалось. Этот разрыв имеет VL-специфический аспект: именно на этой мышце вейвлетные признаки демонстрировали наименьшую точность при идентификации длительной утомляемости [Jamaluddin и др., 2023], что </w:t>
      </w:r>
      <w:r>
        <w:rPr>
          <w:i/>
          <w:iCs/>
        </w:rPr>
        <w:lastRenderedPageBreak/>
        <w:t>требует дополнительной валидации в физиологическом контексте задачи настоящей диссертации.</w:t>
      </w:r>
    </w:p>
    <w:p w14:paraId="4B635D31" w14:textId="7275D38F" w:rsidR="00300F39" w:rsidRDefault="00E62A0E" w:rsidP="00C44D81">
      <w:pPr>
        <w:pStyle w:val="21"/>
      </w:pPr>
      <w:bookmarkStart w:id="7" w:name="_Toc228326033"/>
      <w:r>
        <w:t>1.3 Ближняя инфракрасная спектроскопия и локальная мышечная оксигенация</w:t>
      </w:r>
      <w:bookmarkEnd w:id="7"/>
    </w:p>
    <w:p w14:paraId="3DFB0B33" w14:textId="7723C653" w:rsidR="00300F39" w:rsidRDefault="00300F39" w:rsidP="00300F39">
      <w:pPr>
        <w:ind w:firstLine="708"/>
      </w:pPr>
      <w:r>
        <w:t>Ближняя инфракрасная спектроскопия (NIRS) основана на различии спектров поглощения оксигемоглобина (O₂Hb) и дезоксигемоглобина (HHb) в ближнем инфракрасном диапазоне (700–900 нм).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(лактат крови, вентиляционные показатели). Показатель тканевой сатурации кислорода (SmO₂, %) отражает соотношение O₂Hb к суммарному гемоглобину (THb) в зондируемом объёме ткани и является наиболее клинически интерпретируемым выходным параметром портативных систем – Moxy Monitor и Train.Red.</w:t>
      </w:r>
    </w:p>
    <w:p w14:paraId="62E97AAB" w14:textId="72F7D9BF" w:rsidR="00300F39" w:rsidRDefault="00300F39" w:rsidP="00300F39">
      <w:pPr>
        <w:ind w:firstLine="708"/>
      </w:pPr>
      <w:r>
        <w:t xml:space="preserve">Ключевой вопрос применения NIRS для детекции порога – какой именно параметр наиболее точно отражает лактатный порог. Wang и соавторы [Wang, Yoshikawa, 2006] в инкрементальном велоэргометрическом тесте (n=15) провели сравнительный анализ трёх NIRS-переменных. Точка перегиба ΔHHb была определена у всех 15 испытуемых; её корреляция с вентиляционным порогом составила r=0,99 по нагрузке и r=0,97 по VO₂ (p&lt;0,0001), а с лактатным порогом – r=0,76 по нагрузке и r=0,80 по VO₂ (p&lt;0,05). Точка перегиба ΔO₂Hb была определена лишь у 11 из 15 испытуемых и соответствовала значительно более высоким нагрузкам. TOI (тканевой индекс оксигенации) коррелировал с вентиляционным порогом (VT) и нормированным индексом максимального суммарного гемоглобина (nTHImax), но не был специфичным маркером лактатного порога (LT). Авторы заключили, что ΔHHb является оптимальным NIRS-параметром для </w:t>
      </w:r>
      <w:r>
        <w:lastRenderedPageBreak/>
        <w:t>определения LT при велоэргометрии, поскольку точно отражает динамику O₂-метаболизма независимо от перфузии.</w:t>
      </w:r>
    </w:p>
    <w:p w14:paraId="3213D57A" w14:textId="4BC1EC96" w:rsidR="00300F39" w:rsidRDefault="00300F39" w:rsidP="00300F39">
      <w:pPr>
        <w:ind w:firstLine="708"/>
      </w:pPr>
      <w:r>
        <w:t>Соответствие NIRS-порога (breakpoint оксигенации) вентиляционным и лактатным порогам подтверждено рядом независимых исследований. Lin и Huang [2020] в выборке из 100 испытуемых показали, что полиномиальная регрессия 3-й степени, применённая к кривым O₂Hb и HHb, позволяет автоматически определять VT1 и VT2: пик функции O₂Hb соответствует VT1 (35,0 ± 1,0 против 35,8 ± 1,0 мл·кг⁻¹·мин⁻¹ по вентиляционному методу, p&gt;0,05), а пик функции HHb – VT2 (46,2 ± 1,1 против 47,4 ± 1,0 мл·кг⁻¹·мин⁻¹, p&gt;0,05). Воспроизводимость метода высокая: r=0,94 между сессиями, Bland–Altman в пределах 95% CI. Coquart и Mucci [2017] показали, что первая точка перегиба O₂Hb в латеральной широкой мышце бедра (</w:t>
      </w:r>
      <w:r>
        <w:rPr>
          <w:i/>
        </w:rPr>
        <w:t>m. vastus lateralis</w:t>
      </w:r>
      <w:r>
        <w:t>; O₂Hb-T) коррелирует с газообменным порогом (GET, gas exchange threshold) (r=0,79, p&lt;0,001, n=14) и наступает раньше GET: NIRS отражает локальный метаболизм мышцы без вентиляционной задержки. При этом оба параметра предсказывают время до истощения при 90% Wpeak (r=0,81 и r=0,72, p&lt;0,01 соответственно).</w:t>
      </w:r>
    </w:p>
    <w:p w14:paraId="3DF17D9D" w14:textId="7260A1F8" w:rsidR="00300F39" w:rsidRDefault="00300F39" w:rsidP="00300F39">
      <w:pPr>
        <w:ind w:firstLine="708"/>
      </w:pPr>
      <w:r>
        <w:t xml:space="preserve">Двустороннее измерение SmO₂ повышает точность детекции порогов. Reinpõld и Rannama [2024] в выборке велосипедистов установили, что усреднённый билатеральный сигнал SmO₂ (Avr)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лактатным тестом. Иными словами, даже если средние значения по группе хорошо совпадают, у конкретного спортсмена локальный </w:t>
      </w:r>
      <w:r>
        <w:lastRenderedPageBreak/>
        <w:t>мышечный порог по NIRS может заметно не совпасть с системным порогом, определённым по дыханию или лактату. Валидация портативного NIRS-датчика van der Zwaard и соавторов [2016] на велосипедистах показала умеренную корреляцию BP с VT1 (r=0,58–0,68), что авторы объясняют крупным шагом нагрузочных ступеней (30–50 Вт) – важное методологическое замечание для дизайна ступенчатых тестов.</w:t>
      </w:r>
    </w:p>
    <w:p w14:paraId="746CD722" w14:textId="66EAB2DC"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лактата от мышцы к месту забора крови. В частности, Farzam и Starkweather [2018] продемонстрировали, что портативная CW-NIRS (Humon Beta) коррелирует с лабораторной системой MetaOx по SmO₂ (r=0,86, RMSE=3,4%), а Driller и Borges [2016] провели валидацию носимого датчика BSXinsight на </w:t>
      </w:r>
      <w:r>
        <w:rPr>
          <w:i/>
          <w:iCs/>
        </w:rPr>
        <w:t>m. gastrocnemius</w:t>
      </w:r>
      <w:r>
        <w:t xml:space="preserve"> у велосипедистов: наилучшее соответствие было получено с методом Dmax (TEE=8,6 Вт, 4,4%; 95% LoA = ±17 Вт; r=0,96).</w:t>
      </w:r>
    </w:p>
    <w:p w14:paraId="0E863129" w14:textId="2DF63239"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adipose tissue thickness). van der Zwaard и соавторы [2016] показали, что ATT объясняет около 80% межиндивидуальной вариабельности SmO₂: при большей толщине жирового слоя регистрируемое снижение SmO₂ уменьшается, так как в зондируемый объём включается оксигенированная жировая ткань. Popov и Vinogradova [2019] указывают, что при толщине жирового слоя более 10 мм мышечный сигнал может быть существенно замаскирован. Farzam и соавторы [2018] подчёркивают, что простой порог SmO₂ недостаточен для надёжного определения LT: необходимы алгоритмы, учитывающие динамику HbO, HbR и HbT совместно. Дополнительным ограничением является низкая воспроизводимость алгоритмов детекции порога по кривой StO₂: Cayot и Robinson [2021] показали, что методы Dmax и </w:t>
      </w:r>
      <w:r>
        <w:lastRenderedPageBreak/>
        <w:t>mDmax дают ICC=0,351 и ICC=0,385 соответственно – недопустимо низкие значения для клинического применения, хотя сами кривые StO₂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4D18A478" w14:textId="77777777" w:rsidR="00300F39" w:rsidRDefault="00300F39" w:rsidP="00300F39">
      <w:pPr>
        <w:ind w:firstLine="708"/>
      </w:pPr>
      <w:r>
        <w:rPr>
          <w:i/>
          <w:iCs/>
        </w:rPr>
        <w:t>Несмотря на доказанную валидность NIRS для детекции порогов, стандартные алгоритмы (Dmax, mDmax) демонстрируют неприемлемую воспроизводимость при их применении к SmO₂. Применение методов ML для автоматической и воспроизводимой детекции двух точек перегиба SmO₂ в реальном времени, в том числе в сочетании с ЭМГ-сигналом той же мышцы, остаётся нерешённой задачей.</w:t>
      </w:r>
    </w:p>
    <w:p w14:paraId="456A80BC" w14:textId="22996369" w:rsidR="00300F39" w:rsidRDefault="00E62A0E" w:rsidP="00C44D81">
      <w:pPr>
        <w:pStyle w:val="21"/>
      </w:pPr>
      <w:bookmarkStart w:id="8" w:name="_Toc228326034"/>
      <w:r>
        <w:t>1.4 Вариабельность сердечного ритма и DFA-α1 как онлайн-маркер первого порога</w:t>
      </w:r>
      <w:bookmarkEnd w:id="8"/>
    </w:p>
    <w:p w14:paraId="21D990C7" w14:textId="5A9169C7" w:rsidR="00300F39" w:rsidRDefault="00300F39" w:rsidP="00300F39">
      <w:pPr>
        <w:ind w:firstLine="708"/>
      </w:pPr>
      <w:r>
        <w:t>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детрендированного флуктуационного анализа (DFA)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[Rogers, Gronwald, 2022].</w:t>
      </w:r>
    </w:p>
    <w:p w14:paraId="3293EC06"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w:t>
      </w:r>
      <w:r>
        <w:lastRenderedPageBreak/>
        <w:t>корреляции (DFA-α1 ≈ 1,0–1,2), характерные для фрактального поведения; по мере нарастания нагрузки корреляционная структура постепенно разрушается. Rogers и Gronwald [2022]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[Rogers, Gronwald, 2022].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[Rogers, Gronwald, 2022].</w:t>
      </w:r>
    </w:p>
    <w:p w14:paraId="6FD271D3" w14:textId="77777777" w:rsidR="00300F39" w:rsidRDefault="00300F39" w:rsidP="00300F39">
      <w:pPr>
        <w:ind w:firstLine="708"/>
      </w:pPr>
      <w:r>
        <w:t xml:space="preserve">Валидность метода DFA-α1 подтверждена в нескольких независимых исследованиях. Schaffarczyk и Gronwald [2022]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p&lt;0,001). HRVT2 (DFA-α1=0,50) соответствовал VT2 с ICC=0,84, r=0,86 (VO₂) и ICC=0,90, r=0,90 (ЧСС). Смещение по Bland–Altman для VT1 vs HRVT1 составило −1,3 мл·кг⁻¹·мин⁻¹ (LoA: −6,0 до +3,3), что приемлемо для практического применения. Важно, что данная работа впервые провела систематическую валидацию на женской популяции, ранее недостаточно изученной в контексте DFA-α1. Schaffarczyk и соавторы [Schaffarczyk, Rogers, 2022] также исследовали чувствительность DFA-α1 к тренировочному статусу у триатлонистов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w:t>
      </w:r>
      <w:r>
        <w:lastRenderedPageBreak/>
        <w:t>изменений, что свидетельствует о том, что DFA-α1 отражает вегетативный аспект усталости.</w:t>
      </w:r>
    </w:p>
    <w:p w14:paraId="7765AF13" w14:textId="210B2122" w:rsidR="00300F39" w:rsidRDefault="00300F39" w:rsidP="00300F39">
      <w:pPr>
        <w:ind w:firstLine="708"/>
      </w:pPr>
      <w:r>
        <w:t>Отдельного внимания заслуживает влияние биологического пола на кинетику DFA-α1 при нагрузке. Schaffarczyk и Gronwald [2022] показали, что у пременопаузальных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и расширению пределов согласия (LoA) при сравнении с VT1 у женщин по сравнению с мужчинами. Важно, что HRVT2 у женщин демонстрирует хорошее соответствие с VT2 – авторы объясняют это тем, что второй порог отражает системную дестабилизацию, более резистентную к гормональным флуктуациям. Для настоящего исследования, включающего триатлонистов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[Schaffarczyk, Gronwald, 2022].</w:t>
      </w:r>
    </w:p>
    <w:p w14:paraId="12FA5CD3" w14:textId="2CB234EA" w:rsidR="00300F39" w:rsidRDefault="00300F39" w:rsidP="00300F39">
      <w:pPr>
        <w:ind w:firstLine="708"/>
      </w:pPr>
      <w:r>
        <w:t>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межиндивидуальную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[Schaffarczyk, Rogers, 2022].</w:t>
      </w:r>
    </w:p>
    <w:p w14:paraId="29C7B3F1" w14:textId="057ADB36" w:rsidR="00300F39" w:rsidRDefault="00300F39" w:rsidP="00300F39">
      <w:pPr>
        <w:ind w:firstLine="708"/>
      </w:pPr>
      <w:r>
        <w:t xml:space="preserve">Накопленные количественные данные по соответствию HRV-порогов лактатным и вентиляционным были обобщены в недавнем систематическом </w:t>
      </w:r>
      <w:r>
        <w:lastRenderedPageBreak/>
        <w:t>обзоре с мета-анализом Tanner и соавторов [Tanner и др., 2024],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vs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лактатные и вентиляционные пороги в разных протоколах нагрузки; поэтому RR-интервалы обоснованно рассматриваются как самостоятельный неинвазивный входной канал мультимодальной системы предсказания порогов.</w:t>
      </w:r>
    </w:p>
    <w:p w14:paraId="6D4EDB3F" w14:textId="77777777" w:rsidR="00300F39" w:rsidRDefault="00300F39" w:rsidP="00300F39">
      <w:pPr>
        <w:ind w:firstLine="708"/>
      </w:pPr>
      <w:r>
        <w:rPr>
          <w:i/>
          <w:iCs/>
        </w:rPr>
        <w:t>Метод DFA-α1 валидирован как неинвазивный маркер VT1, однако его применение ограничено первым порогом и требует качественного RR-ряда без существенных артефактов. Schaffarczyk и Gronwald [2022]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053DF0A8" w14:textId="6C81DF68" w:rsidR="00300F39" w:rsidRDefault="00E62A0E" w:rsidP="00C44D81">
      <w:pPr>
        <w:pStyle w:val="21"/>
      </w:pPr>
      <w:bookmarkStart w:id="9" w:name="_Toc228326035"/>
      <w:r>
        <w:t>1.5 Кинетика лактата: задержка системного сигнала относительно локального</w:t>
      </w:r>
      <w:bookmarkEnd w:id="9"/>
    </w:p>
    <w:p w14:paraId="34461EBF" w14:textId="662E9265" w:rsidR="00300F39" w:rsidRDefault="00300F39" w:rsidP="00300F39">
      <w:pPr>
        <w:ind w:firstLine="708"/>
      </w:pPr>
      <w:r>
        <w:t xml:space="preserve">Для корректной интерпретации лактатного порога, определяемого по капиллярной крови, необходимо понимать механизмы и временные характеристики транспорта лактата из работающей мышцы в системный кровоток. Bangsbo и Johansen [1993] в классическом эксперименте с </w:t>
      </w:r>
      <w:r>
        <w:lastRenderedPageBreak/>
        <w:t>одноногим педалированием показали, что скорость выхода лактата из мышцы в кровь определяется разницей его концентраций между мышцей и кровью: чем эта разница больше, тем быстрее лактат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лактата начинает отставать от роста этого градиента. Доля медленных волокон (%ST) обратно пропорциональна градиенту лактата мышца–кровь: мышцы с большей долей медленных волокон удерживают меньший градиент при той же нагрузке. Внутримышечный pH при интенсивных нагрузках снижается до 6,73, а феморальный венозный pH – до 7,14–7,15, что само по себе влияет на транспортную кинетику [Bangsbo, Johansen, 1993].</w:t>
      </w:r>
    </w:p>
    <w:p w14:paraId="01164455" w14:textId="3904EB7D" w:rsidR="00300F39" w:rsidRDefault="00300F39" w:rsidP="00300F39">
      <w:pPr>
        <w:ind w:firstLine="708"/>
      </w:pPr>
      <w:r>
        <w:t xml:space="preserve">MacLean и Bangsbo [1999] впервые применили метод микродиализа для мониторинга интерстициального лактата в </w:t>
      </w:r>
      <w:r>
        <w:rPr>
          <w:i/>
        </w:rPr>
        <w:t>m. vastus lateralis</w:t>
      </w:r>
      <w:r>
        <w:t xml:space="preserve"> в реальном времени при динамической нагрузке. Было установлено, что концентрация лактата в интерстиции VL в покое составляет 2,5 ± 0,2 мМ – значительно выше, чем в артериальной (0,9 ± 0,2 мМ) и венозной (1,1 ± 0,2 мМ) плазме. При нарастании нагрузки относительное извлечение вещества микродиализным зондом из окружающей ткани (probe recovery) для лактата, возрастала с ~32% в покое до ~66% при максимальной нагрузке. Это указывало на более быстрый перенос лактата в интерстициальном пространстве сокращающейся мышцы. Изменения интерстициального лактата коррелировали с венозными, но не с артериальными концентрациями, что подтверждает: интерстициальный лактат отражает локальный метаболизм, а не системный пул [MacLean, Bangsbo, 1999]. Эти данные прямо указывают на существование концентрационной задержки: в начале ступени нагрузки капиллярный лактат (кончик пальца или мочка уха) отстаёт от реального внутримышечного значения.</w:t>
      </w:r>
    </w:p>
    <w:p w14:paraId="4E48142B" w14:textId="77777777" w:rsidR="00300F39" w:rsidRDefault="00300F39" w:rsidP="00300F39">
      <w:pPr>
        <w:ind w:firstLine="708"/>
      </w:pPr>
      <w:r>
        <w:t xml:space="preserve">Следствием описанной задержки является принципиальная зависимость определяемого лактатного порога от длительности ступеней тестового </w:t>
      </w:r>
      <w:r>
        <w:lastRenderedPageBreak/>
        <w:t xml:space="preserve">протокола. Ji и Sommer [2021] и Wackerhage с Gehlert [2022] указывают, что ступени короче 3–4 минут не позволяют достичь квазистационарного состояния лактата: системный лактат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VO₂max и </w:t>
      </w:r>
      <w:r>
        <w:rPr>
          <w:i/>
        </w:rPr>
        <w:t>VLa</w:t>
      </w:r>
      <w:r>
        <w:t>max могут давать идентичные лактатные кривые с равным LTAn, что делает стандартизацию протокола обязательным условием для межиндивидуального сравнения [Ji, Sommer, 2021].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E3AA4AB" w14:textId="77777777" w:rsidR="00300F39" w:rsidRDefault="00300F39" w:rsidP="00300F39">
      <w:pPr>
        <w:ind w:firstLine="708"/>
      </w:pPr>
      <w:r>
        <w:t xml:space="preserve">Принципиально важную роль в понимании кинетики системного лактата играет объём вовлечённой мышечной массы. van Hall и Jensen-Urstad [2003] в исследовании с одновременной работой рук и ног (имитация лыжного хода) показали, что при большой вовлечённой мышечной массе скорость появления лактата в кровотоке (Ra) может достигать 184 ± 17 мкмоль·кг⁻¹·мин⁻¹, хотя артериальная концентрация остаётся низкой (&lt;2,5 ммоль/л). Это объясняется тем, что часть работающих мышц одновременно активно поглощает лактат из крови и использует его как энергетический субстрат: около 95% поглощённого лактата окисляется непосредственно. Это означает, что при видах спорта с большой мышечной массой (лыжи, гребля) системный лактат принципиально ненадёжно отражает локальный метаболизм конкретной мышцы: часть мышц производит лактат, тогда как другая часть его потребляет через межмышечный шаттл [Brooks, 2023]. Велоэргометрия обладает в этом отношении методологическим преимуществом: нагрузка изолирована преимущественно </w:t>
      </w:r>
      <w:r>
        <w:lastRenderedPageBreak/>
        <w:t>на мышцы нижних конечностей (VL, RF, gastrocnemius), что существенно снижает масштаб межмышечного лактатного шаттлинга и делает системный лактат более репрезентативным для локального метаболизма квадрицепса.</w:t>
      </w:r>
    </w:p>
    <w:p w14:paraId="6ACBFA67" w14:textId="0A41A7CC" w:rsidR="00300F39" w:rsidRDefault="00300F39" w:rsidP="00300F39">
      <w:pPr>
        <w:ind w:firstLine="708"/>
      </w:pPr>
      <w:r>
        <w:t>Неработающие мышцы вносят существенный вклад в клиренс лактата из системного кровотока. Bangsbo и Aagaard [1995] показали, что поглощение лактата неактивной мышцей пропорционально кровотоку: при двукратном увеличении перфузии поглощение удваивается, что указывает на перфузионное, а не транспортёрное ограничение в данных условиях. Транспорт лактата в неактивную мышцу котранспортируется с H⁺ и вносит вклад в буферизацию системного ацидоза. При длительной нагрузке поглощение лактата неактивной мышцей снижается из-за её собственного закисления – ещё один аргумент в пользу временной нестационарности системного лактата. MCT1 играет центральную роль в этом процессе: Bonen и McCullagh [1998] установили, что семидневная тренировка увеличивает содержание MCT1 в мышце на 118%, а наклон регрессии мышца–феморальная вена возрастает на 33%, что отражает ускорение экструзии лактата и улучшение системного клиренса.</w:t>
      </w:r>
    </w:p>
    <w:p w14:paraId="2E5229CB" w14:textId="77777777" w:rsidR="00300F39" w:rsidRDefault="00300F39" w:rsidP="00300F39">
      <w:pPr>
        <w:ind w:firstLine="708"/>
      </w:pPr>
      <w:r>
        <w:t xml:space="preserve">Концепция лактатного шаттла, развитая Brooks [2023], переосмысливает роль лактата как основного энергетического субстрата для аэробных тканей, а не как «отхода» анаэробного метаболизма. Лактат является связующим звеном между гликолитическими и окислительными компартментами как внутри одного волокна (внутриклеточный шаттл), так и между мышцами, а также от мышц к сердцу, мозгу и почкам (межклеточный и межорганный шаттл). Для задачи настоящей диссертации это означает, что NIRS-сигнал на </w:t>
      </w:r>
      <w:r>
        <w:rPr>
          <w:i/>
        </w:rPr>
        <w:t>m. vastus lateralis</w:t>
      </w:r>
      <w:r>
        <w:t xml:space="preserve"> ближе к моменту локальных метаболических изменений в основной работающей мышце, тогда как капиллярный лактат отражает не только его продукцию, но и последующий транспорт, перераспределение и клиренс в других тканях. Поэтому временное расхождение между NIRS breakpoint и лактатной меткой следует рассматривать не только как ошибку измерения, но </w:t>
      </w:r>
      <w:r>
        <w:lastRenderedPageBreak/>
        <w:t>и как физиологическое свойство самих сигналов. Таким образом, NIRS breakpoint на VL теоретически ближе к «правде» о мышечном метаболизме, чем капиллярный лактат, хотя на практике оба сигнала несут взаимодополняющую информацию.</w:t>
      </w:r>
    </w:p>
    <w:p w14:paraId="211A2BA3" w14:textId="29C5D646" w:rsidR="00300F39" w:rsidRDefault="00300F39" w:rsidP="00300F39">
      <w:pPr>
        <w:ind w:firstLine="708"/>
      </w:pPr>
      <w:r>
        <w:rPr>
          <w:i/>
          <w:iCs/>
        </w:rPr>
        <w:t>Количественные данные о временной задержке между внутримышечным лактатом и капиллярным лактатом при ступенчатом велоэргометрическом тесте с шагом 30 Вт / 3 мин в литературе систематически не представлены. Это ограничивает точность разметки временных меток порога в ML-датасете и является источником неустранимой погрешности при верификации модели по лактатным меткам.</w:t>
      </w:r>
    </w:p>
    <w:p w14:paraId="0408CC5C" w14:textId="3A426CD3" w:rsidR="00300F39" w:rsidRDefault="00E62A0E" w:rsidP="00E56E6F">
      <w:pPr>
        <w:pStyle w:val="21"/>
      </w:pPr>
      <w:bookmarkStart w:id="10" w:name="_Toc228326036"/>
      <w:r>
        <w:t>1.6 Машинное обучение и алгоритмы онлайн-детекции аэробно-анаэробного перехода</w:t>
      </w:r>
      <w:bookmarkEnd w:id="10"/>
    </w:p>
    <w:p w14:paraId="6094851D" w14:textId="6B8A4F5F" w:rsidR="00300F39" w:rsidRDefault="00300F39" w:rsidP="00300F39">
      <w:pPr>
        <w:ind w:firstLine="708"/>
      </w:pPr>
      <w:r>
        <w:t>Автоматическая детекция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онлайн-детекции, где ни один отдельный физиологический сигнал не является достаточно надёжным в условиях реального времени.</w:t>
      </w:r>
    </w:p>
    <w:p w14:paraId="3CC3A35E" w14:textId="73D9E2DC" w:rsidR="00300F39" w:rsidRDefault="00E62A0E" w:rsidP="00E56E6F">
      <w:pPr>
        <w:pStyle w:val="31"/>
      </w:pPr>
      <w:bookmarkStart w:id="11" w:name="_Toc228326037"/>
      <w:r>
        <w:t>1.6.1 Классический ML на ручных признаках</w:t>
      </w:r>
      <w:bookmarkEnd w:id="11"/>
    </w:p>
    <w:p w14:paraId="385F3453" w14:textId="6A671DA1"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Tomaszewski и Majorczyk [2024] на датасете из 183 протоколов кардиопульмонального нагрузочного тестирования (CPET) с лактатными метками. Для предсказания аэробного порога (AeT) лучшим алгоритмом оказался Random Forest (R²=0,645, MAE=4,63 Вт, MSE=44,45, RMSE=6,67 Вт), для анаэробного порога (AnT) – LightGBM (R²=0,803, MAE=3,44 Вт). Анализ </w:t>
      </w:r>
      <w:r>
        <w:lastRenderedPageBreak/>
        <w:t>вклада признаков в решение модели (SHAP-анализ) показал, что наибольшее влияние на предсказание оказывают минимальный уровень лактата и ЧСС в момент максимального лактата, то есть показатели, описывающие индивидуальные особенности лактатного ответа у спортсмена. ML-модели в этой работе, однако, использовали лишь лактатные и кардиореспираторные признаки, не включая ЭМГ или NIRS.</w:t>
      </w:r>
    </w:p>
    <w:p w14:paraId="37673290" w14:textId="18590CB9"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Fischer и Hävecker [2025] показали, что регрессионная модель на основе трёх физиологических показателей – максимального потребления кислорода (VO₂peak), доли этого максимума, используемой на уровне LT2 (%VO₂peak@LT2), и экономичности педалирования (Cc) – объясняет не менее 98% вариации мощности на LT2 у молодых велосипедистов (ICC≥0,961). При определении Cc при 90% LT2 точность достигала ICC≥0,986. Вклад VO₂peak составлял 62–67% от общего R², тогда как включение </w:t>
      </w:r>
      <w:r>
        <w:rPr>
          <w:i/>
        </w:rPr>
        <w:t>VLa</w:t>
      </w:r>
      <w:r>
        <w:t xml:space="preserve">max не улучшало точности предсказания. Ji и Sommer [2021] продемонстрировали, что расчётный лактатный анаэробный порог (cLTAn) через метаболическую симуляцию модели Мадера (VO₂max + </w:t>
      </w:r>
      <w:r>
        <w:rPr>
          <w:i/>
        </w:rPr>
        <w:t>VLa</w:t>
      </w:r>
      <w:r>
        <w:t>max + экономичность бега) сопоставим с mDmax (ICC=0,87) и OBLA (ICC=0,74), однако применение этих методов возможно лишь по результатам уже завершённого теста, а не в реальном времени. Здесь mDmax и OBLA выступают не онлайн-алгоритмами, а традиционными постфактум-критериями разметки порога по полной лактатной кривой; поэтому сопоставимость с ними не решает задачу детекции по ходу теста.</w:t>
      </w:r>
    </w:p>
    <w:p w14:paraId="0D0B930F" w14:textId="77777777" w:rsidR="00300F39" w:rsidRDefault="00300F39" w:rsidP="00300F39">
      <w:pPr>
        <w:ind w:firstLine="708"/>
      </w:pPr>
      <w:r>
        <w:t>Алгоритмы автоматической детекции точки перегиба (</w:t>
      </w:r>
      <w:r>
        <w:rPr>
          <w:i/>
        </w:rPr>
        <w:t>changepoint detection</w:t>
      </w:r>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w:t>
      </w:r>
      <w:r>
        <w:lastRenderedPageBreak/>
        <w:t xml:space="preserve">степени, применённая Lin и Huang [2020] к NIRS-сигналам, позволяет автоматически определять VT1 (пик O₂Hb) и VT2 (пик HHb) без ручной разметки. V-slope метод двойной кусочно-линейной регрессии с минимизацией суммы квадратов остатков, применённый Поповым и соавторами [Popov, Vinogradova, 2019] к совместному сигналу nHHb–nEMG, успешно детектирует единственную точку перегиба. Для выявления двух порогов и детекции в скользящем окне требуются более гибкие подходы, например CUSUM (cumulative sum control chart), BOCPD (Bayesian online </w:t>
      </w:r>
      <w:r>
        <w:rPr>
          <w:i/>
        </w:rPr>
        <w:t>changepoint detection</w:t>
      </w:r>
      <w:r>
        <w:t xml:space="preserve">) или алгоритм </w:t>
      </w:r>
      <w:r>
        <w:rPr>
          <w:i/>
        </w:rPr>
        <w:t>ruptures</w:t>
      </w:r>
      <w:r>
        <w:t xml:space="preserve"> (Python), однако применительно к многоканальным физиологическим сигналам (ЭМГ + NIRS + HRV) подобных работ в доступной литературе не представлено.</w:t>
      </w:r>
    </w:p>
    <w:p w14:paraId="10156AA3" w14:textId="5902ACD8" w:rsidR="00300F39" w:rsidRDefault="00300F39" w:rsidP="00300F39">
      <w:pPr>
        <w:ind w:firstLine="708"/>
      </w:pPr>
      <w:r>
        <w:t>Работы с одиночными каналами демонстрируют ограниченную точность. Для NIRS: метод Dmax/mDmax по StO₂ показывает ICC&lt;0,40 при тест-ретесте [Cayot, Robinson, 2021], тогда как полиномиальный метод по O₂Hb/HHb воспроизводим и точен [Lin, Huang, 2020]. Для ЭМГ: V-slope по nHHb–nEMG достигает r=0,89 с LT4 [Popov, Vinogradova, 2019], но не предназначен для онлайн-применения. Для HRV: DFA-α1=0,75 детектирует VT1 с ICC=0,77–0,87 [Schaffarczyk, Gronwald, 2022], однако для LT2 надёжного порогового значения не предложено. Существующие мультимодальные работы, как правило, объединяют два канала: NIRS + ЭМГ (метод ATHHb-ЭМГ Попова), NIRS + вентиляция (Coquart, Mucci, 2017) или HRV + нагрузка (Rogers, Gronwald,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20A8ADEF" w14:textId="4E424D62" w:rsidR="00300F39" w:rsidRDefault="00300F39" w:rsidP="00300F39">
      <w:pPr>
        <w:ind w:firstLine="708"/>
      </w:pPr>
      <w:r>
        <w:t xml:space="preserve">Критический анализ применения ML в спортивной науке, проведённый Rodu и соавторами [Rodu и др., 2024], подчёркивает, что supervised ML должен дополнять, а не заменять гипотетико-дедуктивный подход: алгоритмы хорошо предсказывают численный результат, но сами по себе не объясняют, какие </w:t>
      </w:r>
      <w:r>
        <w:lastRenderedPageBreak/>
        <w:t>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кейс-стади и обосновывают необходимость explainable ML – SHAP-анализа, интерпретируемых деревьев, локальных surrogate-моделей – как средства снижения риска артефактных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02255E94" w14:textId="780CF2D2" w:rsidR="00300F39" w:rsidRDefault="00E62A0E" w:rsidP="00E56E6F">
      <w:pPr>
        <w:pStyle w:val="31"/>
      </w:pPr>
      <w:bookmarkStart w:id="12" w:name="_Toc228326038"/>
      <w:r>
        <w:t>1.6.2 ML для временных рядов: LSTM, TCN и вейвлетные сети</w:t>
      </w:r>
      <w:bookmarkEnd w:id="12"/>
    </w:p>
    <w:p w14:paraId="6EAA0272" w14:textId="3D510DCE"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Random Forest, XGBoost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темпоральную динамику (например, скользящие производные, лаговые признаки, оценки наклона). Альтернативный класс моделей – нейронные сети для временных рядов (LSTM, GRU,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онлайн-детекции аэробно-анаэробного перехода это архитектурное преимущество принципиально: переход – событие, определяемое не моментальным </w:t>
      </w:r>
      <w:r>
        <w:lastRenderedPageBreak/>
        <w:t>значением сигнала, а характером его эволюции на временном горизонте порядка десятков секунд.</w:t>
      </w:r>
    </w:p>
    <w:p w14:paraId="0B2CAF7A" w14:textId="23DFF65A" w:rsidR="00300F39" w:rsidRDefault="00300F39" w:rsidP="00300F39">
      <w:pPr>
        <w:ind w:firstLine="708"/>
      </w:pPr>
      <w:r>
        <w:t>Применимость рекуррентных архитектур к физиологическим временным рядам убедительно продемонстрирована Zeng и соавторами [Zeng и др., 2022] на крупномасштабном медицинском датасете: на выборке из 8599 пациентов на ИВЛ с 89 признаками LSTM достиг AUROC=0,828, GRU – 0,829 (статистически неотличимо), при этом обе RNN-модели превзошли Random Forest (0,820) и XGBoost.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онлайн-детекции порога в скользящем окне ступенчатого теста: с каждой новой секундой модель уточняет вероятности P(LT1) и P(LT2)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отбора признаков (feature selection) совместно с RNN-архитектурами, что особенно актуально при ограниченных размерах датасета. – показывает перспективность совместного применения feature selection и RNN-архитектур, что особенно актуально при ограниченных размерах датасета.</w:t>
      </w:r>
    </w:p>
    <w:p w14:paraId="4C54A0A1" w14:textId="2EA04082"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Miura и соавторы [Miura и др., 2020]. На выборке из 260 пациентов с сердечно-сосудистыми заболеваниями, проходивших CPET-тестирование, авторы обучили CNN на одноканальном ЭКГ (1000 Гц) и получили r=0,875 (p&lt;0,001) между предсказанным и измеренным VT в тестовой когорте; смещение по Bland–Altman составило −0,05 мл·кг⁻¹·мин⁻¹ (незначимо). Корреляция выше 0,7 сохранялась во всех субгруппах по полу, возрасту и </w:t>
      </w:r>
      <w:r>
        <w:lastRenderedPageBreak/>
        <w:t>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мультимодальному стеку по информативности.</w:t>
      </w:r>
    </w:p>
    <w:p w14:paraId="65A31B00" w14:textId="16B2BDF8" w:rsidR="00300F39" w:rsidRDefault="00300F39" w:rsidP="00300F39">
      <w:pPr>
        <w:ind w:firstLine="708"/>
      </w:pPr>
      <w:r>
        <w:t xml:space="preserve">Альтернативой LSTM/GRU при предсказании метаболических переменных в реальном времени служат темпоральные свёрточные сети (TCN),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Amelard и соавторы [Amelard и др., 2021]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(vigorous/moderate/light) на основе предсказанного VO₂ – 94,1%. Прямое сравнение показало превосходство TCN над LSTM и Random Forest. Для задачи онлайн-детекции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инференс без проблем затухающих градиентов. Классификация интенсивности по предсказанному VO₂ непосредственно параллельна задаче </w:t>
      </w:r>
      <w:r>
        <w:lastRenderedPageBreak/>
        <w:t>настоящей работы, в которой выходом модели является вероятность нахождения в зоне ниже LT1, между LT1 и LT2 либо выше LT2.</w:t>
      </w:r>
    </w:p>
    <w:p w14:paraId="3D4FB906" w14:textId="778D6317" w:rsidR="00300F39" w:rsidRDefault="00300F39" w:rsidP="00300F39">
      <w:pPr>
        <w:ind w:firstLine="708"/>
      </w:pPr>
      <w:r>
        <w:rPr>
          <w:i/>
        </w:rPr>
        <w:t>Концептуальный мост между сигнальной обработкой и глубоким обучением представляют вейвлетные нейронные сети (wavelet CNN). В этих архитектурах первый слой реализует обучаемое вейвлет-преобразование: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Tsinganos и соавторы [Tsinganos и др., 2020] хотя и не применяли wavelet CNN в чистом виде, использовали wavelet decomposition как технику аугментации при обучении CNN на ЭМГ и получили прирост точности до +16% – что косвенно подтверждает эффективность вейвлетных представлений в архитектурах глубокого обучения. При многоканальной записи (например, четыре канала ЭМГ Delsys Trigno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w:t>
      </w:r>
    </w:p>
    <w:p w14:paraId="3679F5D8"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наручных признаках; Amelard и соавторы [Amelard и др., 2021]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датасета, доступностью входных каналов и интерпретационными требованиями: для основного результата диссертации представляется обоснованным использование baseline-моделей RF/XGBoost </w:t>
      </w:r>
      <w:r>
        <w:lastRenderedPageBreak/>
        <w:t>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7FD93110" w14:textId="73B5C6D7" w:rsidR="00300F39" w:rsidRDefault="00E62A0E" w:rsidP="00E56E6F">
      <w:pPr>
        <w:pStyle w:val="31"/>
      </w:pPr>
      <w:bookmarkStart w:id="13" w:name="_Toc228326039"/>
      <w:r>
        <w:t>1.6.3 Обучение при малых датасетах и стратегии валидации</w:t>
      </w:r>
      <w:bookmarkEnd w:id="13"/>
    </w:p>
    <w:p w14:paraId="4A3C2B99" w14:textId="77777777" w:rsidR="00300F39" w:rsidRDefault="00300F39" w:rsidP="00300F39">
      <w:pPr>
        <w:ind w:firstLine="708"/>
      </w:pPr>
      <w:r>
        <w:t>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лактатного анализа и стоимости специализированного оборудования (метаболические анализаторы, многоканальные ЭМГ-системы, NIRS). Настоящее исследование включает n=19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валидации и допустимые способы расширения обучающего набора.</w:t>
      </w:r>
    </w:p>
    <w:p w14:paraId="01615EEF" w14:textId="7C751809" w:rsidR="00300F39" w:rsidRDefault="00300F39" w:rsidP="00300F39">
      <w:pPr>
        <w:ind w:firstLine="708"/>
      </w:pPr>
      <w:r>
        <w:t xml:space="preserve">При оценке обобщающей способности модели при малых n обычная k-fold кросс-валидация приводит к утечке данных: временные сегменты одного субъекта могут одновременно оказаться в обучающей и тестовой подвыборках, что искусственно завышает оцениваемое качество. В этом случае тестовая подвыборка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обобщаемости на новых субъектах в данном контексте – Leave-One-Subject-Out (LOSO): на каждой итерации модель обучается на n−1 субъектах и тестируется на одном оставленном. Rodu и соавторы [Rodu и др., 2024] прямо подчёркивают, что невалидированные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n=19 LOSO обеспечивает 19 независимых тестовых оценок, что достаточно для статистически интерпретируемой агрегированной </w:t>
      </w:r>
      <w:r>
        <w:lastRenderedPageBreak/>
        <w:t>метрики и для построения доверительных интервалов с использованием bootstrap или непараметрических методов.</w:t>
      </w:r>
    </w:p>
    <w:p w14:paraId="0F839BD8" w14:textId="7273410F" w:rsidR="00300F39" w:rsidRDefault="00300F39" w:rsidP="00300F39">
      <w:pPr>
        <w:ind w:firstLine="708"/>
      </w:pPr>
      <w:r>
        <w:t>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Tsinganos и соавторы [Tsinganos и др., 2020] систематически оценили техники аугментации ЭМГ и установили, что методы структурной модификации сигнала – плавная деформация амплитуды во времени (magnitude warping) и вейвлетное разложение (wavelet decomposition) – обеспечивают прирост точности классификации до +16% на двух эталонных датасетах,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сэмплы наследуют индивидуальные паттерны и не вносят новой межсубъектной вариабельности. Из этого следует, что аугментация не отменяет необходимости LOSO-валидации – напротив, она применима только к тренировочному фолду, тогда как тестовый фолд (оставляемый субъект) во избежание утечки сигнала всегда остаётся нетронутым.</w:t>
      </w:r>
    </w:p>
    <w:p w14:paraId="46FE569B"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(Random Forest, XGBoost, LightGBM)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инференса, что существенно для онлайн-применения. Tomaszewski и Majorczyk [2024] достигли R²=0,803 для предсказания AnT с помощью LightGBM на 183 субъектах, и аналогичные результаты с RF/XGBoost на </w:t>
      </w:r>
      <w:r>
        <w:lastRenderedPageBreak/>
        <w:t>меньших выборках задокументированы в смежных работах [Tomaszewski, Majorczyk, 2024]. Параллельно Zeng и соавторы [Zeng и др., 2022]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Rodu и соавторы [Rodu и др., 2024]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baseline.</w:t>
      </w:r>
    </w:p>
    <w:p w14:paraId="264D52F0" w14:textId="77777777" w:rsidR="00300F39" w:rsidRDefault="00300F39" w:rsidP="00300F39">
      <w:pPr>
        <w:ind w:firstLine="708"/>
      </w:pPr>
      <w:r>
        <w:rPr>
          <w:i/>
          <w:iCs/>
        </w:rPr>
        <w:t>Специфических рекомендаций по комбинированным стратегиям аугментации (в том числе вейвлетной) и валидации (LOSO) для задачи детекции лактатного порога по мультимодальным сигналам ЭМГ + NIRS + HRV при ограниченном объёме выборки в литературе не представлено. Настоящая работа является одной из первых, системно применяющих LOSO-валидацию совместно с вейвлетной аугментацией ЭМГ в физиологическом контексте предсказания обоих порогов аэробно-анаэробного перехода у тренированных триатлонистов.</w:t>
      </w:r>
    </w:p>
    <w:p w14:paraId="7F737C14" w14:textId="5B3F25BD" w:rsidR="00300F39" w:rsidRDefault="00E62A0E" w:rsidP="00E56E6F">
      <w:pPr>
        <w:pStyle w:val="31"/>
      </w:pPr>
      <w:bookmarkStart w:id="14" w:name="_Toc228326040"/>
      <w:r>
        <w:t>1.6.4 Gap: мультимодальные онлайн-системы</w:t>
      </w:r>
      <w:bookmarkEnd w:id="14"/>
    </w:p>
    <w:p w14:paraId="0C6C02A1" w14:textId="6B996E15"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 Прямым подтверждением этого разрыва служит работа Kimoto и соавторов [Kimoto и др., 2023], в которой описан беспроводной многослойный датчик, объединяющий ЭМГ, механомиограмму (MMG) и NIRS на одной точке </w:t>
      </w:r>
      <w:r>
        <w:rPr>
          <w:b/>
          <w:i/>
        </w:rPr>
        <w:t>m. vastus lateralis</w:t>
      </w:r>
      <w:r>
        <w:rPr>
          <w:b/>
        </w:rPr>
        <w:t xml:space="preserve"> при велоэргометрии: авторы прямо констатируют в абстракте, что детекция анаэробного порога по комбинированным </w:t>
      </w:r>
      <w:r>
        <w:rPr>
          <w:b/>
        </w:rPr>
        <w:lastRenderedPageBreak/>
        <w:t>мультисенсорным данным «явно не решена» – техническая платформа существует, тогда как алгоритм онлайн-детекции порога по такого рода мультимодальным сигналам остаётся открытой задачей. Именно это отсутствие определяет актуальность и новизну настоящей диссертационной работы.</w:t>
      </w:r>
    </w:p>
    <w:p w14:paraId="26AD9B9A" w14:textId="08A307E6" w:rsidR="00300F39" w:rsidRDefault="00E62A0E" w:rsidP="00E56E6F">
      <w:pPr>
        <w:pStyle w:val="21"/>
      </w:pPr>
      <w:bookmarkStart w:id="15" w:name="_Toc228326041"/>
      <w:r>
        <w:t>1.7 Физиологические особенности триатлонистов при велоэргометрическом тестировании</w:t>
      </w:r>
      <w:bookmarkEnd w:id="15"/>
    </w:p>
    <w:p w14:paraId="6D3736DD" w14:textId="77777777" w:rsidR="00300F39" w:rsidRDefault="00300F39" w:rsidP="00300F39">
      <w:pPr>
        <w:ind w:firstLine="708"/>
      </w:pPr>
      <w:r>
        <w:t>Триатлонисты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7A40A6E8" w14:textId="28E22FF4" w:rsidR="00300F39" w:rsidRDefault="00300F39" w:rsidP="00300F39">
      <w:pPr>
        <w:ind w:firstLine="708"/>
      </w:pPr>
      <w:r>
        <w:t>Согласно доменным характеристикам популяции данного исследования, для любителей-триатлонистов типичны значения VT1 в диапазоне 150–220 Вт и VT2 – 200–280 Вт при велоэргометрии, тогда как профессионалы демонстрируют VT1 220–300 Вт и VT2 290–380 Вт. Референсные нормы мощности на LT2 для популяции, разработанные Fiedler и Woll [2025]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Fischer и Hävecker [2025] показывает, что VO₂peak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1D4FFE68" w14:textId="77777777" w:rsidR="00300F39" w:rsidRDefault="00300F39" w:rsidP="00300F39">
      <w:pPr>
        <w:ind w:firstLine="708"/>
      </w:pPr>
      <w:r>
        <w:t xml:space="preserve">Стандартизация ступенчатых протоколов критична для воспроизводимости лактатного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w:t>
      </w:r>
      <w:r>
        <w:lastRenderedPageBreak/>
        <w:t>метаболизма, что смещает лактатный порог в сторону завышения [Kominami, Nishijima, 2015]. В протоколе данной диссертации используются ступени +30 Вт / 3 мин, начиная с 60 Вт, с забором лактата за 15 секунд до начала каждой новой ступени. Schaffarczyk и Rogers [2022] применяли эквивалентный протокол для DFA-α1 в популяции триатлонистов, что делает данные работы непосредственно применимыми к нашей выборке.</w:t>
      </w:r>
    </w:p>
    <w:p w14:paraId="20DF9375" w14:textId="77777777" w:rsidR="00300F39" w:rsidRDefault="00300F39" w:rsidP="00300F39">
      <w:pPr>
        <w:ind w:firstLine="708"/>
      </w:pPr>
      <w:r>
        <w:t>Выбор триатлонистов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лактатных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лактатный шаттлинг, что повышает точность и согласованность системного лактата как метки порога.</w:t>
      </w:r>
    </w:p>
    <w:p w14:paraId="3C28A168" w14:textId="77777777" w:rsidR="00300F39" w:rsidRDefault="00300F39" w:rsidP="00300F39">
      <w:pPr>
        <w:ind w:firstLine="708"/>
      </w:pPr>
      <w:r>
        <w:rPr>
          <w:i/>
          <w:iCs/>
        </w:rPr>
        <w:t>Несмотря на физиологическую обоснованность выбора популяции, в литературе отсутствуют работы, в которых одновременная регистрация ЭМГ, NIRS и RR применялась бы для изучения неинвазивных маркеров порога именно у триатлонистов в условиях стандартного ступенчатого теста.</w:t>
      </w:r>
    </w:p>
    <w:p w14:paraId="7DC4EB91" w14:textId="4181A1F2" w:rsidR="00300F39" w:rsidRDefault="00E62A0E" w:rsidP="00E56E6F">
      <w:pPr>
        <w:pStyle w:val="31"/>
      </w:pPr>
      <w:bookmarkStart w:id="16" w:name="_Toc228326042"/>
      <w:r>
        <w:t>1.8 Заключение по обзору литературы</w:t>
      </w:r>
      <w:bookmarkEnd w:id="16"/>
    </w:p>
    <w:p w14:paraId="068E233F" w14:textId="703A89C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неинвазивного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лактата, рекрутированием двигательных единиц, кислородным балансом в </w:t>
      </w:r>
      <w:r>
        <w:lastRenderedPageBreak/>
        <w:t>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рекрутирование быстрых ДЕ, NIRS – локальный кислородный дефицит, DFA-α1 – вегетативные сдвиги, ассоциированные с VT1; при этом HRV-пороги дополнительно валидированы крупномасштабным мета-анализом [Tanner и др., 2024], что делает их одним из наиболее обоснованных неинвазивных суррогатов лактатных и вентиляционных порогов.</w:t>
      </w:r>
    </w:p>
    <w:p w14:paraId="15EAEE3F" w14:textId="65EBE6A0" w:rsidR="00300F39" w:rsidRDefault="00300F39" w:rsidP="00300F39">
      <w:pPr>
        <w:ind w:firstLine="708"/>
      </w:pPr>
      <w:r>
        <w:t>Вместе с тем анализ литературы выявил несколько принципиальных ограничений существующих подходов. Первое: существующие алгоритмы детекции порога по отдельным каналам (Dmax/mDmax по StO₂, V-slope по nHHb–nEMG,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мультимодальной онлайн-детекции порога остаётся, по прямому признанию авторов, нерешённой задачей [Kimoto и др., 2023]. Третье: детекция второго порога (LT2) по неинвазивным сигналам – принципиально более сложная задача, почти не решавшаяся методами ML. Четвёртое: фазовая структура педального цикла (push/pull), доступная через гироскоп датчика Delsys Trigno,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вейвлетной аугментации ЭМГ-сигнала [Tsinganos и др., 2020] и LOSO-валидации систематически не применялись в задаче детекции порогов.</w:t>
      </w:r>
    </w:p>
    <w:p w14:paraId="70C2AFDD" w14:textId="500AA406" w:rsidR="00300F39" w:rsidRDefault="00300F39" w:rsidP="00300F39">
      <w:pPr>
        <w:ind w:firstLine="708"/>
      </w:pPr>
      <w:r>
        <w:t xml:space="preserve">Центральный </w:t>
      </w:r>
      <w:r>
        <w:rPr>
          <w:i/>
          <w:iCs/>
        </w:rPr>
        <w:t>gap</w:t>
      </w:r>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r>
        <w:lastRenderedPageBreak/>
        <w:t>мультимодальным неинвазивным сигналам работающей мышцы – электромиографии (включая её вейвлетные представления), ближней инфракрасной спектроскопии и кардиальной вариабельности – в скользящем окне в ходе стандартного ступенчатого велоэргометрического теста у тренированных спортсменов на выносливость.</w:t>
      </w:r>
    </w:p>
    <w:p w14:paraId="77E1AE56"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пайплайн, объединяющий признаки ЭМГ </w:t>
      </w:r>
      <w:r>
        <w:rPr>
          <w:i/>
          <w:iCs/>
        </w:rPr>
        <w:t>m. vastus lateralis</w:t>
      </w:r>
      <w:r>
        <w:t xml:space="preserve"> (дистальная и проксимальная зоны; классические амплитудно-частотные индексы, вейвлетные признаки и разбивка на load- и rest-фазы по гироскопу), SmO₂ и ΔHHb по NIRS на VL, а также DFA-α1 по RR-интервалам в единую ML-модель для оценки вероятностей P(LT1) и P(LT2) в режиме реального времени. Верификация проводится на выборке из 19 испытуемых с лактатным анализом как gold standard и breakpoint SmO₂ как вспомогательным маркером, с использованием LOSO-валидации и вейвлетной аугментации обучающего фолда. В следующем разделе подробно описываются материалы, методы сбора данных, алгоритмы предобработки и архитектура модели.</w:t>
      </w:r>
    </w:p>
    <w:p w14:paraId="759BCBA1" w14:textId="31D3D30C" w:rsidR="00300F39" w:rsidRDefault="00D13FED" w:rsidP="00D13FED">
      <w:pPr>
        <w:spacing w:line="259" w:lineRule="auto"/>
        <w:jc w:val="left"/>
      </w:pPr>
      <w:r>
        <w:br w:type="page"/>
      </w:r>
    </w:p>
    <w:p w14:paraId="545CC69E" w14:textId="7A51FAB5" w:rsidR="00DF758A" w:rsidRDefault="002246F6" w:rsidP="007A32C5">
      <w:pPr>
        <w:pStyle w:val="1"/>
        <w:keepNext w:val="0"/>
        <w:keepLines w:val="0"/>
        <w:widowControl w:val="0"/>
        <w:spacing w:before="0"/>
      </w:pPr>
      <w:bookmarkStart w:id="17" w:name="_Toc228326043"/>
      <w:bookmarkEnd w:id="2"/>
      <w:r>
        <w:lastRenderedPageBreak/>
        <w:t>2 Материалы и методы</w:t>
      </w:r>
      <w:bookmarkEnd w:id="17"/>
    </w:p>
    <w:p w14:paraId="437D3524" w14:textId="14B28012" w:rsidR="008B1850" w:rsidRDefault="008B1850" w:rsidP="00887DF9">
      <w:pPr>
        <w:pStyle w:val="21"/>
      </w:pPr>
      <w:bookmarkStart w:id="18" w:name="_Toc228326044"/>
      <w:r>
        <w:t>2.1 Участники исследования</w:t>
      </w:r>
      <w:bookmarkEnd w:id="18"/>
    </w:p>
    <w:p w14:paraId="3FEFD4B9" w14:textId="61CBF27F" w:rsidR="003876A0" w:rsidRDefault="003876A0" w:rsidP="003876A0">
      <w:pPr>
        <w:widowControl w:val="0"/>
        <w:spacing w:after="0"/>
        <w:ind w:firstLine="709"/>
      </w:pPr>
      <w:r>
        <w:t xml:space="preserve">В исследование включены 18 испытуемых (11 мужчин, 7 женщин) с различным уровнем физической подготовки </w:t>
      </w:r>
      <w:r w:rsidR="00FA6B7A">
        <w:t>–</w:t>
      </w:r>
      <w:r>
        <w:t xml:space="preserve">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4ED3A15F" w14:textId="6EC0953F" w:rsidR="003876A0" w:rsidRDefault="003876A0" w:rsidP="003876A0">
      <w:pPr>
        <w:widowControl w:val="0"/>
        <w:spacing w:after="0"/>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23EFC49E" w14:textId="32F887AD" w:rsidR="003876A0" w:rsidRPr="003876A0" w:rsidRDefault="003876A0" w:rsidP="003876A0">
      <w:pPr>
        <w:pStyle w:val="ad"/>
        <w:rPr>
          <w:lang w:val="en-US"/>
        </w:rPr>
      </w:pPr>
      <w:r>
        <w:t>Таблица 2.</w:t>
      </w:r>
      <w:r>
        <w:rPr>
          <w:lang w:val="en-US"/>
        </w:rPr>
        <w:t>1</w:t>
      </w:r>
      <w:r>
        <w:t>.</w:t>
      </w:r>
      <w:r>
        <w:t xml:space="preserve"> Характеристики участников исследования</w:t>
      </w:r>
      <w:r>
        <w:rPr>
          <w:lang w:val="en-US"/>
        </w:rPr>
        <w:t>.</w:t>
      </w:r>
    </w:p>
    <w:tbl>
      <w:tblPr>
        <w:tblStyle w:val="a9"/>
        <w:tblW w:w="0" w:type="auto"/>
        <w:tblLook w:val="04A0" w:firstRow="1" w:lastRow="0" w:firstColumn="1" w:lastColumn="0" w:noHBand="0" w:noVBand="1"/>
      </w:tblPr>
      <w:tblGrid>
        <w:gridCol w:w="3466"/>
        <w:gridCol w:w="3287"/>
        <w:gridCol w:w="2592"/>
      </w:tblGrid>
      <w:tr w:rsidR="003876A0" w14:paraId="0F53A105" w14:textId="073383A8" w:rsidTr="003876A0">
        <w:tc>
          <w:tcPr>
            <w:tcW w:w="3466" w:type="dxa"/>
          </w:tcPr>
          <w:p w14:paraId="40569B8B" w14:textId="0EBE8902" w:rsidR="003876A0" w:rsidRPr="003876A0" w:rsidRDefault="003876A0" w:rsidP="003876A0">
            <w:pPr>
              <w:pStyle w:val="aa"/>
              <w:jc w:val="center"/>
              <w:rPr>
                <w:b/>
                <w:bCs/>
              </w:rPr>
            </w:pPr>
            <w:proofErr w:type="spellStart"/>
            <w:r w:rsidRPr="003876A0">
              <w:rPr>
                <w:b/>
                <w:bCs/>
              </w:rPr>
              <w:t>Параметр</w:t>
            </w:r>
            <w:proofErr w:type="spellEnd"/>
          </w:p>
        </w:tc>
        <w:tc>
          <w:tcPr>
            <w:tcW w:w="3287" w:type="dxa"/>
          </w:tcPr>
          <w:p w14:paraId="5599FB89" w14:textId="53DF5E4D" w:rsidR="003876A0" w:rsidRPr="003876A0" w:rsidRDefault="003876A0" w:rsidP="003876A0">
            <w:pPr>
              <w:pStyle w:val="aa"/>
              <w:jc w:val="center"/>
              <w:rPr>
                <w:b/>
                <w:bCs/>
                <w:lang w:val="ru-RU"/>
              </w:rPr>
            </w:pPr>
            <w:r w:rsidRPr="003876A0">
              <w:rPr>
                <w:b/>
                <w:bCs/>
              </w:rPr>
              <w:t>M ± SD</w:t>
            </w:r>
          </w:p>
        </w:tc>
        <w:tc>
          <w:tcPr>
            <w:tcW w:w="2592" w:type="dxa"/>
          </w:tcPr>
          <w:p w14:paraId="5E4E6C6B" w14:textId="3B3195CD" w:rsidR="003876A0" w:rsidRPr="003876A0" w:rsidRDefault="003876A0" w:rsidP="003876A0">
            <w:pPr>
              <w:pStyle w:val="aa"/>
              <w:jc w:val="center"/>
              <w:rPr>
                <w:b/>
                <w:bCs/>
                <w:lang w:val="ru-RU"/>
              </w:rPr>
            </w:pPr>
            <w:r w:rsidRPr="003876A0">
              <w:rPr>
                <w:b/>
                <w:bCs/>
              </w:rPr>
              <w:t>Min–Max</w:t>
            </w:r>
          </w:p>
        </w:tc>
      </w:tr>
      <w:tr w:rsidR="003876A0" w14:paraId="3EA58B0E" w14:textId="01A21B0B" w:rsidTr="003876A0">
        <w:tc>
          <w:tcPr>
            <w:tcW w:w="3466" w:type="dxa"/>
          </w:tcPr>
          <w:p w14:paraId="16550606" w14:textId="30AA7FB2" w:rsidR="003876A0" w:rsidRDefault="003876A0" w:rsidP="003876A0">
            <w:pPr>
              <w:pStyle w:val="aa"/>
            </w:pPr>
            <w:proofErr w:type="spellStart"/>
            <w:r w:rsidRPr="0013239F">
              <w:t>Возраст</w:t>
            </w:r>
            <w:proofErr w:type="spellEnd"/>
            <w:r w:rsidRPr="0013239F">
              <w:t xml:space="preserve">, </w:t>
            </w:r>
            <w:proofErr w:type="spellStart"/>
            <w:r w:rsidRPr="0013239F">
              <w:t>лет</w:t>
            </w:r>
            <w:proofErr w:type="spellEnd"/>
          </w:p>
        </w:tc>
        <w:tc>
          <w:tcPr>
            <w:tcW w:w="3287" w:type="dxa"/>
          </w:tcPr>
          <w:p w14:paraId="56D4D96A" w14:textId="28C1FC6C" w:rsidR="003876A0" w:rsidRDefault="003876A0" w:rsidP="003876A0">
            <w:pPr>
              <w:pStyle w:val="aa"/>
            </w:pPr>
            <w:r w:rsidRPr="0013239F">
              <w:t>33,1 ± 7,5</w:t>
            </w:r>
          </w:p>
        </w:tc>
        <w:tc>
          <w:tcPr>
            <w:tcW w:w="2592" w:type="dxa"/>
          </w:tcPr>
          <w:p w14:paraId="42F42420" w14:textId="34FD857D" w:rsidR="003876A0" w:rsidRPr="00EA4234" w:rsidRDefault="003876A0" w:rsidP="003876A0">
            <w:pPr>
              <w:pStyle w:val="aa"/>
            </w:pPr>
            <w:r w:rsidRPr="0013239F">
              <w:t>22–43</w:t>
            </w:r>
          </w:p>
        </w:tc>
      </w:tr>
      <w:tr w:rsidR="003876A0" w14:paraId="4C474961" w14:textId="2B1AC322" w:rsidTr="003876A0">
        <w:tc>
          <w:tcPr>
            <w:tcW w:w="3466" w:type="dxa"/>
          </w:tcPr>
          <w:p w14:paraId="6FD45FDD" w14:textId="26F49689" w:rsidR="003876A0" w:rsidRDefault="003876A0" w:rsidP="003876A0">
            <w:pPr>
              <w:pStyle w:val="aa"/>
            </w:pPr>
            <w:proofErr w:type="spellStart"/>
            <w:r w:rsidRPr="0013239F">
              <w:t>Рост</w:t>
            </w:r>
            <w:proofErr w:type="spellEnd"/>
            <w:r w:rsidRPr="0013239F">
              <w:t xml:space="preserve">, </w:t>
            </w:r>
            <w:proofErr w:type="spellStart"/>
            <w:r w:rsidRPr="0013239F">
              <w:t>см</w:t>
            </w:r>
            <w:proofErr w:type="spellEnd"/>
          </w:p>
        </w:tc>
        <w:tc>
          <w:tcPr>
            <w:tcW w:w="3287" w:type="dxa"/>
          </w:tcPr>
          <w:p w14:paraId="416EA1F0" w14:textId="7B898B53" w:rsidR="003876A0" w:rsidRDefault="003876A0" w:rsidP="003876A0">
            <w:pPr>
              <w:pStyle w:val="aa"/>
            </w:pPr>
            <w:r w:rsidRPr="0013239F">
              <w:t>171,5 ± 8,8</w:t>
            </w:r>
          </w:p>
        </w:tc>
        <w:tc>
          <w:tcPr>
            <w:tcW w:w="2592" w:type="dxa"/>
          </w:tcPr>
          <w:p w14:paraId="3CBCB6AF" w14:textId="66B2F8F2" w:rsidR="003876A0" w:rsidRPr="00EA4234" w:rsidRDefault="003876A0" w:rsidP="003876A0">
            <w:pPr>
              <w:pStyle w:val="aa"/>
            </w:pPr>
            <w:r w:rsidRPr="0013239F">
              <w:t>151–183</w:t>
            </w:r>
          </w:p>
        </w:tc>
      </w:tr>
      <w:tr w:rsidR="003876A0" w14:paraId="5FD0CD2A" w14:textId="2EB92E6B" w:rsidTr="003876A0">
        <w:tc>
          <w:tcPr>
            <w:tcW w:w="3466" w:type="dxa"/>
          </w:tcPr>
          <w:p w14:paraId="65D6FC3B" w14:textId="12257C34" w:rsidR="003876A0" w:rsidRDefault="003876A0" w:rsidP="003876A0">
            <w:pPr>
              <w:pStyle w:val="aa"/>
            </w:pPr>
            <w:proofErr w:type="spellStart"/>
            <w:r w:rsidRPr="0013239F">
              <w:t>Масса</w:t>
            </w:r>
            <w:proofErr w:type="spellEnd"/>
            <w:r w:rsidRPr="0013239F">
              <w:t xml:space="preserve"> </w:t>
            </w:r>
            <w:proofErr w:type="spellStart"/>
            <w:r w:rsidRPr="0013239F">
              <w:t>тела</w:t>
            </w:r>
            <w:proofErr w:type="spellEnd"/>
            <w:r w:rsidRPr="0013239F">
              <w:t xml:space="preserve">, </w:t>
            </w:r>
            <w:proofErr w:type="spellStart"/>
            <w:r w:rsidRPr="0013239F">
              <w:t>кг</w:t>
            </w:r>
            <w:proofErr w:type="spellEnd"/>
          </w:p>
        </w:tc>
        <w:tc>
          <w:tcPr>
            <w:tcW w:w="3287" w:type="dxa"/>
          </w:tcPr>
          <w:p w14:paraId="03975627" w14:textId="6B55142A" w:rsidR="003876A0" w:rsidRDefault="003876A0" w:rsidP="003876A0">
            <w:pPr>
              <w:pStyle w:val="aa"/>
            </w:pPr>
            <w:r w:rsidRPr="0013239F">
              <w:t>71,2 ± 14,8</w:t>
            </w:r>
          </w:p>
        </w:tc>
        <w:tc>
          <w:tcPr>
            <w:tcW w:w="2592" w:type="dxa"/>
          </w:tcPr>
          <w:p w14:paraId="1136865B" w14:textId="39F37F6D" w:rsidR="003876A0" w:rsidRPr="00EA4234" w:rsidRDefault="003876A0" w:rsidP="003876A0">
            <w:pPr>
              <w:pStyle w:val="aa"/>
            </w:pPr>
            <w:r w:rsidRPr="0013239F">
              <w:t>45–104</w:t>
            </w:r>
          </w:p>
        </w:tc>
      </w:tr>
      <w:tr w:rsidR="003876A0" w14:paraId="5CCBCD5A" w14:textId="73CD0F79" w:rsidTr="003876A0">
        <w:tc>
          <w:tcPr>
            <w:tcW w:w="3466" w:type="dxa"/>
          </w:tcPr>
          <w:p w14:paraId="685BAA88" w14:textId="4F2AA9CA" w:rsidR="003876A0" w:rsidRDefault="003876A0" w:rsidP="003876A0">
            <w:pPr>
              <w:pStyle w:val="aa"/>
            </w:pPr>
            <w:r w:rsidRPr="0013239F">
              <w:t xml:space="preserve">ИМТ, </w:t>
            </w:r>
            <w:proofErr w:type="spellStart"/>
            <w:r w:rsidRPr="0013239F">
              <w:t>кг</w:t>
            </w:r>
            <w:proofErr w:type="spellEnd"/>
            <w:r w:rsidRPr="0013239F">
              <w:t>/м²</w:t>
            </w:r>
          </w:p>
        </w:tc>
        <w:tc>
          <w:tcPr>
            <w:tcW w:w="3287" w:type="dxa"/>
          </w:tcPr>
          <w:p w14:paraId="1FAA214A" w14:textId="217D2F46" w:rsidR="003876A0" w:rsidRDefault="003876A0" w:rsidP="003876A0">
            <w:pPr>
              <w:pStyle w:val="aa"/>
            </w:pPr>
            <w:r w:rsidRPr="0013239F">
              <w:t>24,0 ± 3,2</w:t>
            </w:r>
          </w:p>
        </w:tc>
        <w:tc>
          <w:tcPr>
            <w:tcW w:w="2592" w:type="dxa"/>
          </w:tcPr>
          <w:p w14:paraId="1CD77A90" w14:textId="5A8B56A3" w:rsidR="003876A0" w:rsidRPr="00EA4234" w:rsidRDefault="003876A0" w:rsidP="003876A0">
            <w:pPr>
              <w:pStyle w:val="aa"/>
            </w:pPr>
            <w:r w:rsidRPr="0013239F">
              <w:t>19–32</w:t>
            </w:r>
          </w:p>
        </w:tc>
      </w:tr>
      <w:tr w:rsidR="003876A0" w14:paraId="0295109F" w14:textId="1185A57B" w:rsidTr="003876A0">
        <w:tc>
          <w:tcPr>
            <w:tcW w:w="3466" w:type="dxa"/>
          </w:tcPr>
          <w:p w14:paraId="1191DBC0" w14:textId="212A8EB3"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LT2, </w:t>
            </w:r>
            <w:proofErr w:type="spellStart"/>
            <w:r w:rsidRPr="0013239F">
              <w:t>мин</w:t>
            </w:r>
            <w:proofErr w:type="spellEnd"/>
          </w:p>
        </w:tc>
        <w:tc>
          <w:tcPr>
            <w:tcW w:w="3287" w:type="dxa"/>
          </w:tcPr>
          <w:p w14:paraId="23A8175D" w14:textId="3E6B695A" w:rsidR="003876A0" w:rsidRDefault="003876A0" w:rsidP="003876A0">
            <w:pPr>
              <w:pStyle w:val="aa"/>
            </w:pPr>
            <w:r w:rsidRPr="0013239F">
              <w:t>14,8 ± 4,7</w:t>
            </w:r>
          </w:p>
        </w:tc>
        <w:tc>
          <w:tcPr>
            <w:tcW w:w="2592" w:type="dxa"/>
          </w:tcPr>
          <w:p w14:paraId="4F2A17E1" w14:textId="39B58979" w:rsidR="003876A0" w:rsidRPr="00EA4234" w:rsidRDefault="003876A0" w:rsidP="003876A0">
            <w:pPr>
              <w:pStyle w:val="aa"/>
            </w:pPr>
            <w:r w:rsidRPr="0013239F">
              <w:t>10,1–25,1</w:t>
            </w:r>
          </w:p>
        </w:tc>
      </w:tr>
      <w:tr w:rsidR="003876A0" w14:paraId="26FC6397" w14:textId="1CE2F56C" w:rsidTr="003876A0">
        <w:tc>
          <w:tcPr>
            <w:tcW w:w="3466" w:type="dxa"/>
          </w:tcPr>
          <w:p w14:paraId="2BAB6254" w14:textId="18E6A01B"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LT1, </w:t>
            </w:r>
            <w:proofErr w:type="spellStart"/>
            <w:r w:rsidRPr="0013239F">
              <w:t>мин</w:t>
            </w:r>
            <w:proofErr w:type="spellEnd"/>
          </w:p>
        </w:tc>
        <w:tc>
          <w:tcPr>
            <w:tcW w:w="3287" w:type="dxa"/>
          </w:tcPr>
          <w:p w14:paraId="68E7FDB1" w14:textId="20AEC32E" w:rsidR="003876A0" w:rsidRDefault="003876A0" w:rsidP="003876A0">
            <w:pPr>
              <w:pStyle w:val="aa"/>
            </w:pPr>
            <w:r w:rsidRPr="0013239F">
              <w:t>10,9 ± 2,7</w:t>
            </w:r>
          </w:p>
        </w:tc>
        <w:tc>
          <w:tcPr>
            <w:tcW w:w="2592" w:type="dxa"/>
          </w:tcPr>
          <w:p w14:paraId="49EDEC2D" w14:textId="6B828B6F" w:rsidR="003876A0" w:rsidRPr="00EA4234" w:rsidRDefault="003876A0" w:rsidP="003876A0">
            <w:pPr>
              <w:pStyle w:val="aa"/>
            </w:pPr>
            <w:r w:rsidRPr="0013239F">
              <w:t>9,7–18,8</w:t>
            </w:r>
          </w:p>
        </w:tc>
      </w:tr>
    </w:tbl>
    <w:p w14:paraId="224DF654" w14:textId="77777777" w:rsidR="003876A0" w:rsidRPr="003876A0" w:rsidRDefault="003876A0" w:rsidP="007A32C5">
      <w:pPr>
        <w:widowControl w:val="0"/>
        <w:spacing w:after="0"/>
        <w:ind w:firstLine="709"/>
      </w:pPr>
    </w:p>
    <w:p w14:paraId="211FFB25" w14:textId="236AF059" w:rsidR="00887DF9" w:rsidRDefault="00887DF9" w:rsidP="00887DF9">
      <w:pPr>
        <w:pStyle w:val="21"/>
      </w:pPr>
      <w:bookmarkStart w:id="19" w:name="_Toc228326045"/>
      <w:r>
        <w:t>2.2 Протокол нагрузочного тестирования</w:t>
      </w:r>
      <w:bookmarkEnd w:id="19"/>
    </w:p>
    <w:p w14:paraId="1FB11518" w14:textId="3C96F08D" w:rsidR="00887DF9" w:rsidRDefault="00887DF9" w:rsidP="00887DF9">
      <w:pPr>
        <w:widowControl w:val="0"/>
        <w:spacing w:after="0"/>
        <w:ind w:firstLine="709"/>
      </w:pPr>
      <w:r>
        <w:t xml:space="preserve">Тестирование проводилось на велоэргометре Lode Excalibur Sport с электромагнитным управлением нагрузкой, обеспечивающим воспроизводимость мощности независимо от каденса.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w:t>
      </w:r>
      <w:r w:rsidR="006F0EF7">
        <w:t xml:space="preserve">Испытуемым давалась установка </w:t>
      </w:r>
      <w:proofErr w:type="spellStart"/>
      <w:r w:rsidR="006F0EF7">
        <w:t>педалировать</w:t>
      </w:r>
      <w:proofErr w:type="spellEnd"/>
      <w:r w:rsidR="006F0EF7">
        <w:t xml:space="preserve"> с фиксированным </w:t>
      </w:r>
      <w:proofErr w:type="spellStart"/>
      <w:r w:rsidR="006F0EF7">
        <w:t>каденсом</w:t>
      </w:r>
      <w:proofErr w:type="spellEnd"/>
      <w:r w:rsidR="006F0EF7">
        <w:t xml:space="preserve"> в диапазоне 65-80 об/мин. </w:t>
      </w:r>
      <w:r>
        <w:t xml:space="preserve">Критерием остановки служила невозможность поддерживать </w:t>
      </w:r>
      <w:r w:rsidR="006F0EF7">
        <w:t xml:space="preserve">фиксированный </w:t>
      </w:r>
      <w:proofErr w:type="spellStart"/>
      <w:r w:rsidR="006F0EF7">
        <w:t>каденс</w:t>
      </w:r>
      <w:proofErr w:type="spellEnd"/>
      <w:r>
        <w:t xml:space="preserve">. После </w:t>
      </w:r>
      <w:r w:rsidR="006F0EF7">
        <w:t>остановки</w:t>
      </w:r>
      <w:r>
        <w:t xml:space="preserve"> следовал период восстановления 2–4 мин при </w:t>
      </w:r>
      <w:r w:rsidR="006F0EF7">
        <w:t>60-100</w:t>
      </w:r>
      <w:r w:rsidR="006F0EF7" w:rsidRPr="006F0EF7">
        <w:t xml:space="preserve"> </w:t>
      </w:r>
      <w:r w:rsidR="006F0EF7">
        <w:t>Вт</w:t>
      </w:r>
      <w:r>
        <w:t>,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29985BB6" w14:textId="3DEDE220" w:rsidR="007A32C5" w:rsidRDefault="00887DF9" w:rsidP="00887DF9">
      <w:pPr>
        <w:widowControl w:val="0"/>
        <w:spacing w:after="0"/>
        <w:ind w:firstLine="709"/>
      </w:pPr>
      <w:r>
        <w:t>За 15 сек до начала каждой новой ступени выполнялся забор капиллярной крови из пальца для определения концентрации лактата. Анализ проводился на портативном биохимическом анализаторе Biosen C-line с диапазоном измерения 0,5–40,0 ммоль/л и погрешностью измерения менее 2%. Результаты лактатного анализа вносились в файл HDF5 отдельным каналом по завершении теста.</w:t>
      </w:r>
    </w:p>
    <w:p w14:paraId="4B3355FF" w14:textId="4151B5FB" w:rsidR="00887DF9" w:rsidRDefault="00887DF9" w:rsidP="00887DF9">
      <w:pPr>
        <w:pStyle w:val="21"/>
      </w:pPr>
      <w:bookmarkStart w:id="20" w:name="_Toc228326046"/>
      <w:r>
        <w:t>2.3 Аппаратный комплекс регистрации</w:t>
      </w:r>
      <w:bookmarkEnd w:id="20"/>
    </w:p>
    <w:p w14:paraId="46AF6ABE" w14:textId="19C47132" w:rsidR="00887DF9" w:rsidRDefault="00887DF9" w:rsidP="00887DF9">
      <w:pPr>
        <w:pStyle w:val="31"/>
      </w:pPr>
      <w:bookmarkStart w:id="21" w:name="_Toc228326047"/>
      <w:r>
        <w:t>2.3.1 Электромиография и инерционные измерения</w:t>
      </w:r>
      <w:bookmarkEnd w:id="21"/>
    </w:p>
    <w:p w14:paraId="2828F799" w14:textId="5CB1112A" w:rsidR="00887DF9" w:rsidRDefault="00BD5D7E" w:rsidP="007A32C5">
      <w:pPr>
        <w:widowControl w:val="0"/>
        <w:spacing w:after="0"/>
        <w:ind w:firstLine="709"/>
      </w:pPr>
      <w:r>
        <w:t>Поверхностная ЭМГ регистрировалась с m. vastus lateralis (VL) доминантной ноги двумя датчиками (в дистальной и проксимальной зонах мышцы) при помощи беспроводных датчиков Delsys Trigno Avant</w:t>
      </w:r>
      <w:r>
        <w:rPr>
          <w:lang w:val="en-US"/>
        </w:rPr>
        <w:t>i</w:t>
      </w:r>
      <w:r>
        <w:t xml:space="preserve">. Каждый датчик представляет собой сдвоенный биполярный электрод с межэлектродным расстоянием 10 мм и встроенным трёхосевым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w:t>
      </w:r>
      <w:r w:rsidR="00EF54FA">
        <w:t>–</w:t>
      </w:r>
      <w:r>
        <w:t xml:space="preserve"> на 2/3 расстояния от передней верхней ости подвздошной кости до верхнего края надколенника, проксимальный </w:t>
      </w:r>
      <w:r w:rsidR="00EF54FA">
        <w:t>–</w:t>
      </w:r>
      <w:r>
        <w:t xml:space="preserve"> на 1/3 того же расстояния, оба с наклоном в направлении волокон мышцы. </w:t>
      </w:r>
      <w:r w:rsidR="00864EAD">
        <w:t>Д</w:t>
      </w:r>
      <w:r w:rsidR="00864EAD" w:rsidRPr="00864EAD">
        <w:t xml:space="preserve">атчики фиксировались на контактные </w:t>
      </w:r>
      <w:proofErr w:type="spellStart"/>
      <w:r w:rsidR="00864EAD" w:rsidRPr="00864EAD">
        <w:t>патчи</w:t>
      </w:r>
      <w:proofErr w:type="spellEnd"/>
      <w:r w:rsidR="00864EAD">
        <w:t>,</w:t>
      </w:r>
      <w:r w:rsidR="00864EAD" w:rsidRPr="00864EAD">
        <w:t xml:space="preserve"> поверх накладывался фиксирующий пластырь </w:t>
      </w:r>
      <w:proofErr w:type="spellStart"/>
      <w:r w:rsidR="00864EAD" w:rsidRPr="00864EAD">
        <w:t>Hartmann</w:t>
      </w:r>
      <w:proofErr w:type="spellEnd"/>
      <w:r w:rsidR="00864EAD" w:rsidRPr="00864EAD">
        <w:t xml:space="preserve"> </w:t>
      </w:r>
      <w:proofErr w:type="spellStart"/>
      <w:r w:rsidR="00864EAD" w:rsidRPr="00864EAD">
        <w:t>Omnifix</w:t>
      </w:r>
      <w:proofErr w:type="spellEnd"/>
      <w:r w:rsidR="00864EAD">
        <w:t>.</w:t>
      </w:r>
      <w:r w:rsidR="00864EAD" w:rsidRPr="00864EAD">
        <w:t xml:space="preserve"> </w:t>
      </w:r>
      <w:r w:rsidR="00112B6E" w:rsidRPr="00112B6E">
        <w:t xml:space="preserve">Кожа в зоне установки датчиков предварительно обрабатывалась </w:t>
      </w:r>
      <w:r w:rsidR="00112B6E" w:rsidRPr="00112B6E">
        <w:lastRenderedPageBreak/>
        <w:t>спиртовой салфеткой и очищалась марлевой для снижения импеданса контакта</w:t>
      </w:r>
      <w:r>
        <w:t>. Соединение с системой сбора данных осуществлялось через протокол TCP посредством подключения к Trigno Control Utility (TCU) – фирменному серверному приложению, транслирующему бинарный поток данных с датчиков по выделенному data-порту.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78310182" w14:textId="597D6681" w:rsidR="00887DF9" w:rsidRDefault="00887DF9" w:rsidP="00887DF9">
      <w:pPr>
        <w:pStyle w:val="31"/>
      </w:pPr>
      <w:bookmarkStart w:id="22" w:name="_Toc228326048"/>
      <w:r>
        <w:t>2.3.2 Ближняя инфракрасная спектроскопия</w:t>
      </w:r>
      <w:bookmarkEnd w:id="22"/>
    </w:p>
    <w:p w14:paraId="0B13C1F4" w14:textId="3F7CD7D2" w:rsidR="00887DF9" w:rsidRDefault="00BD5D7E" w:rsidP="00887DF9">
      <w:pPr>
        <w:widowControl w:val="0"/>
        <w:spacing w:after="0"/>
        <w:ind w:firstLine="709"/>
      </w:pPr>
      <w:r>
        <w:t xml:space="preserve">Мышечная оксигенация регистрировалась датчиком Train.Red PLUS, основанным на принципе непрерывной волновой ближней инфракрасной спектроскопии (cwNIRS). Датчик фиксировался над серединой брюшка m. vastus lateralis той же ноги, что и ЭМГ-датчики, при помощи </w:t>
      </w:r>
      <w:r w:rsidR="00EF54FA">
        <w:t>штатного ремешка устройства</w:t>
      </w:r>
      <w:r>
        <w:t xml:space="preserve">. В ходе теста по протоколу ANT+ принимался только сигнал SmO₂ с частотой около 1–4 Гц </w:t>
      </w:r>
      <w:r w:rsidR="00EF54FA">
        <w:t>–</w:t>
      </w:r>
      <w:r>
        <w:t xml:space="preserve">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rsidR="001C3AC7">
        <w:t xml:space="preserve">, </w:t>
      </w:r>
      <w:r>
        <w:t>содержащая полный набор каналов: SmO₂ (фильтрованный и нефильтрованный), O₂Hb, HHb, THb, HBDiff (O₂Hb − HHb). Временная привязка вендорской выгрузки производилась по совпадению канала SmO₂ с ANT+-рядом; после выравнивания все каналы объединялись в единый HDF5-файл вместе с ЭМГ и RR-интервалами.</w:t>
      </w:r>
    </w:p>
    <w:p w14:paraId="45A3D348" w14:textId="3571234C" w:rsidR="00BD5D7E" w:rsidRDefault="00BD5D7E" w:rsidP="00BD5D7E">
      <w:pPr>
        <w:pStyle w:val="31"/>
      </w:pPr>
      <w:bookmarkStart w:id="23" w:name="_Toc228326049"/>
      <w:r>
        <w:t>2.3.3 Сердечный ритм</w:t>
      </w:r>
      <w:bookmarkEnd w:id="23"/>
    </w:p>
    <w:p w14:paraId="0390BCBC" w14:textId="3370675C" w:rsidR="00BD5D7E" w:rsidRDefault="00BD5D7E" w:rsidP="008B0D48">
      <w:pPr>
        <w:widowControl w:val="0"/>
        <w:spacing w:after="0"/>
        <w:ind w:firstLine="709"/>
      </w:pPr>
      <w:r>
        <w:t xml:space="preserve">RR-интервалы регистрировались биосенсорным поясом Zephyr BioHarness 3 (Medtronic, США), передающим данные по Bluetooth Low Energy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r>
        <w:lastRenderedPageBreak/>
        <w:t>равноинтервальную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525027A2" w14:textId="206B0AD1" w:rsidR="00887DF9" w:rsidRDefault="00887DF9" w:rsidP="00887DF9">
      <w:pPr>
        <w:pStyle w:val="21"/>
      </w:pPr>
      <w:bookmarkStart w:id="24" w:name="_Toc228326050"/>
      <w:r>
        <w:t>2.4 Система синхронного сбора данных Sensync</w:t>
      </w:r>
      <w:bookmarkEnd w:id="24"/>
    </w:p>
    <w:p w14:paraId="63780F6A" w14:textId="214F2F36" w:rsidR="0006323E" w:rsidRDefault="0006323E" w:rsidP="0006323E">
      <w:pPr>
        <w:pStyle w:val="31"/>
      </w:pPr>
      <w:bookmarkStart w:id="25" w:name="_Toc228326051"/>
      <w:r>
        <w:t>2.4.1 Архитектура и мотивация</w:t>
      </w:r>
      <w:bookmarkEnd w:id="25"/>
    </w:p>
    <w:p w14:paraId="7B0EC352" w14:textId="550CF62A" w:rsidR="0006323E" w:rsidRDefault="0006323E" w:rsidP="0006323E">
      <w:pPr>
        <w:widowControl w:val="0"/>
        <w:spacing w:after="0"/>
        <w:ind w:firstLine="709"/>
      </w:pPr>
      <w:r>
        <w:t>Для синхронной регистрации сигналов с разнородных источников разработана оригинальная программная система Sensync. Необходимость собственной разработки обусловлена отсутствием готовых решений, обеспечивающих одновременную запись разночастотных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3494FA39" w14:textId="568BF0E3" w:rsidR="00887DF9" w:rsidRDefault="0006323E" w:rsidP="0006323E">
      <w:pPr>
        <w:widowControl w:val="0"/>
        <w:spacing w:after="0"/>
        <w:ind w:firstLine="709"/>
      </w:pPr>
      <w:r>
        <w:t>Система прошла четыре крупные итерации разработки. На первом этапе реализовано приложение на Python с управляющим циклом трёх фаз (сбор с адаптеров, обработка, визуализация в Matplotlib). Ограниченные возможности управления привели к добавлению GUI-оболочки на Flet с сохранением Python-ядра. На третьем этапе визуализация была вынесена в отдельное React-приложение с обменом через Protocol Buffers,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Electron / React с отказом от управляющего цикла в пользу событийно-ориентированной (event-driven) архитектуры. Ключевым мотивом последней итерации стал опыт работы с частично потерянными и несинхронизованными данными, собранными на предыдущем оборудовании, – это показало критичность единой временной модели для корректного совмещения разночастотных каналов.</w:t>
      </w:r>
    </w:p>
    <w:p w14:paraId="00F64176" w14:textId="3DFD9FB6" w:rsidR="0006323E" w:rsidRDefault="0006323E" w:rsidP="0006323E">
      <w:pPr>
        <w:pStyle w:val="31"/>
      </w:pPr>
      <w:bookmarkStart w:id="26" w:name="_Toc228326052"/>
      <w:r>
        <w:t>2.4.2 Реализация</w:t>
      </w:r>
      <w:bookmarkEnd w:id="26"/>
    </w:p>
    <w:p w14:paraId="16A4D7D1" w14:textId="01025FB2" w:rsidR="0006323E" w:rsidRDefault="0006323E" w:rsidP="0006323E">
      <w:pPr>
        <w:widowControl w:val="0"/>
        <w:spacing w:after="0"/>
        <w:ind w:firstLine="709"/>
      </w:pPr>
      <w:r>
        <w:t xml:space="preserve">Sensync реализована как модульное десктопное приложение на </w:t>
      </w:r>
      <w:r>
        <w:lastRenderedPageBreak/>
        <w:t xml:space="preserve">платформе </w:t>
      </w:r>
      <w:proofErr w:type="spellStart"/>
      <w:r>
        <w:t>Electron</w:t>
      </w:r>
      <w:proofErr w:type="spellEnd"/>
      <w:r w:rsidR="00505D63">
        <w:t xml:space="preserve"> (см</w:t>
      </w:r>
      <w:r w:rsidR="00505D63" w:rsidRPr="00505D63">
        <w:t xml:space="preserve">. </w:t>
      </w:r>
      <w:r w:rsidR="00505D63">
        <w:t>т</w:t>
      </w:r>
      <w:r w:rsidR="003876A0">
        <w:t>аблицу 2.</w:t>
      </w:r>
      <w:r w:rsidR="003876A0" w:rsidRPr="003876A0">
        <w:t>4.2</w:t>
      </w:r>
      <w:r w:rsidR="00505D63">
        <w:t>)</w:t>
      </w:r>
      <w:r>
        <w:t>. Каждый источник данных инкапсулирован в изолированном плагине, выполняемом в отдельном потоке (worker_thread),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CF82D5D" w14:textId="70FACF2C" w:rsidR="0006323E" w:rsidRDefault="0006323E" w:rsidP="0006323E">
      <w:pPr>
        <w:widowControl w:val="0"/>
        <w:spacing w:after="0"/>
        <w:ind w:firstLine="709"/>
      </w:pPr>
      <w:r>
        <w:t>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воспроизводимость временных отношений между каналами при последующем анализе.</w:t>
      </w:r>
    </w:p>
    <w:p w14:paraId="67F12AB7" w14:textId="43BB6EE3" w:rsidR="0006323E" w:rsidRDefault="0006323E" w:rsidP="0006323E">
      <w:pPr>
        <w:widowControl w:val="0"/>
        <w:spacing w:after="0"/>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в иерархической структуре файла и буферизирует записи независимо батчами.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лактата вносятся в тот же файл отдельным каналом по завершении теста.</w:t>
      </w:r>
    </w:p>
    <w:p w14:paraId="3A8C676D" w14:textId="42051643" w:rsidR="00505D63" w:rsidRPr="003876A0" w:rsidRDefault="003876A0" w:rsidP="003876A0">
      <w:pPr>
        <w:pStyle w:val="ad"/>
        <w:rPr>
          <w:lang w:val="en-US"/>
        </w:rPr>
      </w:pPr>
      <w:r>
        <w:t>Таблица 2.</w:t>
      </w:r>
      <w:r>
        <w:rPr>
          <w:lang w:val="en-US"/>
        </w:rPr>
        <w:t>4.2</w:t>
      </w:r>
      <w:r>
        <w:t xml:space="preserve">. Технологический стек </w:t>
      </w:r>
      <w:proofErr w:type="spellStart"/>
      <w:r>
        <w:rPr>
          <w:lang w:val="en-US"/>
        </w:rPr>
        <w:t>sensync</w:t>
      </w:r>
      <w:proofErr w:type="spellEnd"/>
      <w:r>
        <w:rPr>
          <w:lang w:val="en-US"/>
        </w:rPr>
        <w:t>.</w:t>
      </w:r>
    </w:p>
    <w:tbl>
      <w:tblPr>
        <w:tblStyle w:val="a9"/>
        <w:tblW w:w="0" w:type="auto"/>
        <w:tblLook w:val="04A0" w:firstRow="1" w:lastRow="0" w:firstColumn="1" w:lastColumn="0" w:noHBand="0" w:noVBand="1"/>
      </w:tblPr>
      <w:tblGrid>
        <w:gridCol w:w="4672"/>
        <w:gridCol w:w="4673"/>
      </w:tblGrid>
      <w:tr w:rsidR="00505D63" w14:paraId="4530F2EE" w14:textId="77777777" w:rsidTr="00505D63">
        <w:tc>
          <w:tcPr>
            <w:tcW w:w="4672" w:type="dxa"/>
          </w:tcPr>
          <w:p w14:paraId="3C900DD7" w14:textId="16BF0A59" w:rsidR="00505D63" w:rsidRPr="00505D63" w:rsidRDefault="00505D63" w:rsidP="00505D63">
            <w:pPr>
              <w:pStyle w:val="aa"/>
              <w:jc w:val="center"/>
              <w:rPr>
                <w:b/>
                <w:bCs/>
              </w:rPr>
            </w:pPr>
            <w:proofErr w:type="spellStart"/>
            <w:r w:rsidRPr="00505D63">
              <w:rPr>
                <w:b/>
                <w:bCs/>
              </w:rPr>
              <w:t>Компонент</w:t>
            </w:r>
            <w:proofErr w:type="spellEnd"/>
          </w:p>
        </w:tc>
        <w:tc>
          <w:tcPr>
            <w:tcW w:w="4673" w:type="dxa"/>
          </w:tcPr>
          <w:p w14:paraId="7D6FCDA3" w14:textId="3A16D6F7" w:rsidR="00505D63" w:rsidRPr="00505D63" w:rsidRDefault="00505D63" w:rsidP="00505D63">
            <w:pPr>
              <w:pStyle w:val="aa"/>
              <w:jc w:val="center"/>
              <w:rPr>
                <w:b/>
                <w:bCs/>
                <w:lang w:val="ru-RU"/>
              </w:rPr>
            </w:pPr>
            <w:r w:rsidRPr="00505D63">
              <w:rPr>
                <w:b/>
                <w:bCs/>
                <w:lang w:val="ru-RU"/>
              </w:rPr>
              <w:t>Технология</w:t>
            </w:r>
          </w:p>
        </w:tc>
      </w:tr>
      <w:tr w:rsidR="00505D63" w14:paraId="55AB7956" w14:textId="77777777" w:rsidTr="00505D63">
        <w:tc>
          <w:tcPr>
            <w:tcW w:w="4672" w:type="dxa"/>
          </w:tcPr>
          <w:p w14:paraId="01E47319" w14:textId="41B0D028" w:rsidR="00505D63" w:rsidRDefault="00505D63" w:rsidP="00505D63">
            <w:pPr>
              <w:pStyle w:val="aa"/>
            </w:pPr>
            <w:proofErr w:type="spellStart"/>
            <w:r w:rsidRPr="00F30ABF">
              <w:t>Платформа</w:t>
            </w:r>
            <w:proofErr w:type="spellEnd"/>
          </w:p>
        </w:tc>
        <w:tc>
          <w:tcPr>
            <w:tcW w:w="4673" w:type="dxa"/>
          </w:tcPr>
          <w:p w14:paraId="3420495E" w14:textId="733030D0" w:rsidR="00505D63" w:rsidRDefault="00505D63" w:rsidP="00505D63">
            <w:pPr>
              <w:pStyle w:val="aa"/>
            </w:pPr>
            <w:r w:rsidRPr="00EA4234">
              <w:t>Electron (Node.js 20, TypeScript)</w:t>
            </w:r>
          </w:p>
        </w:tc>
      </w:tr>
      <w:tr w:rsidR="00505D63" w14:paraId="3C2E54BC" w14:textId="77777777" w:rsidTr="00505D63">
        <w:tc>
          <w:tcPr>
            <w:tcW w:w="4672" w:type="dxa"/>
          </w:tcPr>
          <w:p w14:paraId="2E5AAF16" w14:textId="372E5BDC" w:rsidR="00505D63" w:rsidRDefault="00505D63" w:rsidP="00505D63">
            <w:pPr>
              <w:pStyle w:val="aa"/>
            </w:pPr>
            <w:proofErr w:type="spellStart"/>
            <w:r w:rsidRPr="00F30ABF">
              <w:t>Пользовательский</w:t>
            </w:r>
            <w:proofErr w:type="spellEnd"/>
            <w:r w:rsidRPr="00F30ABF">
              <w:t xml:space="preserve"> </w:t>
            </w:r>
            <w:proofErr w:type="spellStart"/>
            <w:r w:rsidRPr="00F30ABF">
              <w:t>интерфейс</w:t>
            </w:r>
            <w:proofErr w:type="spellEnd"/>
          </w:p>
        </w:tc>
        <w:tc>
          <w:tcPr>
            <w:tcW w:w="4673" w:type="dxa"/>
          </w:tcPr>
          <w:p w14:paraId="67FBA679" w14:textId="1ACD8271" w:rsidR="00505D63" w:rsidRDefault="00505D63" w:rsidP="00505D63">
            <w:pPr>
              <w:pStyle w:val="aa"/>
            </w:pPr>
            <w:r w:rsidRPr="00EA4234">
              <w:t xml:space="preserve">React 19, </w:t>
            </w:r>
            <w:proofErr w:type="spellStart"/>
            <w:r w:rsidRPr="00EA4234">
              <w:t>ECharts</w:t>
            </w:r>
            <w:proofErr w:type="spellEnd"/>
          </w:p>
        </w:tc>
      </w:tr>
      <w:tr w:rsidR="00505D63" w14:paraId="7165CA30" w14:textId="77777777" w:rsidTr="00505D63">
        <w:tc>
          <w:tcPr>
            <w:tcW w:w="4672" w:type="dxa"/>
          </w:tcPr>
          <w:p w14:paraId="587595E6" w14:textId="0886CBC9" w:rsidR="00505D63" w:rsidRDefault="00505D63" w:rsidP="00505D63">
            <w:pPr>
              <w:pStyle w:val="aa"/>
            </w:pPr>
            <w:proofErr w:type="spellStart"/>
            <w:r w:rsidRPr="00F30ABF">
              <w:t>Многопоточность</w:t>
            </w:r>
            <w:proofErr w:type="spellEnd"/>
          </w:p>
        </w:tc>
        <w:tc>
          <w:tcPr>
            <w:tcW w:w="4673" w:type="dxa"/>
          </w:tcPr>
          <w:p w14:paraId="32047E15" w14:textId="5911EBA9" w:rsidR="00505D63" w:rsidRDefault="00505D63" w:rsidP="00505D63">
            <w:pPr>
              <w:pStyle w:val="aa"/>
            </w:pPr>
            <w:proofErr w:type="spellStart"/>
            <w:r w:rsidRPr="00EA4234">
              <w:t>worker_threads</w:t>
            </w:r>
            <w:proofErr w:type="spellEnd"/>
            <w:r w:rsidRPr="00EA4234">
              <w:t xml:space="preserve"> (Node.js)</w:t>
            </w:r>
          </w:p>
        </w:tc>
      </w:tr>
      <w:tr w:rsidR="00505D63" w14:paraId="41227397" w14:textId="77777777" w:rsidTr="00505D63">
        <w:tc>
          <w:tcPr>
            <w:tcW w:w="4672" w:type="dxa"/>
          </w:tcPr>
          <w:p w14:paraId="690A761E" w14:textId="36448EB9" w:rsidR="00505D63" w:rsidRDefault="00505D63" w:rsidP="00505D63">
            <w:pPr>
              <w:pStyle w:val="aa"/>
            </w:pPr>
            <w:proofErr w:type="spellStart"/>
            <w:r w:rsidRPr="00F30ABF">
              <w:t>Формат</w:t>
            </w:r>
            <w:proofErr w:type="spellEnd"/>
            <w:r w:rsidRPr="00F30ABF">
              <w:t xml:space="preserve"> </w:t>
            </w:r>
            <w:proofErr w:type="spellStart"/>
            <w:r w:rsidRPr="00F30ABF">
              <w:t>хранения</w:t>
            </w:r>
            <w:proofErr w:type="spellEnd"/>
            <w:r w:rsidRPr="00F30ABF">
              <w:t xml:space="preserve"> </w:t>
            </w:r>
            <w:proofErr w:type="spellStart"/>
            <w:r w:rsidRPr="00F30ABF">
              <w:t>данных</w:t>
            </w:r>
            <w:proofErr w:type="spellEnd"/>
          </w:p>
        </w:tc>
        <w:tc>
          <w:tcPr>
            <w:tcW w:w="4673" w:type="dxa"/>
          </w:tcPr>
          <w:p w14:paraId="51623F47" w14:textId="1F8A9E98" w:rsidR="00505D63" w:rsidRDefault="00505D63" w:rsidP="00505D63">
            <w:pPr>
              <w:pStyle w:val="aa"/>
            </w:pPr>
            <w:r w:rsidRPr="00EA4234">
              <w:t>HDF5 (</w:t>
            </w:r>
            <w:proofErr w:type="spellStart"/>
            <w:r w:rsidRPr="00EA4234">
              <w:t>библиотека</w:t>
            </w:r>
            <w:proofErr w:type="spellEnd"/>
            <w:r w:rsidRPr="00EA4234">
              <w:t xml:space="preserve"> h5wasm)</w:t>
            </w:r>
          </w:p>
        </w:tc>
      </w:tr>
      <w:tr w:rsidR="00505D63" w14:paraId="7748F210" w14:textId="77777777" w:rsidTr="00505D63">
        <w:tc>
          <w:tcPr>
            <w:tcW w:w="4672" w:type="dxa"/>
          </w:tcPr>
          <w:p w14:paraId="61B937CD" w14:textId="7F242B97" w:rsidR="00505D63" w:rsidRDefault="00505D63" w:rsidP="00505D63">
            <w:pPr>
              <w:pStyle w:val="aa"/>
            </w:pPr>
            <w:proofErr w:type="spellStart"/>
            <w:r w:rsidRPr="00F30ABF">
              <w:t>Подключение</w:t>
            </w:r>
            <w:proofErr w:type="spellEnd"/>
            <w:r w:rsidRPr="00F30ABF">
              <w:t xml:space="preserve"> </w:t>
            </w:r>
            <w:proofErr w:type="spellStart"/>
            <w:r w:rsidRPr="00F30ABF">
              <w:t>Delsys</w:t>
            </w:r>
            <w:proofErr w:type="spellEnd"/>
            <w:r w:rsidRPr="00F30ABF">
              <w:t xml:space="preserve"> </w:t>
            </w:r>
            <w:proofErr w:type="spellStart"/>
            <w:r w:rsidRPr="00F30ABF">
              <w:t>Trigno</w:t>
            </w:r>
            <w:proofErr w:type="spellEnd"/>
          </w:p>
        </w:tc>
        <w:tc>
          <w:tcPr>
            <w:tcW w:w="4673" w:type="dxa"/>
          </w:tcPr>
          <w:p w14:paraId="199EAC69" w14:textId="23F2EBC9" w:rsidR="00505D63" w:rsidRDefault="00505D63" w:rsidP="00505D63">
            <w:pPr>
              <w:pStyle w:val="aa"/>
            </w:pPr>
            <w:r w:rsidRPr="00EA4234">
              <w:t>TCP-</w:t>
            </w:r>
            <w:proofErr w:type="spellStart"/>
            <w:r w:rsidRPr="00EA4234">
              <w:t>сокет</w:t>
            </w:r>
            <w:proofErr w:type="spellEnd"/>
            <w:r w:rsidRPr="00EA4234">
              <w:t xml:space="preserve"> к </w:t>
            </w:r>
            <w:proofErr w:type="spellStart"/>
            <w:r w:rsidRPr="00EA4234">
              <w:t>Trigno</w:t>
            </w:r>
            <w:proofErr w:type="spellEnd"/>
            <w:r w:rsidRPr="00EA4234">
              <w:t xml:space="preserve"> Control Utility</w:t>
            </w:r>
          </w:p>
        </w:tc>
      </w:tr>
      <w:tr w:rsidR="00505D63" w14:paraId="665DFF24" w14:textId="77777777" w:rsidTr="00505D63">
        <w:tc>
          <w:tcPr>
            <w:tcW w:w="4672" w:type="dxa"/>
          </w:tcPr>
          <w:p w14:paraId="447B3950" w14:textId="29A93EA3" w:rsidR="00505D63" w:rsidRDefault="00505D63" w:rsidP="00505D63">
            <w:pPr>
              <w:pStyle w:val="aa"/>
            </w:pPr>
            <w:proofErr w:type="spellStart"/>
            <w:r w:rsidRPr="00F30ABF">
              <w:t>Подключение</w:t>
            </w:r>
            <w:proofErr w:type="spellEnd"/>
            <w:r w:rsidRPr="00F30ABF">
              <w:t xml:space="preserve"> </w:t>
            </w:r>
            <w:proofErr w:type="spellStart"/>
            <w:r w:rsidRPr="00F30ABF">
              <w:t>Train.Red</w:t>
            </w:r>
            <w:proofErr w:type="spellEnd"/>
            <w:r w:rsidRPr="00F30ABF">
              <w:t xml:space="preserve"> PLUS</w:t>
            </w:r>
          </w:p>
        </w:tc>
        <w:tc>
          <w:tcPr>
            <w:tcW w:w="4673" w:type="dxa"/>
          </w:tcPr>
          <w:p w14:paraId="46528250" w14:textId="394C4B32" w:rsidR="00505D63" w:rsidRDefault="00505D63" w:rsidP="00505D63">
            <w:pPr>
              <w:pStyle w:val="aa"/>
            </w:pPr>
            <w:r w:rsidRPr="00EA4234">
              <w:t>ANT+ (</w:t>
            </w:r>
            <w:proofErr w:type="spellStart"/>
            <w:r w:rsidRPr="00EA4234">
              <w:t>библиотека</w:t>
            </w:r>
            <w:proofErr w:type="spellEnd"/>
            <w:r w:rsidRPr="00EA4234">
              <w:t xml:space="preserve"> ant-plus)</w:t>
            </w:r>
          </w:p>
        </w:tc>
      </w:tr>
      <w:tr w:rsidR="00505D63" w14:paraId="07F6C80F" w14:textId="77777777" w:rsidTr="00505D63">
        <w:tc>
          <w:tcPr>
            <w:tcW w:w="4672" w:type="dxa"/>
          </w:tcPr>
          <w:p w14:paraId="3F11FE3E" w14:textId="5CD4B394" w:rsidR="00505D63" w:rsidRDefault="00505D63" w:rsidP="00505D63">
            <w:pPr>
              <w:pStyle w:val="aa"/>
            </w:pPr>
            <w:proofErr w:type="spellStart"/>
            <w:r w:rsidRPr="00F30ABF">
              <w:t>Подключение</w:t>
            </w:r>
            <w:proofErr w:type="spellEnd"/>
            <w:r w:rsidRPr="00F30ABF">
              <w:t xml:space="preserve"> Zephyr </w:t>
            </w:r>
            <w:proofErr w:type="spellStart"/>
            <w:r w:rsidRPr="00F30ABF">
              <w:t>BioHarness</w:t>
            </w:r>
            <w:proofErr w:type="spellEnd"/>
          </w:p>
        </w:tc>
        <w:tc>
          <w:tcPr>
            <w:tcW w:w="4673" w:type="dxa"/>
          </w:tcPr>
          <w:p w14:paraId="30535529" w14:textId="3EED9A73" w:rsidR="00505D63" w:rsidRDefault="00505D63" w:rsidP="00505D63">
            <w:pPr>
              <w:pStyle w:val="aa"/>
            </w:pPr>
            <w:r w:rsidRPr="00EA4234">
              <w:t>BLE (</w:t>
            </w:r>
            <w:proofErr w:type="spellStart"/>
            <w:r w:rsidRPr="00EA4234">
              <w:t>библиотека</w:t>
            </w:r>
            <w:proofErr w:type="spellEnd"/>
            <w:r w:rsidRPr="00EA4234">
              <w:t xml:space="preserve"> @abandonware/noble)</w:t>
            </w:r>
          </w:p>
        </w:tc>
      </w:tr>
      <w:tr w:rsidR="00505D63" w14:paraId="028B7A34" w14:textId="77777777" w:rsidTr="00505D63">
        <w:tc>
          <w:tcPr>
            <w:tcW w:w="4672" w:type="dxa"/>
          </w:tcPr>
          <w:p w14:paraId="2165A9D6" w14:textId="66FA0FBA" w:rsidR="00505D63" w:rsidRDefault="00505D63" w:rsidP="00505D63">
            <w:pPr>
              <w:pStyle w:val="aa"/>
            </w:pPr>
            <w:proofErr w:type="spellStart"/>
            <w:r w:rsidRPr="00F30ABF">
              <w:t>Обмен</w:t>
            </w:r>
            <w:proofErr w:type="spellEnd"/>
            <w:r w:rsidRPr="00F30ABF">
              <w:t xml:space="preserve"> с </w:t>
            </w:r>
            <w:proofErr w:type="spellStart"/>
            <w:r w:rsidRPr="00F30ABF">
              <w:t>вычислительными</w:t>
            </w:r>
            <w:proofErr w:type="spellEnd"/>
            <w:r w:rsidRPr="00F30ABF">
              <w:t xml:space="preserve"> </w:t>
            </w:r>
            <w:proofErr w:type="spellStart"/>
            <w:r w:rsidRPr="00F30ABF">
              <w:t>воркерами</w:t>
            </w:r>
            <w:proofErr w:type="spellEnd"/>
          </w:p>
        </w:tc>
        <w:tc>
          <w:tcPr>
            <w:tcW w:w="4673" w:type="dxa"/>
          </w:tcPr>
          <w:p w14:paraId="54314E08" w14:textId="3C4B0D16" w:rsidR="00505D63" w:rsidRDefault="00505D63" w:rsidP="00505D63">
            <w:pPr>
              <w:pStyle w:val="aa"/>
            </w:pPr>
            <w:r w:rsidRPr="00EA4234">
              <w:t>Protocol Buffers</w:t>
            </w:r>
          </w:p>
        </w:tc>
      </w:tr>
      <w:tr w:rsidR="00505D63" w14:paraId="27C687CD" w14:textId="77777777" w:rsidTr="00505D63">
        <w:tc>
          <w:tcPr>
            <w:tcW w:w="4672" w:type="dxa"/>
          </w:tcPr>
          <w:p w14:paraId="3BDBC295" w14:textId="223A400B" w:rsidR="00505D63" w:rsidRDefault="00505D63" w:rsidP="00505D63">
            <w:pPr>
              <w:pStyle w:val="aa"/>
            </w:pPr>
            <w:proofErr w:type="spellStart"/>
            <w:r w:rsidRPr="00F30ABF">
              <w:t>Вычислительные</w:t>
            </w:r>
            <w:proofErr w:type="spellEnd"/>
            <w:r w:rsidRPr="00F30ABF">
              <w:t xml:space="preserve"> </w:t>
            </w:r>
            <w:proofErr w:type="spellStart"/>
            <w:r w:rsidRPr="00F30ABF">
              <w:t>алгоритмы</w:t>
            </w:r>
            <w:proofErr w:type="spellEnd"/>
            <w:r w:rsidRPr="00F30ABF">
              <w:t xml:space="preserve"> (ЭМГ)</w:t>
            </w:r>
          </w:p>
        </w:tc>
        <w:tc>
          <w:tcPr>
            <w:tcW w:w="4673" w:type="dxa"/>
          </w:tcPr>
          <w:p w14:paraId="78C48F9E" w14:textId="2641E0A2" w:rsidR="00505D63" w:rsidRDefault="00505D63" w:rsidP="00505D63">
            <w:pPr>
              <w:pStyle w:val="aa"/>
            </w:pPr>
            <w:r w:rsidRPr="00EA4234">
              <w:t>Python compute-worker</w:t>
            </w:r>
          </w:p>
        </w:tc>
      </w:tr>
    </w:tbl>
    <w:p w14:paraId="116D53FD" w14:textId="63D2A144" w:rsidR="00887DF9" w:rsidRDefault="00C522F1" w:rsidP="00887DF9">
      <w:pPr>
        <w:pStyle w:val="21"/>
      </w:pPr>
      <w:bookmarkStart w:id="27" w:name="_Toc228326054"/>
      <w:r>
        <w:t>2.5 Предобработка сигналов</w:t>
      </w:r>
      <w:bookmarkEnd w:id="27"/>
    </w:p>
    <w:p w14:paraId="16D110CC" w14:textId="375A3885" w:rsidR="00C522F1" w:rsidRDefault="00C522F1" w:rsidP="00C522F1">
      <w:pPr>
        <w:pStyle w:val="31"/>
      </w:pPr>
      <w:bookmarkStart w:id="28" w:name="_Toc228326055"/>
      <w:r>
        <w:t>2.5.1 Электромиография</w:t>
      </w:r>
      <w:bookmarkEnd w:id="28"/>
    </w:p>
    <w:p w14:paraId="4E4169D9" w14:textId="70F5323C" w:rsidR="003D629E" w:rsidRDefault="003D629E" w:rsidP="003D629E">
      <w:pPr>
        <w:widowControl w:val="0"/>
        <w:spacing w:after="0"/>
        <w:ind w:firstLine="709"/>
      </w:pPr>
      <w:r>
        <w:t xml:space="preserve">Сырой ЭМГ-сигнал (1926 Гц) подвергался следующей предобработке. </w:t>
      </w:r>
      <w:r>
        <w:lastRenderedPageBreak/>
        <w:t>Полосовая фильтрация: фильтр Баттерворта 4-го порядка, полоса пропускания 20–450 Гц. Режекторный (notch) фильтр: 50 Гц для подавления помехи промышленной сети. Вычисление огибающей: скользящее RMS в окне 250 мс. Нормализация: значения ЭМГ нормировались относительно среднего уровня на ступени 90 Вт для обеспечения межсессионной сопоставимости.</w:t>
      </w:r>
    </w:p>
    <w:p w14:paraId="64CC6C8D" w14:textId="449C0F5A" w:rsidR="00887DF9" w:rsidRDefault="003D629E" w:rsidP="003D629E">
      <w:pPr>
        <w:widowControl w:val="0"/>
        <w:spacing w:after="0"/>
        <w:ind w:firstLine="709"/>
      </w:pPr>
      <w:r>
        <w:t>Разделение активности по фазам педалирования выполнялось на основе гироскопических данных (148 Гц): load-фаза (~0°–180° цикла) и rest-фаза (~180°–360°) определялись по пиковой угловой скорости гироскопа с использованием алгоритма детекции пиков.</w:t>
      </w:r>
    </w:p>
    <w:p w14:paraId="26C3EEC4" w14:textId="58E6D353" w:rsidR="00C522F1" w:rsidRDefault="00C522F1" w:rsidP="00C522F1">
      <w:pPr>
        <w:pStyle w:val="31"/>
      </w:pPr>
      <w:bookmarkStart w:id="29" w:name="_Toc228326056"/>
      <w:r>
        <w:t>2.5.2 Мышечная оксигенация</w:t>
      </w:r>
      <w:bookmarkEnd w:id="29"/>
    </w:p>
    <w:p w14:paraId="2A45ED9F" w14:textId="5CE68E38" w:rsidR="00092273" w:rsidRDefault="00E63771" w:rsidP="00092273">
      <w:r w:rsidRPr="00E63771">
        <w:t xml:space="preserve">Сигналы </w:t>
      </w:r>
      <w:proofErr w:type="spellStart"/>
      <w:r w:rsidRPr="00E63771">
        <w:t>SmO</w:t>
      </w:r>
      <w:proofErr w:type="spellEnd"/>
      <w:r w:rsidRPr="00E63771">
        <w:t xml:space="preserve">₂, </w:t>
      </w:r>
      <w:proofErr w:type="spellStart"/>
      <w:r w:rsidRPr="00E63771">
        <w:t>HHb</w:t>
      </w:r>
      <w:proofErr w:type="spellEnd"/>
      <w:r w:rsidRPr="00E63771">
        <w:t xml:space="preserve">, </w:t>
      </w:r>
      <w:proofErr w:type="spellStart"/>
      <w:r w:rsidRPr="00E63771">
        <w:t>HBDiff</w:t>
      </w:r>
      <w:proofErr w:type="spellEnd"/>
      <w:r w:rsidRPr="00E63771">
        <w:t xml:space="preserve"> и </w:t>
      </w:r>
      <w:proofErr w:type="spellStart"/>
      <w:r w:rsidRPr="00E63771">
        <w:t>THb</w:t>
      </w:r>
      <w:proofErr w:type="spellEnd"/>
      <w:r w:rsidRPr="00E63771">
        <w:t xml:space="preserve"> из </w:t>
      </w:r>
      <w:proofErr w:type="spellStart"/>
      <w:r w:rsidRPr="00E63771">
        <w:t>вендорской</w:t>
      </w:r>
      <w:proofErr w:type="spellEnd"/>
      <w:r w:rsidRPr="00E63771">
        <w:t xml:space="preserve"> выгрузки </w:t>
      </w:r>
      <w:proofErr w:type="spellStart"/>
      <w:r w:rsidRPr="00E63771">
        <w:t>Train.Red</w:t>
      </w:r>
      <w:proofErr w:type="spellEnd"/>
      <w:r w:rsidRPr="00E63771">
        <w:t xml:space="preserve"> сглаживались скользящим средним в окне 10 сек для подавления артефактов движения. Производные </w:t>
      </w:r>
      <w:proofErr w:type="spellStart"/>
      <w:r w:rsidRPr="00E63771">
        <w:t>ΔSmO</w:t>
      </w:r>
      <w:proofErr w:type="spellEnd"/>
      <w:r w:rsidRPr="00E63771">
        <w:t>₂/</w:t>
      </w:r>
      <w:proofErr w:type="spellStart"/>
      <w:r w:rsidRPr="00E63771">
        <w:t>Δt</w:t>
      </w:r>
      <w:proofErr w:type="spellEnd"/>
      <w:r w:rsidRPr="00E63771">
        <w:t xml:space="preserve"> и </w:t>
      </w:r>
      <w:proofErr w:type="spellStart"/>
      <w:r w:rsidRPr="00E63771">
        <w:t>ΔHHb</w:t>
      </w:r>
      <w:proofErr w:type="spellEnd"/>
      <w:r w:rsidRPr="00E63771">
        <w:t>/</w:t>
      </w:r>
      <w:proofErr w:type="spellStart"/>
      <w:r w:rsidRPr="00E63771">
        <w:t>Δt</w:t>
      </w:r>
      <w:proofErr w:type="spellEnd"/>
      <w:r w:rsidRPr="00E63771">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rsidRPr="00E63771">
        <w:t>SmO</w:t>
      </w:r>
      <w:proofErr w:type="spellEnd"/>
      <w:r w:rsidRPr="00E63771">
        <w:t xml:space="preserve">₂ (до выравнивания с </w:t>
      </w:r>
      <w:proofErr w:type="spellStart"/>
      <w:r w:rsidRPr="00E63771">
        <w:t>вендорской</w:t>
      </w:r>
      <w:proofErr w:type="spellEnd"/>
      <w:r w:rsidRPr="00E63771">
        <w:t xml:space="preserve"> выгрузкой) не интерполировались; признаки на соответствующих сегментах помечались как </w:t>
      </w:r>
      <w:proofErr w:type="spellStart"/>
      <w:r w:rsidRPr="00E63771">
        <w:t>невалидные</w:t>
      </w:r>
      <w:proofErr w:type="spellEnd"/>
      <w:r w:rsidR="00092273">
        <w:t>.</w:t>
      </w:r>
    </w:p>
    <w:p w14:paraId="6CB3889F" w14:textId="10F9C789" w:rsidR="00092273" w:rsidRDefault="00092273" w:rsidP="00092273">
      <w:pPr>
        <w:pStyle w:val="31"/>
      </w:pPr>
      <w:bookmarkStart w:id="30" w:name="_Toc228326057"/>
      <w:r>
        <w:t>2.5.</w:t>
      </w:r>
      <w:r w:rsidR="00BB5CA8">
        <w:t>3</w:t>
      </w:r>
      <w:r>
        <w:t xml:space="preserve"> RR-интервалы и HRV</w:t>
      </w:r>
      <w:bookmarkEnd w:id="30"/>
    </w:p>
    <w:p w14:paraId="4B94E043" w14:textId="31245575" w:rsidR="00092273" w:rsidRDefault="00697C0D" w:rsidP="00092273">
      <w:r w:rsidRPr="00697C0D">
        <w:t xml:space="preserve">Перед вычислением HRV-признаков выполнялась </w:t>
      </w:r>
      <w:proofErr w:type="spellStart"/>
      <w:r w:rsidRPr="00697C0D">
        <w:t>детекция</w:t>
      </w:r>
      <w:proofErr w:type="spellEnd"/>
      <w:r w:rsidRPr="00697C0D">
        <w:t xml:space="preserve"> артефактов RR: интервалы, отклоняющиеся более чем на 20% от скользящей медианы в окне 5 </w:t>
      </w:r>
      <w:proofErr w:type="spellStart"/>
      <w:r w:rsidRPr="00697C0D">
        <w:t>кардиоциклов</w:t>
      </w:r>
      <w:proofErr w:type="spellEnd"/>
      <w:r w:rsidRPr="00697C0D">
        <w:t xml:space="preserve">, помечались как артефакты и замещались кубической интерполяцией по соседним валидным значениям. </w:t>
      </w:r>
      <w:proofErr w:type="spellStart"/>
      <w:r w:rsidRPr="00697C0D">
        <w:t>Равноинтервальный</w:t>
      </w:r>
      <w:proofErr w:type="spellEnd"/>
      <w:r w:rsidRPr="00697C0D">
        <w:t xml:space="preserve"> ряд RR (с шагом 250 </w:t>
      </w:r>
      <w:proofErr w:type="spellStart"/>
      <w:r w:rsidRPr="00697C0D">
        <w:t>мс</w:t>
      </w:r>
      <w:proofErr w:type="spellEnd"/>
      <w:r w:rsidRPr="00697C0D">
        <w:t xml:space="preserve">) формировался кубической интерполяцией для вычисления </w:t>
      </w:r>
      <w:proofErr w:type="spellStart"/>
      <w:r w:rsidRPr="00697C0D">
        <w:t>временны́х</w:t>
      </w:r>
      <w:proofErr w:type="spellEnd"/>
      <w:r w:rsidRPr="00697C0D">
        <w:t xml:space="preserve"> HRV-показателей (RMSSD, SDNN) и нелинейных показателей методами анализа Пуанкаре (SD1, SD2) и </w:t>
      </w:r>
      <w:proofErr w:type="spellStart"/>
      <w:r w:rsidRPr="00697C0D">
        <w:t>детрендированного</w:t>
      </w:r>
      <w:proofErr w:type="spellEnd"/>
      <w:r w:rsidRPr="00697C0D">
        <w:t xml:space="preserve"> </w:t>
      </w:r>
      <w:proofErr w:type="spellStart"/>
      <w:r w:rsidRPr="00697C0D">
        <w:t>флуктуационного</w:t>
      </w:r>
      <w:proofErr w:type="spellEnd"/>
      <w:r w:rsidRPr="00697C0D">
        <w:t xml:space="preserve"> анализа (DFA-α1 в окне 4–16 </w:t>
      </w:r>
      <w:proofErr w:type="spellStart"/>
      <w:r w:rsidRPr="00697C0D">
        <w:t>кардиоциклов</w:t>
      </w:r>
      <w:proofErr w:type="spellEnd"/>
      <w:r w:rsidRPr="00697C0D">
        <w:t>)</w:t>
      </w:r>
      <w:r w:rsidR="005E1B64">
        <w:t>.</w:t>
      </w:r>
    </w:p>
    <w:p w14:paraId="70B65FD5" w14:textId="3BBDC119" w:rsidR="005E1B64" w:rsidRDefault="005E1B64" w:rsidP="005E1B64">
      <w:pPr>
        <w:pStyle w:val="21"/>
      </w:pPr>
      <w:bookmarkStart w:id="31" w:name="_Toc228326058"/>
      <w:r>
        <w:t>2.6 Определение лактатных порогов (ground truth)</w:t>
      </w:r>
      <w:bookmarkEnd w:id="31"/>
    </w:p>
    <w:p w14:paraId="61097307" w14:textId="77777777" w:rsidR="000D7F4C" w:rsidRDefault="000D7F4C" w:rsidP="000D7F4C">
      <w:r>
        <w:t xml:space="preserve">Лактатный порог LT1 определялся как первый достоверный рост концентрации лактата относительно базального уровня покоя (прирост ≥ 0,5 </w:t>
      </w:r>
      <w:r>
        <w:lastRenderedPageBreak/>
        <w:t>ммоль/л). Лактатный порог LT2 определялся методом ModDmax: из точки первого достоверного роста лактата (LT1) проводилась прямая до последней точки кривой лактат–мощность; LT2 соответствует точке максимального перпендикулярного расстояния от этой прямой до кривой. Метод ModDmax выбран как более устойчивый к вариациям исходного уровня лактата по сравнению с классическим методом Dmax.</w:t>
      </w:r>
    </w:p>
    <w:p w14:paraId="271F240A" w14:textId="430EA46C" w:rsidR="005E1B64" w:rsidRDefault="000D7F4C" w:rsidP="00092273">
      <w:r>
        <w:t>Разметка временных рядов для обучения модели: тайминг забора лактата (за 15 сек до начала новой ступени) учитывался при присвоении меток – метка порога относилась к началу ступени, на которой концентрация превысила пороговое значение. Ступень 30 Вт (продолжительностью 1 мин) исключалась из обучающей выборки ввиду недостаточной длительности для формирования 30-секундного скользящего окна. Из оставшихся ступеней скользящее окно применялось непрерывно на протяжении всей их длительности, включая переходные участки между ступенями. Такой подход соответствует условиям онлайн-применения модели, при котором предсказание должно быть доступно в любой момент нагрузочного теста, а не только в установившемся режиме.</w:t>
      </w:r>
    </w:p>
    <w:p w14:paraId="0C12EB0F" w14:textId="2B4F4E12" w:rsidR="000D7F4C" w:rsidRDefault="000D7F4C" w:rsidP="000D7F4C">
      <w:pPr>
        <w:pStyle w:val="21"/>
      </w:pPr>
      <w:bookmarkStart w:id="32" w:name="_Toc228326059"/>
      <w:r>
        <w:t>2.7 Признаковое пространство</w:t>
      </w:r>
      <w:bookmarkEnd w:id="32"/>
    </w:p>
    <w:p w14:paraId="09FE3BAF" w14:textId="77777777" w:rsidR="00CE3246" w:rsidRDefault="00CE3246" w:rsidP="00CE3246">
      <w:pPr>
        <w:spacing w:line="259" w:lineRule="auto"/>
        <w:jc w:val="left"/>
      </w:pPr>
      <w:r>
        <w:t>Признаки извлекались в скользящем окне 30 сек с шагом 5 сек. Для каждого окна вычислялся следующий набор признаков.</w:t>
      </w:r>
    </w:p>
    <w:p w14:paraId="79446B68" w14:textId="77777777" w:rsidR="00CE3246" w:rsidRDefault="00CE3246" w:rsidP="00CE3246">
      <w:pPr>
        <w:spacing w:line="259" w:lineRule="auto"/>
        <w:jc w:val="left"/>
      </w:pPr>
      <w:r>
        <w:t>ЭМГ-признаки (раздельно для VL дист и VL прокс, раздельно для load- и rest-фазы):</w:t>
      </w:r>
    </w:p>
    <w:p w14:paraId="3666D675" w14:textId="77777777" w:rsidR="00CE3246" w:rsidRDefault="00CE3246" w:rsidP="00CE3246">
      <w:pPr>
        <w:pStyle w:val="a5"/>
        <w:numPr>
          <w:ilvl w:val="0"/>
          <w:numId w:val="26"/>
        </w:numPr>
        <w:spacing w:line="259" w:lineRule="auto"/>
        <w:jc w:val="left"/>
      </w:pPr>
      <w:r>
        <w:t>среднеквадратичная амплитуда (RMS);</w:t>
      </w:r>
    </w:p>
    <w:p w14:paraId="5CAD72F8" w14:textId="77777777" w:rsidR="00CE3246" w:rsidRDefault="00CE3246" w:rsidP="00CE3246">
      <w:pPr>
        <w:pStyle w:val="a5"/>
        <w:numPr>
          <w:ilvl w:val="0"/>
          <w:numId w:val="26"/>
        </w:numPr>
        <w:spacing w:line="259" w:lineRule="auto"/>
        <w:jc w:val="left"/>
      </w:pPr>
      <w:r>
        <w:t>медианная частота (MDF) по результатам FFT;</w:t>
      </w:r>
    </w:p>
    <w:p w14:paraId="43935317" w14:textId="77777777" w:rsidR="00CE3246" w:rsidRDefault="00CE3246" w:rsidP="00CE3246">
      <w:pPr>
        <w:pStyle w:val="a5"/>
        <w:numPr>
          <w:ilvl w:val="0"/>
          <w:numId w:val="26"/>
        </w:numPr>
        <w:spacing w:line="259" w:lineRule="auto"/>
        <w:jc w:val="left"/>
      </w:pPr>
      <w:r>
        <w:t>энергия на уровнях вейвлетной декомпозиции DWT (вейвлет Daubechies db4, 6 уровней: d1–d6);</w:t>
      </w:r>
    </w:p>
    <w:p w14:paraId="534A4C8C" w14:textId="2D2D4F37" w:rsidR="00CE3246" w:rsidRDefault="00CE3246" w:rsidP="00CE3246">
      <w:pPr>
        <w:pStyle w:val="a5"/>
        <w:numPr>
          <w:ilvl w:val="0"/>
          <w:numId w:val="26"/>
        </w:numPr>
        <w:spacing w:line="259" w:lineRule="auto"/>
        <w:jc w:val="left"/>
      </w:pPr>
      <w:r>
        <w:t>вейвлет-энтропия (нормированная энтропия Шеннона по распределению энергии уровней).</w:t>
      </w:r>
    </w:p>
    <w:p w14:paraId="6467799D" w14:textId="77777777" w:rsidR="00CE3246" w:rsidRDefault="00CE3246" w:rsidP="00CE3246">
      <w:pPr>
        <w:spacing w:line="259" w:lineRule="auto"/>
        <w:jc w:val="left"/>
      </w:pPr>
      <w:r>
        <w:t>NIRS-признаки:</w:t>
      </w:r>
    </w:p>
    <w:p w14:paraId="2C05C370" w14:textId="77777777" w:rsidR="00CE3246" w:rsidRDefault="00CE3246" w:rsidP="00CE3246">
      <w:pPr>
        <w:pStyle w:val="a5"/>
        <w:numPr>
          <w:ilvl w:val="0"/>
          <w:numId w:val="27"/>
        </w:numPr>
        <w:spacing w:line="259" w:lineRule="auto"/>
        <w:jc w:val="left"/>
      </w:pPr>
      <w:r>
        <w:t>SmO₂ (абсолютное значение, %);</w:t>
      </w:r>
    </w:p>
    <w:p w14:paraId="66BAD6BE" w14:textId="77777777" w:rsidR="00CE3246" w:rsidRDefault="00CE3246" w:rsidP="00CE3246">
      <w:pPr>
        <w:pStyle w:val="a5"/>
        <w:numPr>
          <w:ilvl w:val="0"/>
          <w:numId w:val="27"/>
        </w:numPr>
        <w:spacing w:line="259" w:lineRule="auto"/>
        <w:jc w:val="left"/>
      </w:pPr>
      <w:r>
        <w:t>ΔSmO₂/Δt (скорость изменения);</w:t>
      </w:r>
    </w:p>
    <w:p w14:paraId="7C15D8BC" w14:textId="2EAB9726" w:rsidR="00CE3246" w:rsidRDefault="00CE3246" w:rsidP="00CE3246">
      <w:pPr>
        <w:pStyle w:val="a5"/>
        <w:numPr>
          <w:ilvl w:val="0"/>
          <w:numId w:val="27"/>
        </w:numPr>
        <w:spacing w:line="259" w:lineRule="auto"/>
        <w:jc w:val="left"/>
      </w:pPr>
      <w:r>
        <w:t>THb (суммарный гемоглобин, г/дл).</w:t>
      </w:r>
    </w:p>
    <w:p w14:paraId="6D288BD8" w14:textId="77777777" w:rsidR="00CE3246" w:rsidRDefault="00CE3246" w:rsidP="00CE3246">
      <w:pPr>
        <w:spacing w:line="259" w:lineRule="auto"/>
        <w:jc w:val="left"/>
      </w:pPr>
      <w:r>
        <w:lastRenderedPageBreak/>
        <w:t>HRV-признаки:</w:t>
      </w:r>
    </w:p>
    <w:p w14:paraId="0FC5D1E5" w14:textId="77777777" w:rsidR="00CE3246" w:rsidRDefault="00CE3246" w:rsidP="00CE3246">
      <w:pPr>
        <w:pStyle w:val="a5"/>
        <w:numPr>
          <w:ilvl w:val="0"/>
          <w:numId w:val="28"/>
        </w:numPr>
        <w:spacing w:line="259" w:lineRule="auto"/>
        <w:jc w:val="left"/>
      </w:pPr>
      <w:r>
        <w:t>RMSSD;</w:t>
      </w:r>
    </w:p>
    <w:p w14:paraId="58DC5D18" w14:textId="18811BBE" w:rsidR="00CE3246" w:rsidRDefault="00CE3246" w:rsidP="00CE3246">
      <w:pPr>
        <w:pStyle w:val="a5"/>
        <w:numPr>
          <w:ilvl w:val="0"/>
          <w:numId w:val="28"/>
        </w:numPr>
        <w:spacing w:line="259" w:lineRule="auto"/>
        <w:jc w:val="left"/>
      </w:pPr>
      <w:r>
        <w:t>DFA-α1 (краткосрочный показатель флуктуационного анализа, окно 4–16 кардиоциклов).</w:t>
      </w:r>
    </w:p>
    <w:p w14:paraId="3AB862FB" w14:textId="2C1208FD" w:rsidR="00CE3246" w:rsidRDefault="00CE3246" w:rsidP="00CE3246">
      <w:pPr>
        <w:spacing w:line="259" w:lineRule="auto"/>
        <w:jc w:val="left"/>
      </w:pPr>
      <w:r>
        <w:t>Кинематические признаки (из гироскопа):</w:t>
      </w:r>
    </w:p>
    <w:p w14:paraId="37FE666E" w14:textId="77777777" w:rsidR="00CE3246" w:rsidRDefault="00CE3246" w:rsidP="00CE3246">
      <w:pPr>
        <w:pStyle w:val="a5"/>
        <w:numPr>
          <w:ilvl w:val="0"/>
          <w:numId w:val="29"/>
        </w:numPr>
        <w:spacing w:line="259" w:lineRule="auto"/>
        <w:jc w:val="left"/>
      </w:pPr>
      <w:r>
        <w:t>каденс (об/мин);</w:t>
      </w:r>
    </w:p>
    <w:p w14:paraId="1FB3B3E9" w14:textId="77777777" w:rsidR="00CE3246" w:rsidRDefault="00CE3246" w:rsidP="00CE3246">
      <w:pPr>
        <w:pStyle w:val="a5"/>
        <w:numPr>
          <w:ilvl w:val="0"/>
          <w:numId w:val="29"/>
        </w:numPr>
        <w:spacing w:line="259" w:lineRule="auto"/>
        <w:jc w:val="left"/>
      </w:pPr>
      <w:r>
        <w:t>длительность push-фазы (мс);</w:t>
      </w:r>
    </w:p>
    <w:p w14:paraId="7B132EA6" w14:textId="1B802FBA" w:rsidR="00CE3246" w:rsidRDefault="00CE3246" w:rsidP="00CE3246">
      <w:pPr>
        <w:pStyle w:val="a5"/>
        <w:numPr>
          <w:ilvl w:val="0"/>
          <w:numId w:val="29"/>
        </w:numPr>
        <w:spacing w:line="259" w:lineRule="auto"/>
        <w:jc w:val="left"/>
      </w:pPr>
      <w:r>
        <w:t>коэффициент симметрии фаз.</w:t>
      </w:r>
    </w:p>
    <w:p w14:paraId="0182DC12" w14:textId="77777777" w:rsidR="00CE3246" w:rsidRDefault="00CE3246" w:rsidP="00CE3246">
      <w:pPr>
        <w:spacing w:line="259" w:lineRule="auto"/>
        <w:jc w:val="left"/>
      </w:pPr>
      <w:r>
        <w:t xml:space="preserve">Итоговый вектор признаков для одного окна: ~40 значений. </w:t>
      </w:r>
    </w:p>
    <w:p w14:paraId="1441570A" w14:textId="698F05C2" w:rsidR="00CE3246" w:rsidRDefault="00CE3246" w:rsidP="00CE3246">
      <w:pPr>
        <w:pStyle w:val="21"/>
      </w:pPr>
      <w:bookmarkStart w:id="33" w:name="_Toc228326060"/>
      <w:r>
        <w:t>2.8 Модели машинного обучения</w:t>
      </w:r>
      <w:bookmarkEnd w:id="33"/>
    </w:p>
    <w:p w14:paraId="2EDCDDC3" w14:textId="0C915434" w:rsidR="00CE3246" w:rsidRDefault="00CE3246" w:rsidP="00CE3246">
      <w:pPr>
        <w:pStyle w:val="31"/>
      </w:pPr>
      <w:bookmarkStart w:id="34" w:name="_Toc228326061"/>
      <w:r>
        <w:t>2.8.1 Постановка задачи</w:t>
      </w:r>
      <w:bookmarkEnd w:id="34"/>
    </w:p>
    <w:p w14:paraId="4BADB9D2" w14:textId="0A566433" w:rsidR="00CE3246" w:rsidRDefault="00CE3246" w:rsidP="00CE3246">
      <w:pPr>
        <w:spacing w:line="259" w:lineRule="auto"/>
        <w:jc w:val="left"/>
      </w:pPr>
      <w:r>
        <w:t>Задача формулировалась как бинарная классификация: модель предсказывает вероятность того, что текущий уровень нагрузки превышает порог LT2. Обучающие метки: 0 – ступени до LT2, 1 – ступени после LT2; ступени в переходной зоне LT1–LT2 исключались из обучения.</w:t>
      </w:r>
    </w:p>
    <w:p w14:paraId="17F26B22" w14:textId="252AA3AA" w:rsidR="00CE3246" w:rsidRDefault="00CE3246" w:rsidP="00CE3246">
      <w:pPr>
        <w:pStyle w:val="31"/>
      </w:pPr>
      <w:bookmarkStart w:id="35" w:name="_Toc228326062"/>
      <w:r>
        <w:t>2.8.2 Baseline-модель</w:t>
      </w:r>
      <w:bookmarkEnd w:id="35"/>
    </w:p>
    <w:p w14:paraId="64561BA9" w14:textId="77777777" w:rsidR="0017764E" w:rsidRDefault="0017764E" w:rsidP="0017764E">
      <w:pPr>
        <w:spacing w:line="259" w:lineRule="auto"/>
        <w:jc w:val="left"/>
      </w:pPr>
      <w:r>
        <w:t>Дописать, после обработки</w:t>
      </w:r>
    </w:p>
    <w:p w14:paraId="71996DB8" w14:textId="6EF96A6C" w:rsidR="00CE3246" w:rsidRDefault="00CE3246" w:rsidP="00CE3246">
      <w:pPr>
        <w:pStyle w:val="31"/>
      </w:pPr>
      <w:bookmarkStart w:id="36" w:name="_Toc228326063"/>
      <w:r>
        <w:t>2.8.3 Расширенная модель</w:t>
      </w:r>
      <w:bookmarkEnd w:id="36"/>
    </w:p>
    <w:p w14:paraId="6FBE463C" w14:textId="6F2472D4" w:rsidR="00CE3246" w:rsidRDefault="0017764E" w:rsidP="00CE3246">
      <w:pPr>
        <w:spacing w:line="259" w:lineRule="auto"/>
        <w:jc w:val="left"/>
      </w:pPr>
      <w:r>
        <w:t>Дописать, после обработки</w:t>
      </w:r>
    </w:p>
    <w:p w14:paraId="265BDE7C" w14:textId="34E915D1" w:rsidR="00CE3246" w:rsidRDefault="00CE3246" w:rsidP="00CE3246">
      <w:pPr>
        <w:pStyle w:val="31"/>
      </w:pPr>
      <w:bookmarkStart w:id="37" w:name="_Toc228326064"/>
      <w:r>
        <w:t>2.8.4 Валидация и метрики</w:t>
      </w:r>
      <w:bookmarkEnd w:id="37"/>
    </w:p>
    <w:p w14:paraId="16F73FEB" w14:textId="3FCC86E7" w:rsidR="00CE3246" w:rsidRDefault="00CE3246" w:rsidP="00CE3246">
      <w:pPr>
        <w:spacing w:line="259" w:lineRule="auto"/>
        <w:jc w:val="left"/>
      </w:pPr>
      <w:r>
        <w:t>Дописать, после обработки</w:t>
      </w:r>
    </w:p>
    <w:p w14:paraId="3918D51C" w14:textId="75CE6DEC" w:rsidR="0017764E" w:rsidRDefault="0017764E" w:rsidP="0017764E">
      <w:pPr>
        <w:pStyle w:val="21"/>
      </w:pPr>
      <w:bookmarkStart w:id="38" w:name="_Toc228326065"/>
      <w:r>
        <w:t>2.9 Статистическая обработка данных</w:t>
      </w:r>
      <w:bookmarkEnd w:id="38"/>
    </w:p>
    <w:p w14:paraId="56700AEB" w14:textId="77777777" w:rsidR="0017764E" w:rsidRDefault="0017764E" w:rsidP="0017764E">
      <w:pPr>
        <w:spacing w:line="259" w:lineRule="auto"/>
        <w:jc w:val="left"/>
      </w:pPr>
      <w:r>
        <w:t>Дописать, после обработки</w:t>
      </w:r>
    </w:p>
    <w:p w14:paraId="2178F9EE" w14:textId="77777777" w:rsidR="0017764E" w:rsidRDefault="0017764E" w:rsidP="00CE3246">
      <w:pPr>
        <w:spacing w:line="259" w:lineRule="auto"/>
        <w:jc w:val="left"/>
      </w:pPr>
    </w:p>
    <w:p w14:paraId="34818B92" w14:textId="4C8CE10C" w:rsidR="007A32C5" w:rsidRPr="000C631D" w:rsidRDefault="007A32C5" w:rsidP="00CE3246">
      <w:pPr>
        <w:spacing w:line="259" w:lineRule="auto"/>
        <w:jc w:val="left"/>
        <w:rPr>
          <w:rFonts w:eastAsiaTheme="majorEastAsia" w:cs="Times New Roman"/>
          <w:b/>
          <w:caps/>
          <w:szCs w:val="28"/>
        </w:rPr>
      </w:pPr>
      <w:r>
        <w:br w:type="page"/>
      </w:r>
    </w:p>
    <w:p w14:paraId="70624283" w14:textId="7D615FC1" w:rsidR="00DF758A" w:rsidRDefault="002246F6" w:rsidP="007A32C5">
      <w:pPr>
        <w:pStyle w:val="1"/>
        <w:keepNext w:val="0"/>
        <w:keepLines w:val="0"/>
        <w:widowControl w:val="0"/>
        <w:spacing w:before="0"/>
      </w:pPr>
      <w:bookmarkStart w:id="39" w:name="_Toc228326066"/>
      <w:r>
        <w:lastRenderedPageBreak/>
        <w:t>3 Результаты и обсуждения</w:t>
      </w:r>
      <w:bookmarkEnd w:id="39"/>
    </w:p>
    <w:p w14:paraId="346CAB27" w14:textId="77777777" w:rsidR="00F66346" w:rsidRDefault="00F66346" w:rsidP="00F66346">
      <w:pPr>
        <w:spacing w:line="259" w:lineRule="auto"/>
        <w:jc w:val="left"/>
      </w:pPr>
      <w:r>
        <w:t>Дописать, после обработки</w:t>
      </w:r>
    </w:p>
    <w:p w14:paraId="508AC8E7" w14:textId="54305DF6" w:rsidR="005A1FB3" w:rsidRPr="005A1FB3" w:rsidRDefault="005A1FB3" w:rsidP="00CD1121">
      <w:pPr>
        <w:widowControl w:val="0"/>
        <w:spacing w:after="0"/>
      </w:pPr>
    </w:p>
    <w:p w14:paraId="7B0F534B" w14:textId="77777777" w:rsidR="007A32C5" w:rsidRDefault="007A32C5">
      <w:pPr>
        <w:spacing w:line="259" w:lineRule="auto"/>
        <w:jc w:val="left"/>
        <w:rPr>
          <w:rFonts w:eastAsiaTheme="majorEastAsia" w:cs="Times New Roman"/>
          <w:b/>
          <w:caps/>
          <w:szCs w:val="28"/>
        </w:rPr>
      </w:pPr>
      <w:r>
        <w:br w:type="page"/>
      </w:r>
    </w:p>
    <w:p w14:paraId="5317739D" w14:textId="5AF82519" w:rsidR="002246F6" w:rsidRDefault="002246F6" w:rsidP="00A334C7">
      <w:pPr>
        <w:pStyle w:val="2"/>
      </w:pPr>
      <w:bookmarkStart w:id="40" w:name="_Toc228326067"/>
      <w:r>
        <w:lastRenderedPageBreak/>
        <w:t>Заключение</w:t>
      </w:r>
      <w:bookmarkEnd w:id="40"/>
    </w:p>
    <w:p w14:paraId="47EED8A6" w14:textId="77777777" w:rsidR="00F66346" w:rsidRDefault="00F66346" w:rsidP="00F66346">
      <w:pPr>
        <w:spacing w:line="259" w:lineRule="auto"/>
        <w:jc w:val="left"/>
      </w:pPr>
      <w:r>
        <w:t>Дописать, после обработки</w:t>
      </w:r>
    </w:p>
    <w:p w14:paraId="4FB8B928" w14:textId="77777777" w:rsidR="007A32C5" w:rsidRPr="00124BDC" w:rsidRDefault="007A32C5" w:rsidP="007A32C5">
      <w:pPr>
        <w:widowControl w:val="0"/>
        <w:spacing w:after="0"/>
        <w:ind w:firstLine="709"/>
      </w:pPr>
    </w:p>
    <w:p w14:paraId="36EDB353" w14:textId="77777777" w:rsidR="007A32C5" w:rsidRDefault="007A32C5">
      <w:pPr>
        <w:spacing w:line="259" w:lineRule="auto"/>
        <w:jc w:val="left"/>
        <w:rPr>
          <w:rFonts w:eastAsiaTheme="majorEastAsia" w:cs="Times New Roman"/>
          <w:b/>
          <w:caps/>
          <w:szCs w:val="28"/>
        </w:rPr>
      </w:pPr>
      <w:r>
        <w:br w:type="page"/>
      </w:r>
    </w:p>
    <w:p w14:paraId="42831954" w14:textId="564D5EC2" w:rsidR="00DF758A" w:rsidRDefault="00DF758A" w:rsidP="00A334C7">
      <w:pPr>
        <w:pStyle w:val="2"/>
      </w:pPr>
      <w:bookmarkStart w:id="41" w:name="_Toc228326068"/>
      <w:r>
        <w:lastRenderedPageBreak/>
        <w:t>Список использованных источников</w:t>
      </w:r>
      <w:bookmarkEnd w:id="41"/>
    </w:p>
    <w:p w14:paraId="77200205" w14:textId="77777777" w:rsidR="007A32C5" w:rsidRPr="007A32C5" w:rsidRDefault="007A32C5" w:rsidP="007A32C5"/>
    <w:sdt>
      <w:sdtPr>
        <w:rPr>
          <w:color w:val="000000"/>
        </w:rPr>
        <w:tag w:val="MENDELEY_BIBLIOGRAPHY"/>
        <w:id w:val="-1242714432"/>
        <w:placeholder>
          <w:docPart w:val="DefaultPlaceholder_-1854013440"/>
        </w:placeholder>
      </w:sdtPr>
      <w:sdtEndPr/>
      <w:sdtContent>
        <w:p w14:paraId="0D769325" w14:textId="77777777" w:rsidR="00E52E35" w:rsidRPr="00E52E35" w:rsidRDefault="00E52E35" w:rsidP="00E52E35">
          <w:pPr>
            <w:widowControl w:val="0"/>
            <w:spacing w:after="0"/>
            <w:ind w:firstLine="709"/>
            <w:divId w:val="1101805661"/>
            <w:rPr>
              <w:color w:val="000000"/>
            </w:rPr>
          </w:pPr>
          <w:r>
            <w:rPr>
              <w:color w:val="000000"/>
            </w:rPr>
            <w:t># Список использованных источников</w:t>
          </w:r>
        </w:p>
        <w:p w14:paraId="18F7A997" w14:textId="77777777" w:rsidR="00E52E35" w:rsidRPr="00E52E35" w:rsidRDefault="00E52E35" w:rsidP="00E52E35">
          <w:pPr>
            <w:widowControl w:val="0"/>
            <w:spacing w:after="0"/>
            <w:ind w:firstLine="709"/>
            <w:divId w:val="1101805661"/>
            <w:rPr>
              <w:color w:val="000000"/>
            </w:rPr>
          </w:pPr>
        </w:p>
        <w:p w14:paraId="42939607" w14:textId="46DF79DC" w:rsidR="00E52E35" w:rsidRPr="00E52E35" w:rsidRDefault="00E52E35" w:rsidP="00E52E35">
          <w:pPr>
            <w:widowControl w:val="0"/>
            <w:spacing w:after="0"/>
            <w:ind w:firstLine="709"/>
            <w:divId w:val="1101805661"/>
            <w:rPr>
              <w:color w:val="000000"/>
              <w:lang w:val="en-US"/>
            </w:rPr>
          </w:pPr>
          <w:r>
            <w:rPr>
              <w:color w:val="000000"/>
              <w:lang w:val="en-US"/>
            </w:rPr>
            <w:t xml:space="preserve">1. Nagata A., Muro M., Moritani T., Yoshida T.. Anaerobic Threshold Determination by Blood Lactate and Myoelectric Signals // Japanese Journal of Physiology. – 1981. – </w:t>
          </w:r>
          <w:r>
            <w:rPr>
              <w:color w:val="000000"/>
            </w:rPr>
            <w:t>Т</w:t>
          </w:r>
          <w:r>
            <w:rPr>
              <w:color w:val="000000"/>
              <w:lang w:val="en-US"/>
            </w:rPr>
            <w:t xml:space="preserve">. 31. – </w:t>
          </w:r>
          <w:r>
            <w:rPr>
              <w:color w:val="000000"/>
            </w:rPr>
            <w:t>С</w:t>
          </w:r>
          <w:r>
            <w:rPr>
              <w:color w:val="000000"/>
              <w:lang w:val="en-US"/>
            </w:rPr>
            <w:t>. 585–597.</w:t>
          </w:r>
        </w:p>
        <w:p w14:paraId="25F34961" w14:textId="0652DA05" w:rsidR="00E52E35" w:rsidRPr="00E52E35" w:rsidRDefault="00E52E35" w:rsidP="00E52E35">
          <w:pPr>
            <w:widowControl w:val="0"/>
            <w:spacing w:after="0"/>
            <w:ind w:firstLine="709"/>
            <w:divId w:val="1101805661"/>
            <w:rPr>
              <w:color w:val="000000"/>
              <w:lang w:val="en-US"/>
            </w:rPr>
          </w:pPr>
          <w:r>
            <w:rPr>
              <w:color w:val="000000"/>
              <w:lang w:val="en-US"/>
            </w:rPr>
            <w:t xml:space="preserve">2. Bangsbo J., Johansen L., Graham T., Saltin B.. Lactate and H+ effluxes from human skeletal muscles during intense, dynamic exercise // Journal of Physiology. – 1993. – </w:t>
          </w:r>
          <w:r>
            <w:rPr>
              <w:color w:val="000000"/>
            </w:rPr>
            <w:t>Т</w:t>
          </w:r>
          <w:r>
            <w:rPr>
              <w:color w:val="000000"/>
              <w:lang w:val="en-US"/>
            </w:rPr>
            <w:t xml:space="preserve">. 462. – </w:t>
          </w:r>
          <w:r>
            <w:rPr>
              <w:color w:val="000000"/>
            </w:rPr>
            <w:t>С</w:t>
          </w:r>
          <w:r>
            <w:rPr>
              <w:color w:val="000000"/>
              <w:lang w:val="en-US"/>
            </w:rPr>
            <w:t>. 115–133.</w:t>
          </w:r>
        </w:p>
        <w:p w14:paraId="5F79942B" w14:textId="563A939A" w:rsidR="00E52E35" w:rsidRPr="00E52E35" w:rsidRDefault="00E52E35" w:rsidP="00E52E35">
          <w:pPr>
            <w:widowControl w:val="0"/>
            <w:spacing w:after="0"/>
            <w:ind w:firstLine="709"/>
            <w:divId w:val="1101805661"/>
            <w:rPr>
              <w:color w:val="000000"/>
              <w:lang w:val="en-US"/>
            </w:rPr>
          </w:pPr>
          <w:r>
            <w:rPr>
              <w:color w:val="000000"/>
              <w:lang w:val="en-US"/>
            </w:rPr>
            <w:t xml:space="preserve">3. Bonen A., McCullagh K.J.A., Putman C.T. </w:t>
          </w:r>
          <w:r>
            <w:rPr>
              <w:color w:val="000000"/>
            </w:rPr>
            <w:t>и</w:t>
          </w:r>
          <w:r>
            <w:rPr>
              <w:color w:val="000000"/>
              <w:lang w:val="en-US"/>
            </w:rPr>
            <w:t xml:space="preserve"> </w:t>
          </w:r>
          <w:r>
            <w:rPr>
              <w:color w:val="000000"/>
            </w:rPr>
            <w:t>др</w:t>
          </w:r>
          <w:r>
            <w:rPr>
              <w:color w:val="000000"/>
              <w:lang w:val="en-US"/>
            </w:rPr>
            <w:t xml:space="preserve">.. Short-term training increases human muscle MCT1 and femoral venous lactate in relation to muscle lactate // American Journal of Physiology – Endocrinology and Metabolism. – 1998. – </w:t>
          </w:r>
          <w:r>
            <w:rPr>
              <w:color w:val="000000"/>
            </w:rPr>
            <w:t>Т</w:t>
          </w:r>
          <w:r>
            <w:rPr>
              <w:color w:val="000000"/>
              <w:lang w:val="en-US"/>
            </w:rPr>
            <w:t xml:space="preserve">. 274. – № 1. – </w:t>
          </w:r>
          <w:r>
            <w:rPr>
              <w:color w:val="000000"/>
            </w:rPr>
            <w:t>С</w:t>
          </w:r>
          <w:r>
            <w:rPr>
              <w:color w:val="000000"/>
              <w:lang w:val="en-US"/>
            </w:rPr>
            <w:t>. E102–E107.</w:t>
          </w:r>
        </w:p>
        <w:p w14:paraId="740FF296" w14:textId="428AC8FC" w:rsidR="00E52E35" w:rsidRPr="00E52E35" w:rsidRDefault="00E52E35" w:rsidP="00E52E35">
          <w:pPr>
            <w:widowControl w:val="0"/>
            <w:spacing w:after="0"/>
            <w:ind w:firstLine="709"/>
            <w:divId w:val="1101805661"/>
            <w:rPr>
              <w:color w:val="000000"/>
              <w:lang w:val="en-US"/>
            </w:rPr>
          </w:pPr>
          <w:r>
            <w:rPr>
              <w:color w:val="000000"/>
              <w:lang w:val="en-US"/>
            </w:rPr>
            <w:t xml:space="preserve">4. MacLean D.A., Bangsbo J., Saltin B.. Muscle interstitial glucose and lactate levels during dynamic exercise in humans determined by microdialysis // Journal of Applied Physiology. – 1999. – </w:t>
          </w:r>
          <w:r>
            <w:rPr>
              <w:color w:val="000000"/>
            </w:rPr>
            <w:t>Т</w:t>
          </w:r>
          <w:r>
            <w:rPr>
              <w:color w:val="000000"/>
              <w:lang w:val="en-US"/>
            </w:rPr>
            <w:t xml:space="preserve">. 87. – № 4. – </w:t>
          </w:r>
          <w:r>
            <w:rPr>
              <w:color w:val="000000"/>
            </w:rPr>
            <w:t>С</w:t>
          </w:r>
          <w:r>
            <w:rPr>
              <w:color w:val="000000"/>
              <w:lang w:val="en-US"/>
            </w:rPr>
            <w:t>. 1483–1490.</w:t>
          </w:r>
        </w:p>
        <w:p w14:paraId="2C4515CB" w14:textId="6DB93FDE" w:rsidR="00E52E35" w:rsidRPr="00E52E35" w:rsidRDefault="00E52E35" w:rsidP="00E52E35">
          <w:pPr>
            <w:widowControl w:val="0"/>
            <w:spacing w:after="0"/>
            <w:ind w:firstLine="709"/>
            <w:divId w:val="1101805661"/>
            <w:rPr>
              <w:color w:val="000000"/>
              <w:lang w:val="en-US"/>
            </w:rPr>
          </w:pPr>
          <w:r>
            <w:rPr>
              <w:color w:val="000000"/>
              <w:lang w:val="en-US"/>
            </w:rPr>
            <w:t xml:space="preserve">5. van Hall G., Jensen-Urstad M., Rosdahl H. </w:t>
          </w:r>
          <w:r>
            <w:rPr>
              <w:color w:val="000000"/>
            </w:rPr>
            <w:t>и</w:t>
          </w:r>
          <w:r>
            <w:rPr>
              <w:color w:val="000000"/>
              <w:lang w:val="en-US"/>
            </w:rPr>
            <w:t xml:space="preserve"> </w:t>
          </w:r>
          <w:r>
            <w:rPr>
              <w:color w:val="000000"/>
            </w:rPr>
            <w:t>др</w:t>
          </w:r>
          <w:r>
            <w:rPr>
              <w:color w:val="000000"/>
              <w:lang w:val="en-US"/>
            </w:rPr>
            <w:t xml:space="preserve">.. Leg and arm lactate and substrate kinetics during exercise // American Journal of Physiology – Endocrinology and Metabolism. – 2003. – </w:t>
          </w:r>
          <w:r>
            <w:rPr>
              <w:color w:val="000000"/>
            </w:rPr>
            <w:t>Т</w:t>
          </w:r>
          <w:r>
            <w:rPr>
              <w:color w:val="000000"/>
              <w:lang w:val="en-US"/>
            </w:rPr>
            <w:t xml:space="preserve">. 284. – № 4. – </w:t>
          </w:r>
          <w:r>
            <w:rPr>
              <w:color w:val="000000"/>
            </w:rPr>
            <w:t>С</w:t>
          </w:r>
          <w:r>
            <w:rPr>
              <w:color w:val="000000"/>
              <w:lang w:val="en-US"/>
            </w:rPr>
            <w:t>. E193–E205. – DOI: 10.1152/ajpendo.00273.2002.</w:t>
          </w:r>
        </w:p>
        <w:p w14:paraId="51FD8F81" w14:textId="6BDBFF1A" w:rsidR="00E52E35" w:rsidRPr="00E52E35" w:rsidRDefault="00E52E35" w:rsidP="00E52E35">
          <w:pPr>
            <w:widowControl w:val="0"/>
            <w:spacing w:after="0"/>
            <w:ind w:firstLine="709"/>
            <w:divId w:val="1101805661"/>
            <w:rPr>
              <w:color w:val="000000"/>
              <w:lang w:val="en-US"/>
            </w:rPr>
          </w:pPr>
          <w:r>
            <w:rPr>
              <w:color w:val="000000"/>
              <w:lang w:val="en-US"/>
            </w:rPr>
            <w:t xml:space="preserve">6. Wang L., Yoshikawa T., Hara T. </w:t>
          </w:r>
          <w:r>
            <w:rPr>
              <w:color w:val="000000"/>
            </w:rPr>
            <w:t>и</w:t>
          </w:r>
          <w:r>
            <w:rPr>
              <w:color w:val="000000"/>
              <w:lang w:val="en-US"/>
            </w:rPr>
            <w:t xml:space="preserve"> </w:t>
          </w:r>
          <w:r>
            <w:rPr>
              <w:color w:val="000000"/>
            </w:rPr>
            <w:t>др</w:t>
          </w:r>
          <w:r>
            <w:rPr>
              <w:color w:val="000000"/>
              <w:lang w:val="en-US"/>
            </w:rPr>
            <w:t xml:space="preserve">.. Which common NIRS variable reflects muscle estimated lactate threshold most closely? // Applied Physiology, Nutrition, and Metabolism. – 2006. – </w:t>
          </w:r>
          <w:r>
            <w:rPr>
              <w:color w:val="000000"/>
            </w:rPr>
            <w:t>Т</w:t>
          </w:r>
          <w:r>
            <w:rPr>
              <w:color w:val="000000"/>
              <w:lang w:val="en-US"/>
            </w:rPr>
            <w:t xml:space="preserve">. 31. – № 5. – </w:t>
          </w:r>
          <w:r>
            <w:rPr>
              <w:color w:val="000000"/>
            </w:rPr>
            <w:t>С</w:t>
          </w:r>
          <w:r>
            <w:rPr>
              <w:color w:val="000000"/>
              <w:lang w:val="en-US"/>
            </w:rPr>
            <w:t>. 612–620. – DOI: 10.1139/H06-069.</w:t>
          </w:r>
        </w:p>
        <w:p w14:paraId="7EB11AF1" w14:textId="71D67012" w:rsidR="00E52E35" w:rsidRPr="00E52E35" w:rsidRDefault="00E52E35" w:rsidP="00E52E35">
          <w:pPr>
            <w:widowControl w:val="0"/>
            <w:spacing w:after="0"/>
            <w:ind w:firstLine="709"/>
            <w:divId w:val="1101805661"/>
            <w:rPr>
              <w:color w:val="000000"/>
              <w:lang w:val="en-US"/>
            </w:rPr>
          </w:pPr>
          <w:r>
            <w:rPr>
              <w:color w:val="000000"/>
              <w:lang w:val="en-US"/>
            </w:rPr>
            <w:t xml:space="preserve">7. Messonnier L.A., Emhoff C.-A.W., Fattor J.A. </w:t>
          </w:r>
          <w:r>
            <w:rPr>
              <w:color w:val="000000"/>
            </w:rPr>
            <w:t>и</w:t>
          </w:r>
          <w:r>
            <w:rPr>
              <w:color w:val="000000"/>
              <w:lang w:val="en-US"/>
            </w:rPr>
            <w:t xml:space="preserve"> </w:t>
          </w:r>
          <w:r>
            <w:rPr>
              <w:color w:val="000000"/>
            </w:rPr>
            <w:t>др</w:t>
          </w:r>
          <w:r>
            <w:rPr>
              <w:color w:val="000000"/>
              <w:lang w:val="en-US"/>
            </w:rPr>
            <w:t xml:space="preserve">.. Lactate kinetics at the lactate threshold in trained and untrained men // Journal of Applied Physiology. – 2013. – </w:t>
          </w:r>
          <w:r>
            <w:rPr>
              <w:color w:val="000000"/>
            </w:rPr>
            <w:t>Т</w:t>
          </w:r>
          <w:r>
            <w:rPr>
              <w:color w:val="000000"/>
              <w:lang w:val="en-US"/>
            </w:rPr>
            <w:t xml:space="preserve">. 114. – № 11. – </w:t>
          </w:r>
          <w:r>
            <w:rPr>
              <w:color w:val="000000"/>
            </w:rPr>
            <w:t>С</w:t>
          </w:r>
          <w:r>
            <w:rPr>
              <w:color w:val="000000"/>
              <w:lang w:val="en-US"/>
            </w:rPr>
            <w:t>. 1593–1602. – DOI: 10.1152/japplphysiol.00043.2013.</w:t>
          </w:r>
        </w:p>
        <w:p w14:paraId="03B57A12" w14:textId="47741E19" w:rsidR="00E52E35" w:rsidRPr="00E52E35" w:rsidRDefault="00E52E35" w:rsidP="00E52E35">
          <w:pPr>
            <w:widowControl w:val="0"/>
            <w:spacing w:after="0"/>
            <w:ind w:firstLine="709"/>
            <w:divId w:val="1101805661"/>
            <w:rPr>
              <w:color w:val="000000"/>
              <w:lang w:val="en-US"/>
            </w:rPr>
          </w:pPr>
          <w:r>
            <w:rPr>
              <w:color w:val="000000"/>
              <w:lang w:val="en-US"/>
            </w:rPr>
            <w:t xml:space="preserve">8. Racinais S., Buchheit M., Girard O.. Breakpoints in ventilation, cerebral and muscle oxygenation, and muscle activity during an incremental cycling exercise </w:t>
          </w:r>
          <w:r>
            <w:rPr>
              <w:color w:val="000000"/>
              <w:lang w:val="en-US"/>
            </w:rPr>
            <w:lastRenderedPageBreak/>
            <w:t xml:space="preserve">// Frontiers in Physiology. – 2014. – </w:t>
          </w:r>
          <w:r>
            <w:rPr>
              <w:color w:val="000000"/>
            </w:rPr>
            <w:t>Т</w:t>
          </w:r>
          <w:r>
            <w:rPr>
              <w:color w:val="000000"/>
              <w:lang w:val="en-US"/>
            </w:rPr>
            <w:t xml:space="preserve">. 5. – </w:t>
          </w:r>
          <w:r>
            <w:rPr>
              <w:color w:val="000000"/>
            </w:rPr>
            <w:t>С</w:t>
          </w:r>
          <w:r>
            <w:rPr>
              <w:color w:val="000000"/>
              <w:lang w:val="en-US"/>
            </w:rPr>
            <w:t>. 142. – DOI: 10.3389/fphys.2014.00142.</w:t>
          </w:r>
        </w:p>
        <w:p w14:paraId="231905F9" w14:textId="793D80E9" w:rsidR="00E52E35" w:rsidRPr="00E52E35" w:rsidRDefault="00E52E35" w:rsidP="00E52E35">
          <w:pPr>
            <w:widowControl w:val="0"/>
            <w:spacing w:after="0"/>
            <w:ind w:firstLine="709"/>
            <w:divId w:val="1101805661"/>
            <w:rPr>
              <w:color w:val="000000"/>
              <w:lang w:val="en-US"/>
            </w:rPr>
          </w:pPr>
          <w:r>
            <w:rPr>
              <w:color w:val="000000"/>
              <w:lang w:val="en-US"/>
            </w:rPr>
            <w:t xml:space="preserve">9. Wang G., Zhang Y., Wang Y.. The Analysis of Surface EMG Signals with the Wavelet-Based Correlation Dimension Method // Computational and Mathematical Methods in Medicine. – 2014. – </w:t>
          </w:r>
          <w:r>
            <w:rPr>
              <w:color w:val="000000"/>
            </w:rPr>
            <w:t>Т</w:t>
          </w:r>
          <w:r>
            <w:rPr>
              <w:color w:val="000000"/>
              <w:lang w:val="en-US"/>
            </w:rPr>
            <w:t xml:space="preserve">. 2014. – </w:t>
          </w:r>
          <w:r>
            <w:rPr>
              <w:color w:val="000000"/>
            </w:rPr>
            <w:t>С</w:t>
          </w:r>
          <w:r>
            <w:rPr>
              <w:color w:val="000000"/>
              <w:lang w:val="en-US"/>
            </w:rPr>
            <w:t>. 284308. – DOI: 10.1155/2014/284308.</w:t>
          </w:r>
        </w:p>
        <w:p w14:paraId="2D290F38" w14:textId="02135499" w:rsidR="00E52E35" w:rsidRPr="00E52E35" w:rsidRDefault="00E52E35" w:rsidP="00E52E35">
          <w:pPr>
            <w:widowControl w:val="0"/>
            <w:spacing w:after="0"/>
            <w:ind w:firstLine="709"/>
            <w:divId w:val="1101805661"/>
            <w:rPr>
              <w:color w:val="000000"/>
              <w:lang w:val="en-US"/>
            </w:rPr>
          </w:pPr>
          <w:r>
            <w:rPr>
              <w:color w:val="000000"/>
              <w:lang w:val="en-US"/>
            </w:rPr>
            <w:t xml:space="preserve">10. Graham R.B., Wachowiak M.P., Gurd B.J.. The Assessment of Muscular Effort, Fatigue, and Physiological Adaptation Using EMG and Wavelet Analysis // PLOS ONE. – 2015. – </w:t>
          </w:r>
          <w:r>
            <w:rPr>
              <w:color w:val="000000"/>
            </w:rPr>
            <w:t>Т</w:t>
          </w:r>
          <w:r>
            <w:rPr>
              <w:color w:val="000000"/>
              <w:lang w:val="en-US"/>
            </w:rPr>
            <w:t xml:space="preserve">. 10. – № 8. – </w:t>
          </w:r>
          <w:r>
            <w:rPr>
              <w:color w:val="000000"/>
            </w:rPr>
            <w:t>С</w:t>
          </w:r>
          <w:r>
            <w:rPr>
              <w:color w:val="000000"/>
              <w:lang w:val="en-US"/>
            </w:rPr>
            <w:t>. e0135069. – DOI: 10.1371/journal.pone.0135069.</w:t>
          </w:r>
        </w:p>
        <w:p w14:paraId="0D4F80C5" w14:textId="2C1033B1" w:rsidR="00E52E35" w:rsidRPr="00E52E35" w:rsidRDefault="00E52E35" w:rsidP="00E52E35">
          <w:pPr>
            <w:widowControl w:val="0"/>
            <w:spacing w:after="0"/>
            <w:ind w:firstLine="709"/>
            <w:divId w:val="1101805661"/>
            <w:rPr>
              <w:color w:val="000000"/>
              <w:lang w:val="en-US"/>
            </w:rPr>
          </w:pPr>
          <w:r>
            <w:rPr>
              <w:color w:val="000000"/>
              <w:lang w:val="en-US"/>
            </w:rPr>
            <w:t xml:space="preserve">11. Kominami K., Nishijima T., Okamoto T. </w:t>
          </w:r>
          <w:r>
            <w:rPr>
              <w:color w:val="000000"/>
            </w:rPr>
            <w:t>и</w:t>
          </w:r>
          <w:r>
            <w:rPr>
              <w:color w:val="000000"/>
              <w:lang w:val="en-US"/>
            </w:rPr>
            <w:t xml:space="preserve"> </w:t>
          </w:r>
          <w:r>
            <w:rPr>
              <w:color w:val="000000"/>
            </w:rPr>
            <w:t>др</w:t>
          </w:r>
          <w:r>
            <w:rPr>
              <w:color w:val="000000"/>
              <w:lang w:val="en-US"/>
            </w:rPr>
            <w:t xml:space="preserve">.. Very Early Lactate Threshold in Healthy Young Men as Related to Oxygen Uptake Kinetics // Medicine. – 2015. – </w:t>
          </w:r>
          <w:r>
            <w:rPr>
              <w:color w:val="000000"/>
            </w:rPr>
            <w:t>Т</w:t>
          </w:r>
          <w:r>
            <w:rPr>
              <w:color w:val="000000"/>
              <w:lang w:val="en-US"/>
            </w:rPr>
            <w:t xml:space="preserve">. 94. – № 37. – </w:t>
          </w:r>
          <w:r>
            <w:rPr>
              <w:color w:val="000000"/>
            </w:rPr>
            <w:t>С</w:t>
          </w:r>
          <w:r>
            <w:rPr>
              <w:color w:val="000000"/>
              <w:lang w:val="en-US"/>
            </w:rPr>
            <w:t>. e1559. – DOI: 10.1097/MD.0000000000001559.</w:t>
          </w:r>
        </w:p>
        <w:p w14:paraId="6367A56D" w14:textId="39CA9E7B" w:rsidR="00E52E35" w:rsidRPr="00E52E35" w:rsidRDefault="00E52E35" w:rsidP="00E52E35">
          <w:pPr>
            <w:widowControl w:val="0"/>
            <w:spacing w:after="0"/>
            <w:ind w:firstLine="709"/>
            <w:divId w:val="1101805661"/>
            <w:rPr>
              <w:color w:val="000000"/>
              <w:lang w:val="en-US"/>
            </w:rPr>
          </w:pPr>
          <w:r>
            <w:rPr>
              <w:color w:val="000000"/>
              <w:lang w:val="en-US"/>
            </w:rPr>
            <w:t xml:space="preserve">12. Driller M., Williams A., Bellinger P., Cabell A., Argus C.. Evaluating a new wearable lactate threshold sensor in recreational to highly trained cyclists // Sports Engineering. – 2016. – </w:t>
          </w:r>
          <w:r>
            <w:rPr>
              <w:color w:val="000000"/>
            </w:rPr>
            <w:t>Т</w:t>
          </w:r>
          <w:r>
            <w:rPr>
              <w:color w:val="000000"/>
              <w:lang w:val="en-US"/>
            </w:rPr>
            <w:t xml:space="preserve">. 19. – № 3. – </w:t>
          </w:r>
          <w:r>
            <w:rPr>
              <w:color w:val="000000"/>
            </w:rPr>
            <w:t>С</w:t>
          </w:r>
          <w:r>
            <w:rPr>
              <w:color w:val="000000"/>
              <w:lang w:val="en-US"/>
            </w:rPr>
            <w:t>. 229–235. – DOI: 10.1007/s12283-016-0198-6.</w:t>
          </w:r>
        </w:p>
        <w:p w14:paraId="50F2FB06" w14:textId="266A9E8A" w:rsidR="00E52E35" w:rsidRPr="00E52E35" w:rsidRDefault="00E52E35" w:rsidP="00E52E35">
          <w:pPr>
            <w:widowControl w:val="0"/>
            <w:spacing w:after="0"/>
            <w:ind w:firstLine="709"/>
            <w:divId w:val="1101805661"/>
            <w:rPr>
              <w:color w:val="000000"/>
              <w:lang w:val="en-US"/>
            </w:rPr>
          </w:pPr>
          <w:r>
            <w:rPr>
              <w:color w:val="000000"/>
              <w:lang w:val="en-US"/>
            </w:rPr>
            <w:t xml:space="preserve">13. van der Zwaard S., Jaspers R.T., Blokland I.J. </w:t>
          </w:r>
          <w:r>
            <w:rPr>
              <w:color w:val="000000"/>
            </w:rPr>
            <w:t>и</w:t>
          </w:r>
          <w:r>
            <w:rPr>
              <w:color w:val="000000"/>
              <w:lang w:val="en-US"/>
            </w:rPr>
            <w:t xml:space="preserve"> </w:t>
          </w:r>
          <w:r>
            <w:rPr>
              <w:color w:val="000000"/>
            </w:rPr>
            <w:t>др</w:t>
          </w:r>
          <w:r>
            <w:rPr>
              <w:color w:val="000000"/>
              <w:lang w:val="en-US"/>
            </w:rPr>
            <w:t xml:space="preserve">.. Oxygenation threshold derived from near-infrared spectroscopy: reliability and its relationship with the first ventilatory threshold // PLOS ONE. – 2016. – </w:t>
          </w:r>
          <w:r>
            <w:rPr>
              <w:color w:val="000000"/>
            </w:rPr>
            <w:t>Т</w:t>
          </w:r>
          <w:r>
            <w:rPr>
              <w:color w:val="000000"/>
              <w:lang w:val="en-US"/>
            </w:rPr>
            <w:t xml:space="preserve">. 11. – № 9. – </w:t>
          </w:r>
          <w:r>
            <w:rPr>
              <w:color w:val="000000"/>
            </w:rPr>
            <w:t>С</w:t>
          </w:r>
          <w:r>
            <w:rPr>
              <w:color w:val="000000"/>
              <w:lang w:val="en-US"/>
            </w:rPr>
            <w:t>. e0162914. – DOI: 10.1371/journal.pone.0162914.</w:t>
          </w:r>
        </w:p>
        <w:p w14:paraId="3134FDE5" w14:textId="76788B13" w:rsidR="00E52E35" w:rsidRPr="00E52E35" w:rsidRDefault="00E52E35" w:rsidP="00E52E35">
          <w:pPr>
            <w:widowControl w:val="0"/>
            <w:spacing w:after="0"/>
            <w:ind w:firstLine="709"/>
            <w:divId w:val="1101805661"/>
            <w:rPr>
              <w:color w:val="000000"/>
              <w:lang w:val="en-US"/>
            </w:rPr>
          </w:pPr>
          <w:r>
            <w:rPr>
              <w:color w:val="000000"/>
              <w:lang w:val="en-US"/>
            </w:rPr>
            <w:t xml:space="preserve">14. Coquart J.B., Dufour R., Groslambert A., Mucci P.. Gas exchange threshold and muscle oxygenation inflection point during a ramp incremental exercise test // Journal of Sports Medicine and Physical Fitness. – 2017. – </w:t>
          </w:r>
          <w:r>
            <w:rPr>
              <w:color w:val="000000"/>
            </w:rPr>
            <w:t>Т</w:t>
          </w:r>
          <w:r>
            <w:rPr>
              <w:color w:val="000000"/>
              <w:lang w:val="en-US"/>
            </w:rPr>
            <w:t xml:space="preserve">. 57. – № 5. – </w:t>
          </w:r>
          <w:r>
            <w:rPr>
              <w:color w:val="000000"/>
            </w:rPr>
            <w:t>С</w:t>
          </w:r>
          <w:r>
            <w:rPr>
              <w:color w:val="000000"/>
              <w:lang w:val="en-US"/>
            </w:rPr>
            <w:t>. 581–588. – DOI: 10.23736/S0022-4707.16.06053-9.</w:t>
          </w:r>
        </w:p>
        <w:p w14:paraId="7D24C909" w14:textId="1D55884C" w:rsidR="00E52E35" w:rsidRPr="00E52E35" w:rsidRDefault="00E52E35" w:rsidP="00E52E35">
          <w:pPr>
            <w:widowControl w:val="0"/>
            <w:spacing w:after="0"/>
            <w:ind w:firstLine="709"/>
            <w:divId w:val="1101805661"/>
            <w:rPr>
              <w:color w:val="000000"/>
              <w:lang w:val="en-US"/>
            </w:rPr>
          </w:pPr>
          <w:r>
            <w:rPr>
              <w:color w:val="000000"/>
              <w:lang w:val="en-US"/>
            </w:rPr>
            <w:t xml:space="preserve">15. Farzam P., Starkweather Z., Cheng X. </w:t>
          </w:r>
          <w:r>
            <w:rPr>
              <w:color w:val="000000"/>
            </w:rPr>
            <w:t>и</w:t>
          </w:r>
          <w:r>
            <w:rPr>
              <w:color w:val="000000"/>
              <w:lang w:val="en-US"/>
            </w:rPr>
            <w:t xml:space="preserve"> </w:t>
          </w:r>
          <w:r>
            <w:rPr>
              <w:color w:val="000000"/>
            </w:rPr>
            <w:t>др</w:t>
          </w:r>
          <w:r>
            <w:rPr>
              <w:color w:val="000000"/>
              <w:lang w:val="en-US"/>
            </w:rPr>
            <w:t xml:space="preserve">.. Validation of a novel wearable, wireless technology to estimate oxygen levels and lactate threshold power in the exercising muscle // Physiological Reports. – 2018. – </w:t>
          </w:r>
          <w:r>
            <w:rPr>
              <w:color w:val="000000"/>
            </w:rPr>
            <w:t>Т</w:t>
          </w:r>
          <w:r>
            <w:rPr>
              <w:color w:val="000000"/>
              <w:lang w:val="en-US"/>
            </w:rPr>
            <w:t xml:space="preserve">. 6. – № 7. – </w:t>
          </w:r>
          <w:r>
            <w:rPr>
              <w:color w:val="000000"/>
            </w:rPr>
            <w:t>С</w:t>
          </w:r>
          <w:r>
            <w:rPr>
              <w:color w:val="000000"/>
              <w:lang w:val="en-US"/>
            </w:rPr>
            <w:t>. e13664. – DOI: 10.14814/phy2.13664.</w:t>
          </w:r>
        </w:p>
        <w:p w14:paraId="718A3D02" w14:textId="755A86A6" w:rsidR="00E52E35" w:rsidRPr="00E52E35" w:rsidRDefault="00E52E35" w:rsidP="00E52E35">
          <w:pPr>
            <w:widowControl w:val="0"/>
            <w:spacing w:after="0"/>
            <w:ind w:firstLine="709"/>
            <w:divId w:val="1101805661"/>
            <w:rPr>
              <w:color w:val="000000"/>
              <w:lang w:val="en-US"/>
            </w:rPr>
          </w:pPr>
          <w:r>
            <w:rPr>
              <w:color w:val="000000"/>
              <w:lang w:val="en-US"/>
            </w:rPr>
            <w:lastRenderedPageBreak/>
            <w:t xml:space="preserve">16. Wang L., Liu X.. A Comparative Study of EMG Indices in Muscle Fatigue Evaluation Based on Grey Relational Analysis during All-Out Cycling Exercise // BioMed Research International. – 2018. – </w:t>
          </w:r>
          <w:r>
            <w:rPr>
              <w:color w:val="000000"/>
            </w:rPr>
            <w:t>Т</w:t>
          </w:r>
          <w:r>
            <w:rPr>
              <w:color w:val="000000"/>
              <w:lang w:val="en-US"/>
            </w:rPr>
            <w:t xml:space="preserve">. 2018. – </w:t>
          </w:r>
          <w:r>
            <w:rPr>
              <w:color w:val="000000"/>
            </w:rPr>
            <w:t>С</w:t>
          </w:r>
          <w:r>
            <w:rPr>
              <w:color w:val="000000"/>
              <w:lang w:val="en-US"/>
            </w:rPr>
            <w:t>. 9341215. – DOI: 10.1155/2018/9341215.</w:t>
          </w:r>
        </w:p>
        <w:p w14:paraId="20169AD4" w14:textId="5E29E05A" w:rsidR="00E52E35" w:rsidRPr="00E52E35" w:rsidRDefault="00E52E35" w:rsidP="00E52E35">
          <w:pPr>
            <w:widowControl w:val="0"/>
            <w:spacing w:after="0"/>
            <w:ind w:firstLine="709"/>
            <w:divId w:val="1101805661"/>
            <w:rPr>
              <w:color w:val="000000"/>
              <w:lang w:val="en-US"/>
            </w:rPr>
          </w:pPr>
          <w:r>
            <w:rPr>
              <w:color w:val="000000"/>
              <w:lang w:val="en-US"/>
            </w:rPr>
            <w:t xml:space="preserve">17. Popov D.V., Vinogradova O.L.. Muscle-specific evaluation of anaerobic threshold in humans // Human Physiology. – 2019. – </w:t>
          </w:r>
          <w:r>
            <w:rPr>
              <w:color w:val="000000"/>
            </w:rPr>
            <w:t>Т</w:t>
          </w:r>
          <w:r>
            <w:rPr>
              <w:color w:val="000000"/>
              <w:lang w:val="en-US"/>
            </w:rPr>
            <w:t xml:space="preserve">. 45. – № 2. – </w:t>
          </w:r>
          <w:r>
            <w:rPr>
              <w:color w:val="000000"/>
            </w:rPr>
            <w:t>С</w:t>
          </w:r>
          <w:r>
            <w:rPr>
              <w:color w:val="000000"/>
              <w:lang w:val="en-US"/>
            </w:rPr>
            <w:t>. 184–189. – DOI: 10.1134/S0362119719020087.</w:t>
          </w:r>
        </w:p>
        <w:p w14:paraId="5D5140E2" w14:textId="6AAB2B00" w:rsidR="00E52E35" w:rsidRPr="00E52E35" w:rsidRDefault="00E52E35" w:rsidP="00E52E35">
          <w:pPr>
            <w:widowControl w:val="0"/>
            <w:spacing w:after="0"/>
            <w:ind w:firstLine="709"/>
            <w:divId w:val="1101805661"/>
            <w:rPr>
              <w:color w:val="000000"/>
            </w:rPr>
          </w:pPr>
          <w:r>
            <w:rPr>
              <w:color w:val="000000"/>
            </w:rPr>
            <w:t>18. Попов Д.В., Кузнецов С.С.. Валидация метода для оценки анаэробного порога в работающей мышце // Физиология человека. – 2019. – Т. 45. – № 2. – С. 70–77. – DOI: 10.1134/S0131164619020085.</w:t>
          </w:r>
        </w:p>
        <w:p w14:paraId="6AD7904C" w14:textId="439D8A86" w:rsidR="00E52E35" w:rsidRPr="00E52E35" w:rsidRDefault="00E52E35" w:rsidP="00E52E35">
          <w:pPr>
            <w:widowControl w:val="0"/>
            <w:spacing w:after="0"/>
            <w:ind w:firstLine="709"/>
            <w:divId w:val="1101805661"/>
            <w:rPr>
              <w:color w:val="000000"/>
              <w:lang w:val="en-US"/>
            </w:rPr>
          </w:pPr>
          <w:r>
            <w:rPr>
              <w:color w:val="000000"/>
              <w:lang w:val="en-US"/>
            </w:rPr>
            <w:t xml:space="preserve">19. Fasching M., Rinnerhofer S., Philipp W., Bauer R.. The First Lactate Threshold Is a Limit for Heavy Work and Corresponds to a Typical Feature in Oxygen Kinetics // Journal of Functional Morphology and Kinesiology. – 2020. – </w:t>
          </w:r>
          <w:r>
            <w:rPr>
              <w:color w:val="000000"/>
            </w:rPr>
            <w:t>Т</w:t>
          </w:r>
          <w:r>
            <w:rPr>
              <w:color w:val="000000"/>
              <w:lang w:val="en-US"/>
            </w:rPr>
            <w:t xml:space="preserve">. 5. – № 3. – </w:t>
          </w:r>
          <w:r>
            <w:rPr>
              <w:color w:val="000000"/>
            </w:rPr>
            <w:t>С</w:t>
          </w:r>
          <w:r>
            <w:rPr>
              <w:color w:val="000000"/>
              <w:lang w:val="en-US"/>
            </w:rPr>
            <w:t>. 66. – DOI: 10.3390/jfmk5030066.</w:t>
          </w:r>
        </w:p>
        <w:p w14:paraId="0A80A1EE" w14:textId="66377FA6" w:rsidR="00E52E35" w:rsidRPr="00E52E35" w:rsidRDefault="00E52E35" w:rsidP="00E52E35">
          <w:pPr>
            <w:widowControl w:val="0"/>
            <w:spacing w:after="0"/>
            <w:ind w:firstLine="709"/>
            <w:divId w:val="1101805661"/>
            <w:rPr>
              <w:color w:val="000000"/>
              <w:lang w:val="en-US"/>
            </w:rPr>
          </w:pPr>
          <w:r>
            <w:rPr>
              <w:color w:val="000000"/>
              <w:lang w:val="en-US"/>
            </w:rPr>
            <w:t xml:space="preserve">20. Lin C.-W., Huang S.-C., Liu W.-C. </w:t>
          </w:r>
          <w:r>
            <w:rPr>
              <w:color w:val="000000"/>
            </w:rPr>
            <w:t>и</w:t>
          </w:r>
          <w:r>
            <w:rPr>
              <w:color w:val="000000"/>
              <w:lang w:val="en-US"/>
            </w:rPr>
            <w:t xml:space="preserve"> </w:t>
          </w:r>
          <w:r>
            <w:rPr>
              <w:color w:val="000000"/>
            </w:rPr>
            <w:t>др</w:t>
          </w:r>
          <w:r>
            <w:rPr>
              <w:color w:val="000000"/>
              <w:lang w:val="en-US"/>
            </w:rPr>
            <w:t xml:space="preserve">.. Detection of Ventilatory Thresholds using Near-Infrared Spectroscopy with a Polynomial Regression Model // Saudi Journal of Biological Sciences. – 2020. – </w:t>
          </w:r>
          <w:r>
            <w:rPr>
              <w:color w:val="000000"/>
            </w:rPr>
            <w:t>Т</w:t>
          </w:r>
          <w:r>
            <w:rPr>
              <w:color w:val="000000"/>
              <w:lang w:val="en-US"/>
            </w:rPr>
            <w:t xml:space="preserve">. 27. – № 9. – </w:t>
          </w:r>
          <w:r>
            <w:rPr>
              <w:color w:val="000000"/>
            </w:rPr>
            <w:t>С</w:t>
          </w:r>
          <w:r>
            <w:rPr>
              <w:color w:val="000000"/>
              <w:lang w:val="en-US"/>
            </w:rPr>
            <w:t>. 2388–2394. – DOI: 10.1016/j.sjbs.2020.03.005.</w:t>
          </w:r>
        </w:p>
        <w:p w14:paraId="0037E62C" w14:textId="4B36A9D8" w:rsidR="00E52E35" w:rsidRPr="00E52E35" w:rsidRDefault="00E52E35" w:rsidP="00E52E35">
          <w:pPr>
            <w:widowControl w:val="0"/>
            <w:spacing w:after="0"/>
            <w:ind w:firstLine="709"/>
            <w:divId w:val="1101805661"/>
            <w:rPr>
              <w:color w:val="000000"/>
              <w:lang w:val="en-US"/>
            </w:rPr>
          </w:pPr>
          <w:r>
            <w:rPr>
              <w:color w:val="000000"/>
              <w:lang w:val="en-US"/>
            </w:rPr>
            <w:t xml:space="preserve">21. Miura K., Seki T., Tanaka R.. Feasibility of the deep learning method for estimating the ventilatory threshold with electrocardiography data // npj Digital Medicine. – 2020. – </w:t>
          </w:r>
          <w:r>
            <w:rPr>
              <w:color w:val="000000"/>
            </w:rPr>
            <w:t>Т</w:t>
          </w:r>
          <w:r>
            <w:rPr>
              <w:color w:val="000000"/>
              <w:lang w:val="en-US"/>
            </w:rPr>
            <w:t xml:space="preserve">. 3. – № 1. – </w:t>
          </w:r>
          <w:r>
            <w:rPr>
              <w:color w:val="000000"/>
            </w:rPr>
            <w:t>С</w:t>
          </w:r>
          <w:r>
            <w:rPr>
              <w:color w:val="000000"/>
              <w:lang w:val="en-US"/>
            </w:rPr>
            <w:t>. 141. – DOI: 10.1038/s41746-020-00348-6.</w:t>
          </w:r>
        </w:p>
        <w:p w14:paraId="57CF22BB" w14:textId="62EE32D4" w:rsidR="00E52E35" w:rsidRPr="00E52E35" w:rsidRDefault="00E52E35" w:rsidP="00E52E35">
          <w:pPr>
            <w:widowControl w:val="0"/>
            <w:spacing w:after="0"/>
            <w:ind w:firstLine="709"/>
            <w:divId w:val="1101805661"/>
            <w:rPr>
              <w:color w:val="000000"/>
              <w:lang w:val="en-US"/>
            </w:rPr>
          </w:pPr>
          <w:r>
            <w:rPr>
              <w:color w:val="000000"/>
              <w:lang w:val="en-US"/>
            </w:rPr>
            <w:t xml:space="preserve">22. Tsinganos P., Cornelis B., Cornelis J. </w:t>
          </w:r>
          <w:r>
            <w:rPr>
              <w:color w:val="000000"/>
            </w:rPr>
            <w:t>и</w:t>
          </w:r>
          <w:r>
            <w:rPr>
              <w:color w:val="000000"/>
              <w:lang w:val="en-US"/>
            </w:rPr>
            <w:t xml:space="preserve"> </w:t>
          </w:r>
          <w:r>
            <w:rPr>
              <w:color w:val="000000"/>
            </w:rPr>
            <w:t>др</w:t>
          </w:r>
          <w:r>
            <w:rPr>
              <w:color w:val="000000"/>
              <w:lang w:val="en-US"/>
            </w:rPr>
            <w:t xml:space="preserve">.. Data Augmentation of Surface Electromyography for Hand Gesture Recognition // Sensors. – 2020. – </w:t>
          </w:r>
          <w:r>
            <w:rPr>
              <w:color w:val="000000"/>
            </w:rPr>
            <w:t>Т</w:t>
          </w:r>
          <w:r>
            <w:rPr>
              <w:color w:val="000000"/>
              <w:lang w:val="en-US"/>
            </w:rPr>
            <w:t xml:space="preserve">. 20. – № 17. – </w:t>
          </w:r>
          <w:r>
            <w:rPr>
              <w:color w:val="000000"/>
            </w:rPr>
            <w:t>С</w:t>
          </w:r>
          <w:r>
            <w:rPr>
              <w:color w:val="000000"/>
              <w:lang w:val="en-US"/>
            </w:rPr>
            <w:t>. 4892. – DOI: 10.3390/s20174892.</w:t>
          </w:r>
        </w:p>
        <w:p w14:paraId="47B09D64" w14:textId="37209458" w:rsidR="00E52E35" w:rsidRPr="00E52E35" w:rsidRDefault="00E52E35" w:rsidP="00E52E35">
          <w:pPr>
            <w:widowControl w:val="0"/>
            <w:spacing w:after="0"/>
            <w:ind w:firstLine="709"/>
            <w:divId w:val="1101805661"/>
            <w:rPr>
              <w:color w:val="000000"/>
              <w:lang w:val="en-US"/>
            </w:rPr>
          </w:pPr>
          <w:r>
            <w:rPr>
              <w:color w:val="000000"/>
              <w:lang w:val="en-US"/>
            </w:rPr>
            <w:t xml:space="preserve">23. Amelard R., Sless T.Y., Maki K.A. </w:t>
          </w:r>
          <w:r>
            <w:rPr>
              <w:color w:val="000000"/>
            </w:rPr>
            <w:t>и</w:t>
          </w:r>
          <w:r>
            <w:rPr>
              <w:color w:val="000000"/>
              <w:lang w:val="en-US"/>
            </w:rPr>
            <w:t xml:space="preserve"> </w:t>
          </w:r>
          <w:r>
            <w:rPr>
              <w:color w:val="000000"/>
            </w:rPr>
            <w:t>др</w:t>
          </w:r>
          <w:r>
            <w:rPr>
              <w:color w:val="000000"/>
              <w:lang w:val="en-US"/>
            </w:rPr>
            <w:t xml:space="preserve">.. Temporal convolutional networks predict dynamic oxygen uptake response from wearable sensors across exercise intensity transitions // npj Digital Medicine. – 2021. – </w:t>
          </w:r>
          <w:r>
            <w:rPr>
              <w:color w:val="000000"/>
            </w:rPr>
            <w:t>Т</w:t>
          </w:r>
          <w:r>
            <w:rPr>
              <w:color w:val="000000"/>
              <w:lang w:val="en-US"/>
            </w:rPr>
            <w:t xml:space="preserve">. 4. – № 1. – </w:t>
          </w:r>
          <w:r>
            <w:rPr>
              <w:color w:val="000000"/>
            </w:rPr>
            <w:t>С</w:t>
          </w:r>
          <w:r>
            <w:rPr>
              <w:color w:val="000000"/>
              <w:lang w:val="en-US"/>
            </w:rPr>
            <w:t>. 156. – DOI: 10.1038/s41746-021-00531-3.</w:t>
          </w:r>
        </w:p>
        <w:p w14:paraId="68AA6DB8" w14:textId="77E7D526" w:rsidR="00E52E35" w:rsidRPr="00E52E35" w:rsidRDefault="00E52E35" w:rsidP="00E52E35">
          <w:pPr>
            <w:widowControl w:val="0"/>
            <w:spacing w:after="0"/>
            <w:ind w:firstLine="709"/>
            <w:divId w:val="1101805661"/>
            <w:rPr>
              <w:color w:val="000000"/>
              <w:lang w:val="en-US"/>
            </w:rPr>
          </w:pPr>
          <w:r>
            <w:rPr>
              <w:color w:val="000000"/>
              <w:lang w:val="en-US"/>
            </w:rPr>
            <w:t xml:space="preserve">24. Cayot T.E., Robinson S.J., Fahs C.A.. Estimating the Lactate Threshold Using Wireless Near-Infrared Spectroscopy and Threshold Detection Algorithms // </w:t>
          </w:r>
          <w:r>
            <w:rPr>
              <w:color w:val="000000"/>
              <w:lang w:val="en-US"/>
            </w:rPr>
            <w:lastRenderedPageBreak/>
            <w:t xml:space="preserve">International Journal of Exercise Science. – 2021. – </w:t>
          </w:r>
          <w:r>
            <w:rPr>
              <w:color w:val="000000"/>
            </w:rPr>
            <w:t>Т</w:t>
          </w:r>
          <w:r>
            <w:rPr>
              <w:color w:val="000000"/>
              <w:lang w:val="en-US"/>
            </w:rPr>
            <w:t xml:space="preserve">. 14. – № 2. – </w:t>
          </w:r>
          <w:r>
            <w:rPr>
              <w:color w:val="000000"/>
            </w:rPr>
            <w:t>С</w:t>
          </w:r>
          <w:r>
            <w:rPr>
              <w:color w:val="000000"/>
              <w:lang w:val="en-US"/>
            </w:rPr>
            <w:t>. 1244–1257.</w:t>
          </w:r>
        </w:p>
        <w:p w14:paraId="4F79B5F7" w14:textId="5F51AC83" w:rsidR="00E52E35" w:rsidRPr="00E52E35" w:rsidRDefault="00E52E35" w:rsidP="00E52E35">
          <w:pPr>
            <w:widowControl w:val="0"/>
            <w:spacing w:after="0"/>
            <w:ind w:firstLine="709"/>
            <w:divId w:val="1101805661"/>
            <w:rPr>
              <w:color w:val="000000"/>
              <w:lang w:val="en-US"/>
            </w:rPr>
          </w:pPr>
          <w:r>
            <w:rPr>
              <w:color w:val="000000"/>
              <w:lang w:val="en-US"/>
            </w:rPr>
            <w:t xml:space="preserve">25. Ji S., Sommer A., Bloch W., Wahl P.. Comparison and Performance Validation of Calculated and Established Anaerobic Lactate Thresholds in Running // Medicina. – 2021. – </w:t>
          </w:r>
          <w:r>
            <w:rPr>
              <w:color w:val="000000"/>
            </w:rPr>
            <w:t>Т</w:t>
          </w:r>
          <w:r>
            <w:rPr>
              <w:color w:val="000000"/>
              <w:lang w:val="en-US"/>
            </w:rPr>
            <w:t xml:space="preserve">. 57. – № 10. – </w:t>
          </w:r>
          <w:r>
            <w:rPr>
              <w:color w:val="000000"/>
            </w:rPr>
            <w:t>С</w:t>
          </w:r>
          <w:r>
            <w:rPr>
              <w:color w:val="000000"/>
              <w:lang w:val="en-US"/>
            </w:rPr>
            <w:t>. 1117. – DOI: 10.3390/medicina57101117.</w:t>
          </w:r>
        </w:p>
        <w:p w14:paraId="305D8BC8" w14:textId="13B7B462" w:rsidR="00E52E35" w:rsidRPr="00E52E35" w:rsidRDefault="00E52E35" w:rsidP="00E52E35">
          <w:pPr>
            <w:widowControl w:val="0"/>
            <w:spacing w:after="0"/>
            <w:ind w:firstLine="709"/>
            <w:divId w:val="1101805661"/>
            <w:rPr>
              <w:color w:val="000000"/>
              <w:lang w:val="en-US"/>
            </w:rPr>
          </w:pPr>
          <w:r>
            <w:rPr>
              <w:color w:val="000000"/>
              <w:lang w:val="en-US"/>
            </w:rPr>
            <w:t xml:space="preserve">26. Rogers B., Gronwald T.. Fractal Correlation Properties of Heart Rate Variability as a Biomarker for Intensity Distribution and Training Prescription in Endurance Exercise // Frontiers in Physiology. – 2022. – </w:t>
          </w:r>
          <w:r>
            <w:rPr>
              <w:color w:val="000000"/>
            </w:rPr>
            <w:t>Т</w:t>
          </w:r>
          <w:r>
            <w:rPr>
              <w:color w:val="000000"/>
              <w:lang w:val="en-US"/>
            </w:rPr>
            <w:t xml:space="preserve">. 13. – </w:t>
          </w:r>
          <w:r>
            <w:rPr>
              <w:color w:val="000000"/>
            </w:rPr>
            <w:t>С</w:t>
          </w:r>
          <w:r>
            <w:rPr>
              <w:color w:val="000000"/>
              <w:lang w:val="en-US"/>
            </w:rPr>
            <w:t>. 879071. – DOI: 10.3389/fphys.2022.879071.</w:t>
          </w:r>
        </w:p>
        <w:p w14:paraId="0E95B8BB" w14:textId="71968727" w:rsidR="00E52E35" w:rsidRPr="00E52E35" w:rsidRDefault="00E52E35" w:rsidP="00E52E35">
          <w:pPr>
            <w:widowControl w:val="0"/>
            <w:spacing w:after="0"/>
            <w:ind w:firstLine="709"/>
            <w:divId w:val="1101805661"/>
            <w:rPr>
              <w:color w:val="000000"/>
              <w:lang w:val="en-US"/>
            </w:rPr>
          </w:pPr>
          <w:r>
            <w:rPr>
              <w:color w:val="000000"/>
              <w:lang w:val="en-US"/>
            </w:rPr>
            <w:t xml:space="preserve">27. Schaffarczyk M., Rogers B., Reer R., Gronwald T.. Fractal correlation properties of HRV as a noninvasive biomarker to assess the physiological response to different exercise intensity domains in triathletes // BMC Sports Science, Medicine and Rehabilitation. – 2022. – </w:t>
          </w:r>
          <w:r>
            <w:rPr>
              <w:color w:val="000000"/>
            </w:rPr>
            <w:t>Т</w:t>
          </w:r>
          <w:r>
            <w:rPr>
              <w:color w:val="000000"/>
              <w:lang w:val="en-US"/>
            </w:rPr>
            <w:t xml:space="preserve">. 14. – № 1. – </w:t>
          </w:r>
          <w:r>
            <w:rPr>
              <w:color w:val="000000"/>
            </w:rPr>
            <w:t>С</w:t>
          </w:r>
          <w:r>
            <w:rPr>
              <w:color w:val="000000"/>
              <w:lang w:val="en-US"/>
            </w:rPr>
            <w:t>. 203. – DOI: 10.1186/s13102-022-00596-x.</w:t>
          </w:r>
        </w:p>
        <w:p w14:paraId="4B5E1CD0" w14:textId="5B9939E8" w:rsidR="00E52E35" w:rsidRPr="00E52E35" w:rsidRDefault="00E52E35" w:rsidP="00E52E35">
          <w:pPr>
            <w:widowControl w:val="0"/>
            <w:spacing w:after="0"/>
            <w:ind w:firstLine="709"/>
            <w:divId w:val="1101805661"/>
            <w:rPr>
              <w:color w:val="000000"/>
              <w:lang w:val="en-US"/>
            </w:rPr>
          </w:pPr>
          <w:r>
            <w:rPr>
              <w:color w:val="000000"/>
              <w:lang w:val="en-US"/>
            </w:rPr>
            <w:t xml:space="preserve">28. Schaffarczyk M., Rogers B., Reer R., Gronwald T.. Validation of a non-linear index of heart rate variability to determine aerobic and anaerobic thresholds during incremental cycling exercise in women // European Journal of Applied Physiology. – 2023. – </w:t>
          </w:r>
          <w:r>
            <w:rPr>
              <w:color w:val="000000"/>
            </w:rPr>
            <w:t>Т</w:t>
          </w:r>
          <w:r>
            <w:rPr>
              <w:color w:val="000000"/>
              <w:lang w:val="en-US"/>
            </w:rPr>
            <w:t xml:space="preserve">. 123. – № 2. – </w:t>
          </w:r>
          <w:r>
            <w:rPr>
              <w:color w:val="000000"/>
            </w:rPr>
            <w:t>С</w:t>
          </w:r>
          <w:r>
            <w:rPr>
              <w:color w:val="000000"/>
              <w:lang w:val="en-US"/>
            </w:rPr>
            <w:t>. 299–309. – DOI: 10.1007/s00421-022-05050-x.</w:t>
          </w:r>
        </w:p>
        <w:p w14:paraId="0EC9C9B2" w14:textId="6410C5E4" w:rsidR="00E52E35" w:rsidRPr="00E52E35" w:rsidRDefault="00E52E35" w:rsidP="00E52E35">
          <w:pPr>
            <w:widowControl w:val="0"/>
            <w:spacing w:after="0"/>
            <w:ind w:firstLine="709"/>
            <w:divId w:val="1101805661"/>
            <w:rPr>
              <w:color w:val="000000"/>
              <w:lang w:val="en-US"/>
            </w:rPr>
          </w:pPr>
          <w:r>
            <w:rPr>
              <w:color w:val="000000"/>
              <w:lang w:val="en-US"/>
            </w:rPr>
            <w:t xml:space="preserve">29. Voet N.B.M., Bleijenberg G., Padberg G.W. </w:t>
          </w:r>
          <w:r>
            <w:rPr>
              <w:color w:val="000000"/>
            </w:rPr>
            <w:t>и</w:t>
          </w:r>
          <w:r>
            <w:rPr>
              <w:color w:val="000000"/>
              <w:lang w:val="en-US"/>
            </w:rPr>
            <w:t xml:space="preserve"> </w:t>
          </w:r>
          <w:r>
            <w:rPr>
              <w:color w:val="000000"/>
            </w:rPr>
            <w:t>др</w:t>
          </w:r>
          <w:r>
            <w:rPr>
              <w:color w:val="000000"/>
              <w:lang w:val="en-US"/>
            </w:rPr>
            <w:t xml:space="preserve">.. Surface Electromyography Thresholds As a Measure for Performance Fatigability During Strength and Endurance Exercise // Frontiers in Physiology. – 2022. – </w:t>
          </w:r>
          <w:r>
            <w:rPr>
              <w:color w:val="000000"/>
            </w:rPr>
            <w:t>Т</w:t>
          </w:r>
          <w:r>
            <w:rPr>
              <w:color w:val="000000"/>
              <w:lang w:val="en-US"/>
            </w:rPr>
            <w:t xml:space="preserve">. 13. – </w:t>
          </w:r>
          <w:r>
            <w:rPr>
              <w:color w:val="000000"/>
            </w:rPr>
            <w:t>С</w:t>
          </w:r>
          <w:r>
            <w:rPr>
              <w:color w:val="000000"/>
              <w:lang w:val="en-US"/>
            </w:rPr>
            <w:t>. 821584. – DOI: 10.3389/fphys.2022.821584.</w:t>
          </w:r>
        </w:p>
        <w:p w14:paraId="5F625181" w14:textId="256CBEEC" w:rsidR="00E52E35" w:rsidRPr="00E52E35" w:rsidRDefault="00E52E35" w:rsidP="00E52E35">
          <w:pPr>
            <w:widowControl w:val="0"/>
            <w:spacing w:after="0"/>
            <w:ind w:firstLine="709"/>
            <w:divId w:val="1101805661"/>
            <w:rPr>
              <w:color w:val="000000"/>
              <w:lang w:val="en-US"/>
            </w:rPr>
          </w:pPr>
          <w:r>
            <w:rPr>
              <w:color w:val="000000"/>
              <w:lang w:val="en-US"/>
            </w:rPr>
            <w:t xml:space="preserve">30. Wackerhage H., Gehlert S.. Lactate Thresholds and the Simulation of Human Energy Metabolism // Frontiers in Physiology. – 2022. – </w:t>
          </w:r>
          <w:r>
            <w:rPr>
              <w:color w:val="000000"/>
            </w:rPr>
            <w:t>Т</w:t>
          </w:r>
          <w:r>
            <w:rPr>
              <w:color w:val="000000"/>
              <w:lang w:val="en-US"/>
            </w:rPr>
            <w:t xml:space="preserve">. 13. – </w:t>
          </w:r>
          <w:r>
            <w:rPr>
              <w:color w:val="000000"/>
            </w:rPr>
            <w:t>С</w:t>
          </w:r>
          <w:r>
            <w:rPr>
              <w:color w:val="000000"/>
              <w:lang w:val="en-US"/>
            </w:rPr>
            <w:t>. 899670. – DOI: 10.3389/fphys.2022.899670.</w:t>
          </w:r>
        </w:p>
        <w:p w14:paraId="28A1F7EC" w14:textId="3C6CB07C" w:rsidR="00E52E35" w:rsidRPr="00E52E35" w:rsidRDefault="00E52E35" w:rsidP="00E52E35">
          <w:pPr>
            <w:widowControl w:val="0"/>
            <w:spacing w:after="0"/>
            <w:ind w:firstLine="709"/>
            <w:divId w:val="1101805661"/>
            <w:rPr>
              <w:color w:val="000000"/>
              <w:lang w:val="en-US"/>
            </w:rPr>
          </w:pPr>
          <w:r>
            <w:rPr>
              <w:color w:val="000000"/>
              <w:lang w:val="en-US"/>
            </w:rPr>
            <w:t xml:space="preserve">31. Zeng Z., Liu M., Hu X. </w:t>
          </w:r>
          <w:r>
            <w:rPr>
              <w:color w:val="000000"/>
            </w:rPr>
            <w:t>и</w:t>
          </w:r>
          <w:r>
            <w:rPr>
              <w:color w:val="000000"/>
              <w:lang w:val="en-US"/>
            </w:rPr>
            <w:t xml:space="preserve"> </w:t>
          </w:r>
          <w:r>
            <w:rPr>
              <w:color w:val="000000"/>
            </w:rPr>
            <w:t>др</w:t>
          </w:r>
          <w:r>
            <w:rPr>
              <w:color w:val="000000"/>
              <w:lang w:val="en-US"/>
            </w:rPr>
            <w:t xml:space="preserve">.. Interpretable recurrent neural network models for dynamic prediction of the extubation failure risk in patients with invasive mechanical ventilation // BioData Mining. – 2022. – </w:t>
          </w:r>
          <w:r>
            <w:rPr>
              <w:color w:val="000000"/>
            </w:rPr>
            <w:t>Т</w:t>
          </w:r>
          <w:r>
            <w:rPr>
              <w:color w:val="000000"/>
              <w:lang w:val="en-US"/>
            </w:rPr>
            <w:t xml:space="preserve">. 15. – № 1. – </w:t>
          </w:r>
          <w:r>
            <w:rPr>
              <w:color w:val="000000"/>
            </w:rPr>
            <w:t>С</w:t>
          </w:r>
          <w:r>
            <w:rPr>
              <w:color w:val="000000"/>
              <w:lang w:val="en-US"/>
            </w:rPr>
            <w:t>. 25. – DOI: 10.1186/s13040-022-00309-7.</w:t>
          </w:r>
        </w:p>
        <w:p w14:paraId="65349BA5" w14:textId="2A43882B" w:rsidR="00E52E35" w:rsidRPr="00E52E35" w:rsidRDefault="00E52E35" w:rsidP="00E52E35">
          <w:pPr>
            <w:widowControl w:val="0"/>
            <w:spacing w:after="0"/>
            <w:ind w:firstLine="709"/>
            <w:divId w:val="1101805661"/>
            <w:rPr>
              <w:color w:val="000000"/>
              <w:lang w:val="en-US"/>
            </w:rPr>
          </w:pPr>
          <w:r>
            <w:rPr>
              <w:color w:val="000000"/>
              <w:lang w:val="en-US"/>
            </w:rPr>
            <w:t xml:space="preserve">32. Brooks G.A.. What the Lactate Shuttle Means for Sports Nutrition // </w:t>
          </w:r>
          <w:r>
            <w:rPr>
              <w:color w:val="000000"/>
              <w:lang w:val="en-US"/>
            </w:rPr>
            <w:lastRenderedPageBreak/>
            <w:t xml:space="preserve">Nutrients. – 2023. – </w:t>
          </w:r>
          <w:r>
            <w:rPr>
              <w:color w:val="000000"/>
            </w:rPr>
            <w:t>Т</w:t>
          </w:r>
          <w:r>
            <w:rPr>
              <w:color w:val="000000"/>
              <w:lang w:val="en-US"/>
            </w:rPr>
            <w:t xml:space="preserve">. 15. – № 9. – </w:t>
          </w:r>
          <w:r>
            <w:rPr>
              <w:color w:val="000000"/>
            </w:rPr>
            <w:t>С</w:t>
          </w:r>
          <w:r>
            <w:rPr>
              <w:color w:val="000000"/>
              <w:lang w:val="en-US"/>
            </w:rPr>
            <w:t>. 2178. – DOI: 10.3390/nu15092178.</w:t>
          </w:r>
        </w:p>
        <w:p w14:paraId="7FAA49F1" w14:textId="642CE9DD" w:rsidR="00E52E35" w:rsidRPr="00E52E35" w:rsidRDefault="00E52E35" w:rsidP="00E52E35">
          <w:pPr>
            <w:widowControl w:val="0"/>
            <w:spacing w:after="0"/>
            <w:ind w:firstLine="709"/>
            <w:divId w:val="1101805661"/>
            <w:rPr>
              <w:color w:val="000000"/>
              <w:lang w:val="en-US"/>
            </w:rPr>
          </w:pPr>
          <w:r>
            <w:rPr>
              <w:color w:val="000000"/>
              <w:lang w:val="en-US"/>
            </w:rPr>
            <w:t xml:space="preserve">33. Jamaluddin A., Ahmad R.B., Ibrahim I.M. </w:t>
          </w:r>
          <w:r>
            <w:rPr>
              <w:color w:val="000000"/>
            </w:rPr>
            <w:t>и</w:t>
          </w:r>
          <w:r>
            <w:rPr>
              <w:color w:val="000000"/>
              <w:lang w:val="en-US"/>
            </w:rPr>
            <w:t xml:space="preserve"> </w:t>
          </w:r>
          <w:r>
            <w:rPr>
              <w:color w:val="000000"/>
            </w:rPr>
            <w:t>др</w:t>
          </w:r>
          <w:r>
            <w:rPr>
              <w:color w:val="000000"/>
              <w:lang w:val="en-US"/>
            </w:rPr>
            <w:t xml:space="preserve">.. A New Approach to Noninvasive-Prolonged Fatigue Identification Based on Surface EMG Time-Frequency Analysis // Applied Bionics and Biomechanics. – 2023. – </w:t>
          </w:r>
          <w:r>
            <w:rPr>
              <w:color w:val="000000"/>
            </w:rPr>
            <w:t>Т</w:t>
          </w:r>
          <w:r>
            <w:rPr>
              <w:color w:val="000000"/>
              <w:lang w:val="en-US"/>
            </w:rPr>
            <w:t xml:space="preserve">. 2023. – </w:t>
          </w:r>
          <w:r>
            <w:rPr>
              <w:color w:val="000000"/>
            </w:rPr>
            <w:t>С</w:t>
          </w:r>
          <w:r>
            <w:rPr>
              <w:color w:val="000000"/>
              <w:lang w:val="en-US"/>
            </w:rPr>
            <w:t>. 1951165. – DOI: 10.1155/2023/1951165.</w:t>
          </w:r>
        </w:p>
        <w:p w14:paraId="3254D2F2" w14:textId="1BF57612" w:rsidR="00E52E35" w:rsidRPr="00E52E35" w:rsidRDefault="00E52E35" w:rsidP="00E52E35">
          <w:pPr>
            <w:widowControl w:val="0"/>
            <w:spacing w:after="0"/>
            <w:ind w:firstLine="709"/>
            <w:divId w:val="1101805661"/>
            <w:rPr>
              <w:color w:val="000000"/>
              <w:lang w:val="en-US"/>
            </w:rPr>
          </w:pPr>
          <w:r>
            <w:rPr>
              <w:color w:val="000000"/>
              <w:lang w:val="en-US"/>
            </w:rPr>
            <w:t xml:space="preserve">34. Kimoto A., Fujiyama H., Machida M.. A Wireless Multi-Layered EMG/MMG/NIRS Sensor for Muscular Activity Evaluation // Sensors. – 2023. – </w:t>
          </w:r>
          <w:r>
            <w:rPr>
              <w:color w:val="000000"/>
            </w:rPr>
            <w:t>Т</w:t>
          </w:r>
          <w:r>
            <w:rPr>
              <w:color w:val="000000"/>
              <w:lang w:val="en-US"/>
            </w:rPr>
            <w:t xml:space="preserve">. 23. – № 3. – </w:t>
          </w:r>
          <w:r>
            <w:rPr>
              <w:color w:val="000000"/>
            </w:rPr>
            <w:t>С</w:t>
          </w:r>
          <w:r>
            <w:rPr>
              <w:color w:val="000000"/>
              <w:lang w:val="en-US"/>
            </w:rPr>
            <w:t>. 1539. – DOI: 10.3390/s23031539.</w:t>
          </w:r>
        </w:p>
        <w:p w14:paraId="187382F8" w14:textId="32BF62BD" w:rsidR="00E52E35" w:rsidRPr="00E52E35" w:rsidRDefault="00E52E35" w:rsidP="00E52E35">
          <w:pPr>
            <w:widowControl w:val="0"/>
            <w:spacing w:after="0"/>
            <w:ind w:firstLine="709"/>
            <w:divId w:val="1101805661"/>
            <w:rPr>
              <w:color w:val="000000"/>
              <w:lang w:val="en-US"/>
            </w:rPr>
          </w:pPr>
          <w:r>
            <w:rPr>
              <w:color w:val="000000"/>
              <w:lang w:val="en-US"/>
            </w:rPr>
            <w:t xml:space="preserve">35. Reinpõld K., Rannama I., Port K.. Agreement between Ventilatory Thresholds and Bilaterally Measured Vastus Lateralis Muscle Oxygen Saturation in Cyclists // Sports. – 2024. – </w:t>
          </w:r>
          <w:r>
            <w:rPr>
              <w:color w:val="000000"/>
            </w:rPr>
            <w:t>Т</w:t>
          </w:r>
          <w:r>
            <w:rPr>
              <w:color w:val="000000"/>
              <w:lang w:val="en-US"/>
            </w:rPr>
            <w:t xml:space="preserve">. 12. – № 2. – </w:t>
          </w:r>
          <w:r>
            <w:rPr>
              <w:color w:val="000000"/>
            </w:rPr>
            <w:t>С</w:t>
          </w:r>
          <w:r>
            <w:rPr>
              <w:color w:val="000000"/>
              <w:lang w:val="en-US"/>
            </w:rPr>
            <w:t>. 40. – DOI: 10.3390/sports12020040.</w:t>
          </w:r>
        </w:p>
        <w:p w14:paraId="5B9F035D" w14:textId="42465C52" w:rsidR="00E52E35" w:rsidRPr="00E52E35" w:rsidRDefault="00E52E35" w:rsidP="00E52E35">
          <w:pPr>
            <w:widowControl w:val="0"/>
            <w:spacing w:after="0"/>
            <w:ind w:firstLine="709"/>
            <w:divId w:val="1101805661"/>
            <w:rPr>
              <w:color w:val="000000"/>
              <w:lang w:val="en-US"/>
            </w:rPr>
          </w:pPr>
          <w:r>
            <w:rPr>
              <w:color w:val="000000"/>
              <w:lang w:val="en-US"/>
            </w:rPr>
            <w:t xml:space="preserve">36. Rodu J., Kaufman S., Peel J.L. </w:t>
          </w:r>
          <w:r>
            <w:rPr>
              <w:color w:val="000000"/>
            </w:rPr>
            <w:t>и</w:t>
          </w:r>
          <w:r>
            <w:rPr>
              <w:color w:val="000000"/>
              <w:lang w:val="en-US"/>
            </w:rPr>
            <w:t xml:space="preserve"> </w:t>
          </w:r>
          <w:r>
            <w:rPr>
              <w:color w:val="000000"/>
            </w:rPr>
            <w:t>др</w:t>
          </w:r>
          <w:r>
            <w:rPr>
              <w:color w:val="000000"/>
              <w:lang w:val="en-US"/>
            </w:rPr>
            <w:t xml:space="preserve">.. On Leveraging Machine Learning in Sport Science in the Hypothetico-deductive Framework // Sports Medicine – Open. – 2024. – </w:t>
          </w:r>
          <w:r>
            <w:rPr>
              <w:color w:val="000000"/>
            </w:rPr>
            <w:t>Т</w:t>
          </w:r>
          <w:r>
            <w:rPr>
              <w:color w:val="000000"/>
              <w:lang w:val="en-US"/>
            </w:rPr>
            <w:t xml:space="preserve">. 10. – № 1. – </w:t>
          </w:r>
          <w:r>
            <w:rPr>
              <w:color w:val="000000"/>
            </w:rPr>
            <w:t>С</w:t>
          </w:r>
          <w:r>
            <w:rPr>
              <w:color w:val="000000"/>
              <w:lang w:val="en-US"/>
            </w:rPr>
            <w:t>. 124. – DOI: 10.1186/s40798-024-00788-4.</w:t>
          </w:r>
        </w:p>
        <w:p w14:paraId="020AD1AD" w14:textId="4EE4D6AD" w:rsidR="00E52E35" w:rsidRPr="00E52E35" w:rsidRDefault="00E52E35" w:rsidP="00E52E35">
          <w:pPr>
            <w:widowControl w:val="0"/>
            <w:spacing w:after="0"/>
            <w:ind w:firstLine="709"/>
            <w:divId w:val="1101805661"/>
            <w:rPr>
              <w:color w:val="000000"/>
              <w:lang w:val="en-US"/>
            </w:rPr>
          </w:pPr>
          <w:r>
            <w:rPr>
              <w:color w:val="000000"/>
              <w:lang w:val="en-US"/>
            </w:rPr>
            <w:t xml:space="preserve">37. Tanner A.V., Nielsen B.V., Oranchuk D.J.. Agreement Between Heart Rate Variability-Derived and Ventilatory/Lactate Thresholds in Healthy Adults: A Systematic Review and Meta-Analysis // Sports Medicine – Open. – 2024. – </w:t>
          </w:r>
          <w:r>
            <w:rPr>
              <w:color w:val="000000"/>
            </w:rPr>
            <w:t>Т</w:t>
          </w:r>
          <w:r>
            <w:rPr>
              <w:color w:val="000000"/>
              <w:lang w:val="en-US"/>
            </w:rPr>
            <w:t xml:space="preserve">. 10. – № 1. – </w:t>
          </w:r>
          <w:r>
            <w:rPr>
              <w:color w:val="000000"/>
            </w:rPr>
            <w:t>С</w:t>
          </w:r>
          <w:r>
            <w:rPr>
              <w:color w:val="000000"/>
              <w:lang w:val="en-US"/>
            </w:rPr>
            <w:t>. 111. – DOI: 10.1186/s40798-024-00768-8.</w:t>
          </w:r>
        </w:p>
        <w:p w14:paraId="3B55E7B0" w14:textId="0428741E" w:rsidR="00E52E35" w:rsidRPr="00E52E35" w:rsidRDefault="00E52E35" w:rsidP="00E52E35">
          <w:pPr>
            <w:widowControl w:val="0"/>
            <w:spacing w:after="0"/>
            <w:ind w:firstLine="709"/>
            <w:divId w:val="1101805661"/>
            <w:rPr>
              <w:color w:val="000000"/>
              <w:lang w:val="en-US"/>
            </w:rPr>
          </w:pPr>
          <w:r>
            <w:rPr>
              <w:color w:val="000000"/>
              <w:lang w:val="en-US"/>
            </w:rPr>
            <w:t xml:space="preserve">38. Tomaszewski M., Lukanova-Jakubowska A., Majorczyk E.. From data to decision: Machine learning determination of aerobic and anaerobic thresholds in athletes // PLOS ONE. – 2024. – </w:t>
          </w:r>
          <w:r>
            <w:rPr>
              <w:color w:val="000000"/>
            </w:rPr>
            <w:t>Т</w:t>
          </w:r>
          <w:r>
            <w:rPr>
              <w:color w:val="000000"/>
              <w:lang w:val="en-US"/>
            </w:rPr>
            <w:t xml:space="preserve">. 19. – № 8. – </w:t>
          </w:r>
          <w:r>
            <w:rPr>
              <w:color w:val="000000"/>
            </w:rPr>
            <w:t>С</w:t>
          </w:r>
          <w:r>
            <w:rPr>
              <w:color w:val="000000"/>
              <w:lang w:val="en-US"/>
            </w:rPr>
            <w:t>. e0309427. – DOI: 10.1371/journal.pone.0309427.</w:t>
          </w:r>
        </w:p>
        <w:p w14:paraId="24178C66" w14:textId="599E3146" w:rsidR="00E52E35" w:rsidRPr="00E52E35" w:rsidRDefault="00E52E35" w:rsidP="00E52E35">
          <w:pPr>
            <w:widowControl w:val="0"/>
            <w:spacing w:after="0"/>
            <w:ind w:firstLine="709"/>
            <w:divId w:val="1101805661"/>
            <w:rPr>
              <w:color w:val="000000"/>
              <w:lang w:val="en-US"/>
            </w:rPr>
          </w:pPr>
          <w:r>
            <w:rPr>
              <w:color w:val="000000"/>
              <w:lang w:val="en-US"/>
            </w:rPr>
            <w:t>39. Fiedler J., Woll A.. Reference standards for power at the lactate threshold 2 for cycle ergometry through the lens of the literature // Journal of Sports Sciences. – 2025. – DOI: 10.1080/02640414.2025.2517913.</w:t>
          </w:r>
        </w:p>
        <w:p w14:paraId="71C7E371" w14:textId="470BE874" w:rsidR="00AB114F" w:rsidRPr="00E52E35" w:rsidRDefault="00E52E35" w:rsidP="00E52E35">
          <w:pPr>
            <w:widowControl w:val="0"/>
            <w:spacing w:after="0"/>
            <w:ind w:firstLine="709"/>
            <w:divId w:val="1101805661"/>
            <w:rPr>
              <w:rFonts w:eastAsiaTheme="majorEastAsia" w:cs="Times New Roman"/>
              <w:b/>
              <w:szCs w:val="28"/>
              <w:lang w:val="en-US"/>
            </w:rPr>
          </w:pPr>
          <w:r>
            <w:rPr>
              <w:color w:val="000000"/>
              <w:lang w:val="en-US"/>
            </w:rPr>
            <w:t xml:space="preserve">40. Fischer J., Wolfarth B., Hävecker E.R. </w:t>
          </w:r>
          <w:r>
            <w:rPr>
              <w:color w:val="000000"/>
            </w:rPr>
            <w:t>и</w:t>
          </w:r>
          <w:r>
            <w:rPr>
              <w:color w:val="000000"/>
              <w:lang w:val="en-US"/>
            </w:rPr>
            <w:t xml:space="preserve"> </w:t>
          </w:r>
          <w:r>
            <w:rPr>
              <w:color w:val="000000"/>
            </w:rPr>
            <w:t>др</w:t>
          </w:r>
          <w:r>
            <w:rPr>
              <w:color w:val="000000"/>
              <w:lang w:val="en-US"/>
            </w:rPr>
            <w:t xml:space="preserve">.. Modeling lactate threshold in cycling – influence of sex, maximal oxygen uptake, and body composition // European Journal of Applied Physiology. – 2025. – </w:t>
          </w:r>
          <w:r>
            <w:rPr>
              <w:color w:val="000000"/>
            </w:rPr>
            <w:t>Т</w:t>
          </w:r>
          <w:r>
            <w:rPr>
              <w:color w:val="000000"/>
              <w:lang w:val="en-US"/>
            </w:rPr>
            <w:t xml:space="preserve">. 125. – № 6. – </w:t>
          </w:r>
          <w:r>
            <w:rPr>
              <w:color w:val="000000"/>
            </w:rPr>
            <w:t>С</w:t>
          </w:r>
          <w:r>
            <w:rPr>
              <w:color w:val="000000"/>
              <w:lang w:val="en-US"/>
            </w:rPr>
            <w:t>. 2145–2158. – DOI: 10.1007/s00421-025-05744-y.</w:t>
          </w:r>
        </w:p>
      </w:sdtContent>
    </w:sdt>
    <w:sectPr w:rsidR="00AB114F" w:rsidRPr="00E52E35" w:rsidSect="00EC452F">
      <w:footerReference w:type="default" r:id="rId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CBDF87" w14:textId="77777777" w:rsidR="00031FA9" w:rsidRDefault="00031FA9" w:rsidP="00822088">
      <w:pPr>
        <w:spacing w:after="0" w:line="240" w:lineRule="auto"/>
      </w:pPr>
      <w:r>
        <w:separator/>
      </w:r>
    </w:p>
  </w:endnote>
  <w:endnote w:type="continuationSeparator" w:id="0">
    <w:p w14:paraId="28FD4C03" w14:textId="77777777" w:rsidR="00031FA9" w:rsidRDefault="00031FA9"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8259D20" w14:textId="0865984B"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0BEC3C1C"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1F3446" w14:textId="77777777" w:rsidR="00031FA9" w:rsidRDefault="00031FA9" w:rsidP="00822088">
      <w:pPr>
        <w:spacing w:after="0" w:line="240" w:lineRule="auto"/>
      </w:pPr>
      <w:r>
        <w:separator/>
      </w:r>
    </w:p>
  </w:footnote>
  <w:footnote w:type="continuationSeparator" w:id="0">
    <w:p w14:paraId="7239B6E3" w14:textId="77777777" w:rsidR="00031FA9" w:rsidRDefault="00031FA9"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5"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19"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4"/>
  </w:num>
  <w:num w:numId="2">
    <w:abstractNumId w:val="19"/>
  </w:num>
  <w:num w:numId="3">
    <w:abstractNumId w:val="18"/>
  </w:num>
  <w:num w:numId="4">
    <w:abstractNumId w:val="6"/>
  </w:num>
  <w:num w:numId="5">
    <w:abstractNumId w:val="17"/>
  </w:num>
  <w:num w:numId="6">
    <w:abstractNumId w:val="9"/>
  </w:num>
  <w:num w:numId="7">
    <w:abstractNumId w:val="7"/>
  </w:num>
  <w:num w:numId="8">
    <w:abstractNumId w:val="12"/>
  </w:num>
  <w:num w:numId="9">
    <w:abstractNumId w:val="1"/>
  </w:num>
  <w:num w:numId="10">
    <w:abstractNumId w:val="15"/>
  </w:num>
  <w:num w:numId="11">
    <w:abstractNumId w:val="23"/>
  </w:num>
  <w:num w:numId="12">
    <w:abstractNumId w:val="27"/>
  </w:num>
  <w:num w:numId="13">
    <w:abstractNumId w:val="11"/>
  </w:num>
  <w:num w:numId="14">
    <w:abstractNumId w:val="13"/>
  </w:num>
  <w:num w:numId="15">
    <w:abstractNumId w:val="10"/>
  </w:num>
  <w:num w:numId="16">
    <w:abstractNumId w:val="16"/>
  </w:num>
  <w:num w:numId="17">
    <w:abstractNumId w:val="2"/>
  </w:num>
  <w:num w:numId="18">
    <w:abstractNumId w:val="26"/>
  </w:num>
  <w:num w:numId="19">
    <w:abstractNumId w:val="22"/>
  </w:num>
  <w:num w:numId="20">
    <w:abstractNumId w:val="28"/>
  </w:num>
  <w:num w:numId="21">
    <w:abstractNumId w:val="8"/>
  </w:num>
  <w:num w:numId="22">
    <w:abstractNumId w:val="25"/>
  </w:num>
  <w:num w:numId="23">
    <w:abstractNumId w:val="14"/>
  </w:num>
  <w:num w:numId="24">
    <w:abstractNumId w:val="5"/>
  </w:num>
  <w:num w:numId="25">
    <w:abstractNumId w:val="4"/>
  </w:num>
  <w:num w:numId="26">
    <w:abstractNumId w:val="0"/>
  </w:num>
  <w:num w:numId="27">
    <w:abstractNumId w:val="20"/>
  </w:num>
  <w:num w:numId="28">
    <w:abstractNumId w:val="3"/>
  </w:num>
  <w:num w:numId="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24B71"/>
    <w:rsid w:val="00031FA9"/>
    <w:rsid w:val="000629F8"/>
    <w:rsid w:val="0006323E"/>
    <w:rsid w:val="00081748"/>
    <w:rsid w:val="0008777C"/>
    <w:rsid w:val="00091F02"/>
    <w:rsid w:val="00092273"/>
    <w:rsid w:val="000C06E0"/>
    <w:rsid w:val="000C631D"/>
    <w:rsid w:val="000C6922"/>
    <w:rsid w:val="000D7F4C"/>
    <w:rsid w:val="00112B6E"/>
    <w:rsid w:val="00123E88"/>
    <w:rsid w:val="00124BDC"/>
    <w:rsid w:val="001549ED"/>
    <w:rsid w:val="0017764E"/>
    <w:rsid w:val="001B0FFE"/>
    <w:rsid w:val="001B448C"/>
    <w:rsid w:val="001C3AC7"/>
    <w:rsid w:val="00211BD3"/>
    <w:rsid w:val="002246F6"/>
    <w:rsid w:val="00233A13"/>
    <w:rsid w:val="00252A91"/>
    <w:rsid w:val="00295B3B"/>
    <w:rsid w:val="002C0BB8"/>
    <w:rsid w:val="002D62B9"/>
    <w:rsid w:val="00300F39"/>
    <w:rsid w:val="00346A60"/>
    <w:rsid w:val="00355044"/>
    <w:rsid w:val="00361EA1"/>
    <w:rsid w:val="003876A0"/>
    <w:rsid w:val="003A15C5"/>
    <w:rsid w:val="003B0492"/>
    <w:rsid w:val="003C6708"/>
    <w:rsid w:val="003D629E"/>
    <w:rsid w:val="00430CCD"/>
    <w:rsid w:val="00462F47"/>
    <w:rsid w:val="00484C57"/>
    <w:rsid w:val="004A25E7"/>
    <w:rsid w:val="005027A8"/>
    <w:rsid w:val="00505D63"/>
    <w:rsid w:val="0053606B"/>
    <w:rsid w:val="0056598B"/>
    <w:rsid w:val="0057743E"/>
    <w:rsid w:val="00582AEA"/>
    <w:rsid w:val="005A1FB3"/>
    <w:rsid w:val="005C0FF1"/>
    <w:rsid w:val="005C1D3B"/>
    <w:rsid w:val="005D6727"/>
    <w:rsid w:val="005E1B64"/>
    <w:rsid w:val="006435A5"/>
    <w:rsid w:val="00650E65"/>
    <w:rsid w:val="00665828"/>
    <w:rsid w:val="00673948"/>
    <w:rsid w:val="0068586F"/>
    <w:rsid w:val="00697C0D"/>
    <w:rsid w:val="006F0EF7"/>
    <w:rsid w:val="00701D1A"/>
    <w:rsid w:val="007110A7"/>
    <w:rsid w:val="0072346B"/>
    <w:rsid w:val="00723BA9"/>
    <w:rsid w:val="007315F3"/>
    <w:rsid w:val="00741998"/>
    <w:rsid w:val="00744416"/>
    <w:rsid w:val="00776C02"/>
    <w:rsid w:val="00781762"/>
    <w:rsid w:val="007A32C5"/>
    <w:rsid w:val="007B54B1"/>
    <w:rsid w:val="007F2370"/>
    <w:rsid w:val="008147D4"/>
    <w:rsid w:val="00822088"/>
    <w:rsid w:val="00824CA3"/>
    <w:rsid w:val="00842A2D"/>
    <w:rsid w:val="00862D6E"/>
    <w:rsid w:val="00864EAD"/>
    <w:rsid w:val="00866F49"/>
    <w:rsid w:val="008805C7"/>
    <w:rsid w:val="00887DF9"/>
    <w:rsid w:val="008920E7"/>
    <w:rsid w:val="00896001"/>
    <w:rsid w:val="008A7A55"/>
    <w:rsid w:val="008B0D48"/>
    <w:rsid w:val="008B1850"/>
    <w:rsid w:val="008E11AA"/>
    <w:rsid w:val="008E1440"/>
    <w:rsid w:val="008F06E7"/>
    <w:rsid w:val="009225F9"/>
    <w:rsid w:val="00983AF2"/>
    <w:rsid w:val="009A5F2D"/>
    <w:rsid w:val="009D6CDC"/>
    <w:rsid w:val="00A26A2E"/>
    <w:rsid w:val="00A315D2"/>
    <w:rsid w:val="00A334C7"/>
    <w:rsid w:val="00A444D4"/>
    <w:rsid w:val="00A847C0"/>
    <w:rsid w:val="00A86D8E"/>
    <w:rsid w:val="00A942C2"/>
    <w:rsid w:val="00AA58FA"/>
    <w:rsid w:val="00AB114F"/>
    <w:rsid w:val="00AE1645"/>
    <w:rsid w:val="00AF1E94"/>
    <w:rsid w:val="00B078CB"/>
    <w:rsid w:val="00B14401"/>
    <w:rsid w:val="00B170E3"/>
    <w:rsid w:val="00B47002"/>
    <w:rsid w:val="00BB5CA8"/>
    <w:rsid w:val="00BD5D7E"/>
    <w:rsid w:val="00BF6A5C"/>
    <w:rsid w:val="00C03FBC"/>
    <w:rsid w:val="00C308C7"/>
    <w:rsid w:val="00C44D81"/>
    <w:rsid w:val="00C46339"/>
    <w:rsid w:val="00C479B0"/>
    <w:rsid w:val="00C522F1"/>
    <w:rsid w:val="00C6137C"/>
    <w:rsid w:val="00C62690"/>
    <w:rsid w:val="00CB52C1"/>
    <w:rsid w:val="00CD1121"/>
    <w:rsid w:val="00CE3246"/>
    <w:rsid w:val="00D04F47"/>
    <w:rsid w:val="00D13FED"/>
    <w:rsid w:val="00D963E3"/>
    <w:rsid w:val="00DB76C8"/>
    <w:rsid w:val="00DF758A"/>
    <w:rsid w:val="00E11230"/>
    <w:rsid w:val="00E14866"/>
    <w:rsid w:val="00E21131"/>
    <w:rsid w:val="00E334F8"/>
    <w:rsid w:val="00E52E35"/>
    <w:rsid w:val="00E56E6F"/>
    <w:rsid w:val="00E62A0E"/>
    <w:rsid w:val="00E63771"/>
    <w:rsid w:val="00E82245"/>
    <w:rsid w:val="00EA766C"/>
    <w:rsid w:val="00EB20D9"/>
    <w:rsid w:val="00EB3DB0"/>
    <w:rsid w:val="00EC452F"/>
    <w:rsid w:val="00EE74B5"/>
    <w:rsid w:val="00EF54FA"/>
    <w:rsid w:val="00F2204A"/>
    <w:rsid w:val="00F532A3"/>
    <w:rsid w:val="00F61F0C"/>
    <w:rsid w:val="00F66346"/>
    <w:rsid w:val="00F77B10"/>
    <w:rsid w:val="00F86377"/>
    <w:rsid w:val="00FA31D8"/>
    <w:rsid w:val="00FA6B7A"/>
    <w:rsid w:val="00FD1F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E63C2"/>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F66346"/>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paragraph" w:customStyle="1" w:styleId="21">
    <w:name w:val="Заголовок диссертации 2"/>
    <w:basedOn w:val="2"/>
    <w:link w:val="22"/>
    <w:qFormat/>
    <w:rsid w:val="00A334C7"/>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8E1440"/>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8E1440"/>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DF758A"/>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sChild>
            <w:div w:id="1463158001">
              <w:marLeft w:val="0"/>
              <w:marRight w:val="0"/>
              <w:marTop w:val="0"/>
              <w:marBottom w:val="0"/>
              <w:divBdr>
                <w:top w:val="none" w:sz="0" w:space="0" w:color="auto"/>
                <w:left w:val="none" w:sz="0" w:space="0" w:color="auto"/>
                <w:bottom w:val="none" w:sz="0" w:space="0" w:color="auto"/>
                <w:right w:val="none" w:sz="0" w:space="0" w:color="auto"/>
              </w:divBdr>
            </w:div>
          </w:divsChild>
        </w:div>
        <w:div w:id="1486706187">
          <w:marLeft w:val="0"/>
          <w:marRight w:val="0"/>
          <w:marTop w:val="0"/>
          <w:marBottom w:val="0"/>
          <w:divBdr>
            <w:top w:val="none" w:sz="0" w:space="0" w:color="auto"/>
            <w:left w:val="none" w:sz="0" w:space="0" w:color="auto"/>
            <w:bottom w:val="none" w:sz="0" w:space="0" w:color="auto"/>
            <w:right w:val="none" w:sz="0" w:space="0" w:color="auto"/>
          </w:divBdr>
        </w:div>
        <w:div w:id="45220492">
          <w:marLeft w:val="0"/>
          <w:marRight w:val="0"/>
          <w:marTop w:val="0"/>
          <w:marBottom w:val="0"/>
          <w:divBdr>
            <w:top w:val="none" w:sz="0" w:space="0" w:color="auto"/>
            <w:left w:val="none" w:sz="0" w:space="0" w:color="auto"/>
            <w:bottom w:val="none" w:sz="0" w:space="0" w:color="auto"/>
            <w:right w:val="none" w:sz="0" w:space="0" w:color="auto"/>
          </w:divBdr>
        </w:div>
        <w:div w:id="1016158760">
          <w:marLeft w:val="0"/>
          <w:marRight w:val="0"/>
          <w:marTop w:val="0"/>
          <w:marBottom w:val="0"/>
          <w:divBdr>
            <w:top w:val="none" w:sz="0" w:space="0" w:color="auto"/>
            <w:left w:val="none" w:sz="0" w:space="0" w:color="auto"/>
            <w:bottom w:val="none" w:sz="0" w:space="0" w:color="auto"/>
            <w:right w:val="none" w:sz="0" w:space="0" w:color="auto"/>
          </w:divBdr>
        </w:div>
        <w:div w:id="1295519899">
          <w:marLeft w:val="0"/>
          <w:marRight w:val="0"/>
          <w:marTop w:val="0"/>
          <w:marBottom w:val="0"/>
          <w:divBdr>
            <w:top w:val="none" w:sz="0" w:space="0" w:color="auto"/>
            <w:left w:val="none" w:sz="0" w:space="0" w:color="auto"/>
            <w:bottom w:val="none" w:sz="0" w:space="0" w:color="auto"/>
            <w:right w:val="none" w:sz="0" w:space="0" w:color="auto"/>
          </w:divBdr>
        </w:div>
        <w:div w:id="437916937">
          <w:marLeft w:val="0"/>
          <w:marRight w:val="0"/>
          <w:marTop w:val="0"/>
          <w:marBottom w:val="0"/>
          <w:divBdr>
            <w:top w:val="none" w:sz="0" w:space="0" w:color="auto"/>
            <w:left w:val="none" w:sz="0" w:space="0" w:color="auto"/>
            <w:bottom w:val="none" w:sz="0" w:space="0" w:color="auto"/>
            <w:right w:val="none" w:sz="0" w:space="0" w:color="auto"/>
          </w:divBdr>
        </w:div>
        <w:div w:id="37512426">
          <w:marLeft w:val="0"/>
          <w:marRight w:val="0"/>
          <w:marTop w:val="0"/>
          <w:marBottom w:val="0"/>
          <w:divBdr>
            <w:top w:val="none" w:sz="0" w:space="0" w:color="auto"/>
            <w:left w:val="none" w:sz="0" w:space="0" w:color="auto"/>
            <w:bottom w:val="none" w:sz="0" w:space="0" w:color="auto"/>
            <w:right w:val="none" w:sz="0" w:space="0" w:color="auto"/>
          </w:divBdr>
        </w:div>
        <w:div w:id="2076463767">
          <w:marLeft w:val="0"/>
          <w:marRight w:val="0"/>
          <w:marTop w:val="0"/>
          <w:marBottom w:val="0"/>
          <w:divBdr>
            <w:top w:val="none" w:sz="0" w:space="0" w:color="auto"/>
            <w:left w:val="none" w:sz="0" w:space="0" w:color="auto"/>
            <w:bottom w:val="none" w:sz="0" w:space="0" w:color="auto"/>
            <w:right w:val="none" w:sz="0" w:space="0" w:color="auto"/>
          </w:divBdr>
        </w:div>
        <w:div w:id="315844391">
          <w:marLeft w:val="0"/>
          <w:marRight w:val="0"/>
          <w:marTop w:val="0"/>
          <w:marBottom w:val="0"/>
          <w:divBdr>
            <w:top w:val="none" w:sz="0" w:space="0" w:color="auto"/>
            <w:left w:val="none" w:sz="0" w:space="0" w:color="auto"/>
            <w:bottom w:val="none" w:sz="0" w:space="0" w:color="auto"/>
            <w:right w:val="none" w:sz="0" w:space="0" w:color="auto"/>
          </w:divBdr>
        </w:div>
        <w:div w:id="1999916854">
          <w:marLeft w:val="0"/>
          <w:marRight w:val="0"/>
          <w:marTop w:val="0"/>
          <w:marBottom w:val="0"/>
          <w:divBdr>
            <w:top w:val="none" w:sz="0" w:space="0" w:color="auto"/>
            <w:left w:val="none" w:sz="0" w:space="0" w:color="auto"/>
            <w:bottom w:val="none" w:sz="0" w:space="0" w:color="auto"/>
            <w:right w:val="none" w:sz="0" w:space="0" w:color="auto"/>
          </w:divBdr>
        </w:div>
        <w:div w:id="1908418683">
          <w:marLeft w:val="0"/>
          <w:marRight w:val="0"/>
          <w:marTop w:val="0"/>
          <w:marBottom w:val="0"/>
          <w:divBdr>
            <w:top w:val="none" w:sz="0" w:space="0" w:color="auto"/>
            <w:left w:val="none" w:sz="0" w:space="0" w:color="auto"/>
            <w:bottom w:val="none" w:sz="0" w:space="0" w:color="auto"/>
            <w:right w:val="none" w:sz="0" w:space="0" w:color="auto"/>
          </w:divBdr>
        </w:div>
        <w:div w:id="2103449339">
          <w:marLeft w:val="0"/>
          <w:marRight w:val="0"/>
          <w:marTop w:val="0"/>
          <w:marBottom w:val="0"/>
          <w:divBdr>
            <w:top w:val="none" w:sz="0" w:space="0" w:color="auto"/>
            <w:left w:val="none" w:sz="0" w:space="0" w:color="auto"/>
            <w:bottom w:val="none" w:sz="0" w:space="0" w:color="auto"/>
            <w:right w:val="none" w:sz="0" w:space="0" w:color="auto"/>
          </w:divBdr>
        </w:div>
        <w:div w:id="805897188">
          <w:marLeft w:val="0"/>
          <w:marRight w:val="0"/>
          <w:marTop w:val="0"/>
          <w:marBottom w:val="0"/>
          <w:divBdr>
            <w:top w:val="none" w:sz="0" w:space="0" w:color="auto"/>
            <w:left w:val="none" w:sz="0" w:space="0" w:color="auto"/>
            <w:bottom w:val="none" w:sz="0" w:space="0" w:color="auto"/>
            <w:right w:val="none" w:sz="0" w:space="0" w:color="auto"/>
          </w:divBdr>
        </w:div>
        <w:div w:id="1138065106">
          <w:marLeft w:val="0"/>
          <w:marRight w:val="0"/>
          <w:marTop w:val="0"/>
          <w:marBottom w:val="0"/>
          <w:divBdr>
            <w:top w:val="none" w:sz="0" w:space="0" w:color="auto"/>
            <w:left w:val="none" w:sz="0" w:space="0" w:color="auto"/>
            <w:bottom w:val="none" w:sz="0" w:space="0" w:color="auto"/>
            <w:right w:val="none" w:sz="0" w:space="0" w:color="auto"/>
          </w:divBdr>
        </w:div>
        <w:div w:id="2105375501">
          <w:marLeft w:val="0"/>
          <w:marRight w:val="0"/>
          <w:marTop w:val="0"/>
          <w:marBottom w:val="0"/>
          <w:divBdr>
            <w:top w:val="none" w:sz="0" w:space="0" w:color="auto"/>
            <w:left w:val="none" w:sz="0" w:space="0" w:color="auto"/>
            <w:bottom w:val="none" w:sz="0" w:space="0" w:color="auto"/>
            <w:right w:val="none" w:sz="0" w:space="0" w:color="auto"/>
          </w:divBdr>
        </w:div>
        <w:div w:id="1065571980">
          <w:marLeft w:val="0"/>
          <w:marRight w:val="0"/>
          <w:marTop w:val="0"/>
          <w:marBottom w:val="0"/>
          <w:divBdr>
            <w:top w:val="none" w:sz="0" w:space="0" w:color="auto"/>
            <w:left w:val="none" w:sz="0" w:space="0" w:color="auto"/>
            <w:bottom w:val="none" w:sz="0" w:space="0" w:color="auto"/>
            <w:right w:val="none" w:sz="0" w:space="0" w:color="auto"/>
          </w:divBdr>
        </w:div>
        <w:div w:id="1227649483">
          <w:marLeft w:val="0"/>
          <w:marRight w:val="0"/>
          <w:marTop w:val="0"/>
          <w:marBottom w:val="0"/>
          <w:divBdr>
            <w:top w:val="none" w:sz="0" w:space="0" w:color="auto"/>
            <w:left w:val="none" w:sz="0" w:space="0" w:color="auto"/>
            <w:bottom w:val="none" w:sz="0" w:space="0" w:color="auto"/>
            <w:right w:val="none" w:sz="0" w:space="0" w:color="auto"/>
          </w:divBdr>
        </w:div>
        <w:div w:id="589780125">
          <w:marLeft w:val="0"/>
          <w:marRight w:val="0"/>
          <w:marTop w:val="0"/>
          <w:marBottom w:val="0"/>
          <w:divBdr>
            <w:top w:val="none" w:sz="0" w:space="0" w:color="auto"/>
            <w:left w:val="none" w:sz="0" w:space="0" w:color="auto"/>
            <w:bottom w:val="none" w:sz="0" w:space="0" w:color="auto"/>
            <w:right w:val="none" w:sz="0" w:space="0" w:color="auto"/>
          </w:divBdr>
        </w:div>
        <w:div w:id="763108942">
          <w:marLeft w:val="0"/>
          <w:marRight w:val="0"/>
          <w:marTop w:val="0"/>
          <w:marBottom w:val="0"/>
          <w:divBdr>
            <w:top w:val="none" w:sz="0" w:space="0" w:color="auto"/>
            <w:left w:val="none" w:sz="0" w:space="0" w:color="auto"/>
            <w:bottom w:val="none" w:sz="0" w:space="0" w:color="auto"/>
            <w:right w:val="none" w:sz="0" w:space="0" w:color="auto"/>
          </w:divBdr>
        </w:div>
        <w:div w:id="666787936">
          <w:marLeft w:val="0"/>
          <w:marRight w:val="0"/>
          <w:marTop w:val="0"/>
          <w:marBottom w:val="0"/>
          <w:divBdr>
            <w:top w:val="none" w:sz="0" w:space="0" w:color="auto"/>
            <w:left w:val="none" w:sz="0" w:space="0" w:color="auto"/>
            <w:bottom w:val="none" w:sz="0" w:space="0" w:color="auto"/>
            <w:right w:val="none" w:sz="0" w:space="0" w:color="auto"/>
          </w:divBdr>
        </w:div>
      </w:divsChild>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F50A1"/>
    <w:rsid w:val="0030575D"/>
    <w:rsid w:val="003D427A"/>
    <w:rsid w:val="003F2A0D"/>
    <w:rsid w:val="00451746"/>
    <w:rsid w:val="004664AD"/>
    <w:rsid w:val="004F7C40"/>
    <w:rsid w:val="005949F6"/>
    <w:rsid w:val="0067232C"/>
    <w:rsid w:val="00683803"/>
    <w:rsid w:val="00692A08"/>
    <w:rsid w:val="006B7855"/>
    <w:rsid w:val="006F1611"/>
    <w:rsid w:val="00776D77"/>
    <w:rsid w:val="0093618A"/>
    <w:rsid w:val="00940A13"/>
    <w:rsid w:val="0099256A"/>
    <w:rsid w:val="00B75200"/>
    <w:rsid w:val="00BA287F"/>
    <w:rsid w:val="00C366AC"/>
    <w:rsid w:val="00D4388C"/>
    <w:rsid w:val="00D50C1F"/>
    <w:rsid w:val="00F13E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68</Pages>
  <Words>16605</Words>
  <Characters>94654</Characters>
  <Application>Microsoft Office Word</Application>
  <DocSecurity>0</DocSecurity>
  <Lines>788</Lines>
  <Paragraphs>222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111037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22</cp:revision>
  <cp:lastPrinted>2026-04-29T04:12:00Z</cp:lastPrinted>
  <dcterms:created xsi:type="dcterms:W3CDTF">2026-04-29T04:12:00Z</dcterms:created>
  <dcterms:modified xsi:type="dcterms:W3CDTF">2026-05-13T15:35:00Z</dcterms:modified>
</cp:coreProperties>
</file>