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497D"/>
        </w:rPr>
        <w:t>Guide d'administration — Plateforme Acuria</w:t>
      </w:r>
    </w:p>
    <w:p>
      <w:pPr>
        <w:shd w:val="clear" w:color="auto" w:fill="EEF3FB"/>
        <w:spacing w:before="80" w:after="120"/>
        <w:ind w:left="216" w:right="144"/>
      </w:pPr>
      <w:r>
        <w:t xml:space="preserve">Guide destiné aux </w:t>
      </w:r>
      <w:r>
        <w:rPr>
          <w:b/>
        </w:rPr>
        <w:t>administrateurs</w:t>
      </w:r>
      <w:r>
        <w:t>. Il remplace l'ancienne procédure mono‑utilisateur</w:t>
      </w:r>
      <w:r>
        <w:br/>
      </w:r>
      <w:r>
        <w:t xml:space="preserve">(Netlify Identity). La plateforme est désormais </w:t>
      </w:r>
      <w:r>
        <w:rPr>
          <w:b/>
        </w:rPr>
        <w:t>multi‑tenant</w:t>
      </w:r>
      <w:r>
        <w:t xml:space="preserve"> : plusieurs cabinets</w:t>
      </w:r>
      <w:r>
        <w:br/>
      </w:r>
      <w:r>
        <w:t>cohabitent, chacun avec ses propres utilisateurs, son SharePoint et sa messagerie.</w:t>
      </w:r>
    </w:p>
    <w:p>
      <w:pPr>
        <w:shd w:val="clear" w:color="auto" w:fill="EEF3FB"/>
        <w:spacing w:before="80" w:after="120"/>
        <w:ind w:left="216" w:right="144"/>
      </w:pPr>
      <w:r>
        <w:t>Deux publics :</w:t>
      </w:r>
      <w:r>
        <w:br/>
      </w:r>
      <w:r>
        <w:t xml:space="preserve">- </w:t>
      </w:r>
      <w:r>
        <w:rPr>
          <w:b/>
        </w:rPr>
        <w:t>Super administrateur</w:t>
      </w:r>
      <w:r>
        <w:t xml:space="preserve"> (plateforme) — gère les tenants et leurs utilisateurs, exploite l'hébergement Vercel.</w:t>
      </w:r>
      <w:r>
        <w:br/>
      </w:r>
      <w:r>
        <w:t xml:space="preserve">- </w:t>
      </w:r>
      <w:r>
        <w:rPr>
          <w:b/>
        </w:rPr>
        <w:t>Administrateur tenant</w:t>
      </w:r>
      <w:r>
        <w:t xml:space="preserve"> (cabinet) — gère les utilisateurs de son cabinet et branche SharePoint / messagerie.</w:t>
      </w:r>
    </w:p>
    <w:p>
      <w:pPr>
        <w:shd w:val="clear" w:color="auto" w:fill="EEF3FB"/>
        <w:spacing w:before="80" w:after="120"/>
        <w:ind w:left="216" w:right="144"/>
      </w:pPr>
      <w:r>
        <w:rPr>
          <w:b/>
        </w:rPr>
        <w:t>Captures d'écran</w:t>
      </w:r>
      <w:r>
        <w:t xml:space="preserve"> — les emplacements </w:t>
      </w:r>
      <w:r>
        <w:rPr>
          <w:rFonts w:ascii="Consolas" w:hAnsi="Consolas"/>
          <w:color w:val="B03060"/>
          <w:sz w:val="19"/>
        </w:rPr>
        <w:t>📸 Capture N</w:t>
      </w:r>
      <w:r>
        <w:t xml:space="preserve"> indiquent précisément quoi photographier</w:t>
      </w:r>
      <w:r>
        <w:br/>
      </w:r>
      <w:r>
        <w:t>et où. Remplacez chaque bloc par la capture réelle avant diffusion.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Table des matières</w:t>
      </w:r>
    </w:p>
    <w:p>
      <w:pPr>
        <w:pStyle w:val="ListNumber"/>
      </w:pPr>
      <w:r>
        <w:rPr>
          <w:i/>
          <w:color w:val="1F497D"/>
        </w:rPr>
        <w:t>Le modèle multi‑tenant en 2 minutes</w:t>
      </w:r>
    </w:p>
    <w:p>
      <w:pPr>
        <w:pStyle w:val="ListNumber"/>
      </w:pPr>
      <w:r>
        <w:rPr>
          <w:i/>
          <w:color w:val="1F497D"/>
        </w:rPr>
        <w:t>Les trois niveaux de rôle</w:t>
      </w:r>
    </w:p>
    <w:p>
      <w:pPr>
        <w:pStyle w:val="ListNumber"/>
      </w:pPr>
      <w:r>
        <w:rPr>
          <w:i/>
          <w:color w:val="1F497D"/>
        </w:rPr>
        <w:t>Gérer les utilisateurs</w:t>
      </w:r>
    </w:p>
    <w:p>
      <w:pPr>
        <w:pStyle w:val="ListNumber"/>
      </w:pPr>
      <w:r>
        <w:rPr>
          <w:i/>
          <w:color w:val="1F497D"/>
        </w:rPr>
        <w:t>Connecter le SharePoint d'un tenant</w:t>
      </w:r>
    </w:p>
    <w:p>
      <w:pPr>
        <w:pStyle w:val="ListNumber"/>
      </w:pPr>
      <w:r>
        <w:rPr>
          <w:i/>
          <w:color w:val="1F497D"/>
        </w:rPr>
        <w:t>Connecter la messagerie d'un tenant (Microsoft 365 ou Gmail)</w:t>
      </w:r>
    </w:p>
    <w:p>
      <w:pPr>
        <w:pStyle w:val="ListNumber"/>
      </w:pPr>
      <w:r>
        <w:rPr>
          <w:i/>
          <w:color w:val="1F497D"/>
        </w:rPr>
        <w:t>Exploitation Vercel : variable d'environnement, redéploiement, logs</w:t>
      </w:r>
    </w:p>
    <w:p>
      <w:pPr>
        <w:pStyle w:val="ListNumber"/>
      </w:pPr>
      <w:r>
        <w:rPr>
          <w:i/>
          <w:color w:val="1F497D"/>
        </w:rPr>
        <w:t>Rotation d'une clé / d'un secret</w:t>
      </w:r>
    </w:p>
    <w:p>
      <w:pPr>
        <w:pStyle w:val="ListNumber"/>
      </w:pPr>
      <w:r>
        <w:rPr>
          <w:i/>
          <w:color w:val="1F497D"/>
        </w:rPr>
        <w:t>Annexe A — Référence des variables d'environnement</w:t>
      </w:r>
    </w:p>
    <w:p>
      <w:pPr>
        <w:pStyle w:val="ListNumber"/>
      </w:pPr>
      <w:r>
        <w:rPr>
          <w:i/>
          <w:color w:val="1F497D"/>
        </w:rPr>
        <w:t>Annexe B — Dépannage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1. Le modèle multi‑tenant en 2 minutes</w:t>
      </w:r>
    </w:p>
    <w:p>
      <w:r>
        <w:t xml:space="preserve">Un </w:t>
      </w:r>
      <w:r>
        <w:rPr>
          <w:b/>
        </w:rPr>
        <w:t>tenant</w:t>
      </w:r>
      <w:r>
        <w:t xml:space="preserve"> = un cabinet. Chaque tenant possède :</w:t>
      </w:r>
    </w:p>
    <w:p>
      <w:pPr>
        <w:pStyle w:val="ListBullet"/>
      </w:pPr>
      <w:r>
        <w:t>sa propre base de données Baserow (clients, KYC, notes, tâches, audit) ;</w:t>
      </w:r>
    </w:p>
    <w:p>
      <w:pPr>
        <w:pStyle w:val="ListBullet"/>
      </w:pPr>
      <w:r>
        <w:t>ses propres utilisateurs ;</w:t>
      </w:r>
    </w:p>
    <w:p>
      <w:pPr>
        <w:pStyle w:val="ListBullet"/>
      </w:pPr>
      <w:r>
        <w:rPr>
          <w:b/>
        </w:rPr>
        <w:t>sa</w:t>
      </w:r>
      <w:r>
        <w:t xml:space="preserve"> connexion SharePoint (dépôt des documents réglementaires) ;</w:t>
      </w:r>
    </w:p>
    <w:p>
      <w:pPr>
        <w:pStyle w:val="ListBullet"/>
      </w:pPr>
      <w:r>
        <w:rPr>
          <w:b/>
        </w:rPr>
        <w:t>sa</w:t>
      </w:r>
      <w:r>
        <w:t xml:space="preserve"> messagerie d'envoi (Microsoft 365 </w:t>
      </w:r>
      <w:r>
        <w:rPr>
          <w:b/>
        </w:rPr>
        <w:t>ou</w:t>
      </w:r>
      <w:r>
        <w:t xml:space="preserve"> Gmail).</w:t>
      </w:r>
    </w:p>
    <w:p>
      <w:r>
        <w:t>Ce qui change par rapport à l'ancien modèle Netlify Identity : il n'y a plus « un seul</w:t>
      </w:r>
    </w:p>
    <w:p>
      <w:r>
        <w:t xml:space="preserve">administrateur / un seul compte ». L'administration se fait sur </w:t>
      </w:r>
      <w:r>
        <w:rPr>
          <w:b/>
        </w:rPr>
        <w:t>trois niveaux</w:t>
      </w:r>
      <w:r>
        <w:t>, et les</w:t>
      </w:r>
    </w:p>
    <w:p>
      <w:r>
        <w:t xml:space="preserve">connexions externes (SharePoint, e‑mail) sont </w:t>
      </w:r>
      <w:r>
        <w:rPr>
          <w:b/>
        </w:rPr>
        <w:t>par cabinet</w:t>
      </w:r>
      <w:r>
        <w:t>, pas globales.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2. Les trois niveaux de rôle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Rôle (interface)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Valeur technique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Périmètre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Ce qu'il peut faire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Super administrateur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super_admin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Toute la plateforme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Créer/gérer les tenants, créer les administrateurs de chaque tenant, consulter l'audit plateforme et le tableau de bord temps réel, exploiter Vercel.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Administrateur tenant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tenant_admin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Un seul cabinet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Gérer les utilisateurs de son cabinet, connecter/déconnecter SharePoint et la messagerie, consulter l'audit du cabinet, accéder au CRM/KYC.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Utilisateur standard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standard_user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Un seul cabinet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Accéder aux clients, KYC (DER/LdM, FCC), outils. </w:t>
            </w:r>
            <w:r>
              <w:rPr>
                <w:b/>
                <w:sz w:val="19"/>
              </w:rPr>
              <w:t>Aucune</w:t>
            </w:r>
            <w:r>
              <w:rPr>
                <w:sz w:val="19"/>
              </w:rPr>
              <w:t xml:space="preserve"> administration. Voit l'état des intégrations en lecture seule.</w:t>
            </w:r>
          </w:p>
        </w:tc>
      </w:tr>
    </w:tbl>
    <w:p>
      <w:pPr>
        <w:spacing w:after="40"/>
      </w:pPr>
    </w:p>
    <w:p>
      <w:r>
        <w:t>Points importants :</w:t>
      </w:r>
    </w:p>
    <w:p>
      <w:pPr>
        <w:pStyle w:val="ListBullet"/>
      </w:pPr>
      <w:r>
        <w:rPr>
          <w:b/>
        </w:rPr>
        <w:t>Le rôle `super_admin` n'est jamais créé depuis l'interface.</w:t>
      </w:r>
      <w:r>
        <w:t xml:space="preserve"> Il est initialisé au déploiement</w:t>
      </w:r>
    </w:p>
    <w:p>
      <w:r>
        <w:t xml:space="preserve">via </w:t>
      </w:r>
      <w:r>
        <w:rPr>
          <w:rFonts w:ascii="Consolas" w:hAnsi="Consolas"/>
          <w:color w:val="B03060"/>
          <w:sz w:val="19"/>
        </w:rPr>
        <w:t>SUPER_ADMIN_*</w:t>
      </w:r>
      <w:r>
        <w:t xml:space="preserve"> + </w:t>
      </w:r>
      <w:r>
        <w:rPr>
          <w:rFonts w:ascii="Consolas" w:hAnsi="Consolas"/>
          <w:color w:val="B03060"/>
          <w:sz w:val="19"/>
        </w:rPr>
        <w:t>npm run setup</w:t>
      </w:r>
      <w:r>
        <w:t>, puis sa rotation de mot de passe se fait en ligne de</w:t>
      </w:r>
    </w:p>
    <w:p>
      <w:r>
        <w:t>commande (voir §7). Les menus déroulants « Type de compte » ne proposent donc que</w:t>
      </w:r>
    </w:p>
    <w:p>
      <w:r>
        <w:rPr>
          <w:b/>
        </w:rPr>
        <w:t>Administrateur tenant</w:t>
      </w:r>
      <w:r>
        <w:t xml:space="preserve"> et </w:t>
      </w:r>
      <w:r>
        <w:rPr>
          <w:b/>
        </w:rPr>
        <w:t>Utilisateur standard</w:t>
      </w:r>
      <w:r>
        <w:t>.</w:t>
      </w:r>
    </w:p>
    <w:p>
      <w:pPr>
        <w:pStyle w:val="ListBullet"/>
      </w:pPr>
      <w:r>
        <w:t xml:space="preserve">Un utilisateur ne peut </w:t>
      </w:r>
      <w:r>
        <w:rPr>
          <w:b/>
        </w:rPr>
        <w:t>ni modifier son propre rôle ni son propre statut</w:t>
      </w:r>
      <w:r>
        <w:t xml:space="preserve"> (garde‑fou anti‑verrouillage).</w:t>
      </w:r>
    </w:p>
    <w:p>
      <w:pPr>
        <w:pStyle w:val="ListBullet"/>
      </w:pPr>
      <w:r>
        <w:t xml:space="preserve">Un </w:t>
      </w:r>
      <w:r>
        <w:rPr>
          <w:b/>
        </w:rPr>
        <w:t>utilisateur standard</w:t>
      </w:r>
      <w:r>
        <w:t xml:space="preserve"> est rattaché à une fiche </w:t>
      </w:r>
      <w:r>
        <w:rPr>
          <w:b/>
        </w:rPr>
        <w:t>gestionnaire</w:t>
      </w:r>
      <w:r>
        <w:t xml:space="preserve"> (prénom, nom, ORIAS, etc.),</w:t>
      </w:r>
    </w:p>
    <w:p>
      <w:r>
        <w:t>d'où le formulaire enrichi lorsqu'on choisit ce type de compte.</w:t>
      </w:r>
    </w:p>
    <w:p>
      <w:r>
        <w:t>Où se trouve l'administration selon le rôle connecté :</w:t>
      </w:r>
    </w:p>
    <w:p>
      <w:pPr>
        <w:pStyle w:val="ListBullet"/>
      </w:pPr>
      <w:r>
        <w:rPr>
          <w:b/>
        </w:rPr>
        <w:t>Super admin</w:t>
      </w:r>
      <w:r>
        <w:t xml:space="preserve"> → menu latéral </w:t>
      </w:r>
      <w:r>
        <w:rPr>
          <w:b/>
        </w:rPr>
        <w:t>Plateforme</w:t>
      </w:r>
      <w:r>
        <w:t xml:space="preserve"> (Accueil, Tenants, Audit). La gestion des</w:t>
      </w:r>
    </w:p>
    <w:p>
      <w:r>
        <w:t xml:space="preserve">utilisateurs se fait </w:t>
      </w:r>
      <w:r>
        <w:rPr>
          <w:b/>
        </w:rPr>
        <w:t>dans un tenant</w:t>
      </w:r>
      <w:r>
        <w:t xml:space="preserve"> (voir §3.2).</w:t>
      </w:r>
    </w:p>
    <w:p>
      <w:pPr>
        <w:pStyle w:val="ListBullet"/>
      </w:pPr>
      <w:r>
        <w:rPr>
          <w:b/>
        </w:rPr>
        <w:t>Admin tenant</w:t>
      </w:r>
      <w:r>
        <w:t xml:space="preserve"> → menu latéral </w:t>
      </w:r>
      <w:r>
        <w:rPr>
          <w:b/>
        </w:rPr>
        <w:t>Administration</w:t>
      </w:r>
      <w:r>
        <w:t xml:space="preserve"> (Utilisateurs, Audit, Intégrations).</w:t>
      </w:r>
    </w:p>
    <w:p>
      <w:pPr>
        <w:pStyle w:val="ListBullet"/>
      </w:pPr>
      <w:r>
        <w:rPr>
          <w:b/>
        </w:rPr>
        <w:t>Utilisateur standard</w:t>
      </w:r>
      <w:r>
        <w:t xml:space="preserve"> → pas de section Administration.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</w:t>
      </w:r>
      <w:r>
        <w:t xml:space="preserve"> — Menu latéral connecté en </w:t>
      </w:r>
      <w:r>
        <w:rPr>
          <w:b/>
        </w:rPr>
        <w:t>super_admin</w:t>
      </w:r>
      <w:r>
        <w:t xml:space="preserve"> (section « Plateforme » : Accueil / Tenants / Audit).</w:t>
      </w:r>
      <w:r>
        <w:br/>
      </w:r>
      <w:r>
        <w:t xml:space="preserve">📸 </w:t>
      </w:r>
      <w:r>
        <w:rPr>
          <w:b/>
        </w:rPr>
        <w:t>Capture 2</w:t>
      </w:r>
      <w:r>
        <w:t xml:space="preserve"> — Menu latéral connecté en </w:t>
      </w:r>
      <w:r>
        <w:rPr>
          <w:b/>
        </w:rPr>
        <w:t>tenant_admin</w:t>
      </w:r>
      <w:r>
        <w:t xml:space="preserve"> (section « Administration » : Utilisateurs / Audit / Intégrations).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3. Gérer les utilisateurs</w:t>
      </w:r>
    </w:p>
    <w:p>
      <w:r>
        <w:t>Deux parcours selon votre rôle. Le résultat (invitation par e‑mail, définition du mot de passe)</w:t>
      </w:r>
    </w:p>
    <w:p>
      <w:r>
        <w:t>est identique.</w:t>
      </w:r>
    </w:p>
    <w:p>
      <w:pPr>
        <w:pStyle w:val="Heading3"/>
      </w:pPr>
      <w:r>
        <w:rPr>
          <w:color w:val="1F497D"/>
        </w:rPr>
        <w:t>3.1 En tant qu'administrateur tenant (utilisateurs de mon cabinet)</w:t>
      </w:r>
    </w:p>
    <w:p>
      <w:r>
        <w:rPr>
          <w:b/>
        </w:rPr>
        <w:t>Ajouter un utilisateur</w:t>
      </w:r>
    </w:p>
    <w:p>
      <w:pPr>
        <w:pStyle w:val="ListNumber"/>
      </w:pPr>
      <w:r>
        <w:t xml:space="preserve">Menu latéral → </w:t>
      </w:r>
      <w:r>
        <w:rPr>
          <w:b/>
        </w:rPr>
        <w:t>Administration → Utilisateurs</w:t>
      </w:r>
      <w:r>
        <w:t>.</w:t>
      </w:r>
    </w:p>
    <w:p>
      <w:pPr>
        <w:pStyle w:val="ListNumber"/>
      </w:pPr>
      <w:r>
        <w:t xml:space="preserve">Bouton </w:t>
      </w:r>
      <w:r>
        <w:rPr>
          <w:b/>
        </w:rPr>
        <w:t>Nouvel utilisateur</w:t>
      </w:r>
      <w:r>
        <w:t xml:space="preserve"> (en haut à droite).</w:t>
      </w:r>
    </w:p>
    <w:p>
      <w:pPr>
        <w:pStyle w:val="ListNumber"/>
      </w:pPr>
      <w:r>
        <w:t xml:space="preserve">Champ </w:t>
      </w:r>
      <w:r>
        <w:rPr>
          <w:b/>
        </w:rPr>
        <w:t>Type de compte</w:t>
      </w:r>
      <w:r>
        <w:t xml:space="preserve"> : choisir </w:t>
      </w:r>
      <w:r>
        <w:rPr>
          <w:b/>
        </w:rPr>
        <w:t>Administrateur tenant</w:t>
      </w:r>
      <w:r>
        <w:t xml:space="preserve"> ou </w:t>
      </w:r>
      <w:r>
        <w:rPr>
          <w:b/>
        </w:rPr>
        <w:t>Utilisateur standard</w:t>
      </w:r>
      <w:r>
        <w:t>.</w:t>
      </w:r>
    </w:p>
    <w:p>
      <w:pPr>
        <w:pStyle w:val="ListBullet2"/>
      </w:pPr>
      <w:r>
        <w:t xml:space="preserve">*Administrateur tenant* → saisir </w:t>
      </w:r>
      <w:r>
        <w:rPr>
          <w:b/>
        </w:rPr>
        <w:t>Nom</w:t>
      </w:r>
      <w:r>
        <w:t xml:space="preserve"> + </w:t>
      </w:r>
      <w:r>
        <w:rPr>
          <w:b/>
        </w:rPr>
        <w:t>E‑mail</w:t>
      </w:r>
      <w:r>
        <w:t>.</w:t>
      </w:r>
    </w:p>
    <w:p>
      <w:pPr>
        <w:pStyle w:val="ListBullet2"/>
      </w:pPr>
      <w:r>
        <w:t xml:space="preserve">*Utilisateur standard* → saisir les champs </w:t>
      </w:r>
      <w:r>
        <w:rPr>
          <w:b/>
        </w:rPr>
        <w:t>gestionnaire</w:t>
      </w:r>
      <w:r>
        <w:t xml:space="preserve"> (prénom, nom, e‑mail…).</w:t>
      </w:r>
    </w:p>
    <w:p>
      <w:pPr>
        <w:pStyle w:val="ListNumber"/>
      </w:pPr>
      <w:r>
        <w:rPr>
          <w:b/>
        </w:rPr>
        <w:t>Créer</w:t>
      </w:r>
      <w:r>
        <w:t>. Une fenêtre de confirmation rappelle qu'</w:t>
      </w:r>
      <w:r>
        <w:rPr>
          <w:b/>
        </w:rPr>
        <w:t>un e‑mail d'activation</w:t>
      </w:r>
      <w:r>
        <w:t xml:space="preserve"> sera envoyé à</w:t>
      </w:r>
    </w:p>
    <w:p>
      <w:r>
        <w:t>l'adresse saisie. Confirmer.</w:t>
      </w:r>
    </w:p>
    <w:p>
      <w:pPr>
        <w:pStyle w:val="ListNumber"/>
      </w:pPr>
      <w:r>
        <w:t xml:space="preserve">L'utilisateur reçoit un e‑mail pour </w:t>
      </w:r>
      <w:r>
        <w:rPr>
          <w:b/>
        </w:rPr>
        <w:t>définir son mot de passe</w:t>
      </w:r>
      <w:r>
        <w:t xml:space="preserve"> ; son statut est</w:t>
      </w:r>
    </w:p>
    <w:p>
      <w:r>
        <w:t xml:space="preserve">« </w:t>
      </w:r>
      <w:r>
        <w:rPr>
          <w:b/>
        </w:rPr>
        <w:t>En attente d'activation</w:t>
      </w:r>
      <w:r>
        <w:t xml:space="preserve"> » jusqu'à la première connexion.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3</w:t>
      </w:r>
      <w:r>
        <w:t xml:space="preserve"> — Liste </w:t>
      </w:r>
      <w:r>
        <w:rPr>
          <w:b/>
        </w:rPr>
        <w:t>Administration → Utilisateurs</w:t>
      </w:r>
      <w:r>
        <w:t xml:space="preserve"> (colonnes Nom / E‑mail / Rôle / Statut + actions).</w:t>
      </w:r>
      <w:r>
        <w:br/>
      </w:r>
      <w:r>
        <w:t xml:space="preserve">📸 </w:t>
      </w:r>
      <w:r>
        <w:rPr>
          <w:b/>
        </w:rPr>
        <w:t>Capture 4</w:t>
      </w:r>
      <w:r>
        <w:t xml:space="preserve"> — Formulaire </w:t>
      </w:r>
      <w:r>
        <w:rPr>
          <w:b/>
        </w:rPr>
        <w:t>Nouvel utilisateur</w:t>
      </w:r>
      <w:r>
        <w:t>, menu « Type de compte » déroulé.</w:t>
      </w:r>
    </w:p>
    <w:p>
      <w:r>
        <w:rPr>
          <w:b/>
        </w:rPr>
        <w:t>Modifier un utilisateur</w:t>
      </w:r>
      <w:r>
        <w:t xml:space="preserve"> — action </w:t>
      </w:r>
      <w:r>
        <w:rPr>
          <w:b/>
        </w:rPr>
        <w:t>Modifier</w:t>
      </w:r>
      <w:r>
        <w:t xml:space="preserve"> sur la ligne. On peut changer le nom, le rôle</w:t>
      </w:r>
    </w:p>
    <w:p>
      <w:r>
        <w:t xml:space="preserve">et le </w:t>
      </w:r>
      <w:r>
        <w:rPr>
          <w:b/>
        </w:rPr>
        <w:t>Statut plateforme</w:t>
      </w:r>
      <w:r>
        <w:t xml:space="preserve"> (Actif / Inactif / En attente d'activation). L'e‑mail existant est en</w:t>
      </w:r>
    </w:p>
    <w:p>
      <w:r>
        <w:t>lecture seule. *(Vous ne pouvez pas modifier votre propre rôle/statut.)*</w:t>
      </w:r>
    </w:p>
    <w:p>
      <w:r>
        <w:rPr>
          <w:b/>
        </w:rPr>
        <w:t>Réinitialiser le mot de passe</w:t>
      </w:r>
      <w:r>
        <w:t xml:space="preserve"> — action </w:t>
      </w:r>
      <w:r>
        <w:rPr>
          <w:b/>
        </w:rPr>
        <w:t>Réinitialiser le MDP</w:t>
      </w:r>
      <w:r>
        <w:t xml:space="preserve"> (visible si l'utilisateur a un</w:t>
      </w:r>
    </w:p>
    <w:p>
      <w:r>
        <w:t>e‑mail). Un e‑mail de réinitialisation lui est envoyé. Utile quand un collaborateur est bloqué.</w:t>
      </w:r>
    </w:p>
    <w:p>
      <w:r>
        <w:rPr>
          <w:b/>
        </w:rPr>
        <w:t>Supprimer un utilisateur</w:t>
      </w:r>
      <w:r>
        <w:t xml:space="preserve"> — action </w:t>
      </w:r>
      <w:r>
        <w:rPr>
          <w:b/>
        </w:rPr>
        <w:t>Supprimer</w:t>
      </w:r>
      <w:r>
        <w:t xml:space="preserve"> → confirmation « action irréversible ». Le</w:t>
      </w:r>
    </w:p>
    <w:p>
      <w:r>
        <w:t>bouton est désactivé sur votre propre compte.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5</w:t>
      </w:r>
      <w:r>
        <w:t xml:space="preserve"> — Boîte de confirmation de suppression (« Voulez‑vous vraiment supprimer … »).</w:t>
      </w:r>
    </w:p>
    <w:p>
      <w:pPr>
        <w:pStyle w:val="Heading3"/>
      </w:pPr>
      <w:r>
        <w:rPr>
          <w:color w:val="1F497D"/>
        </w:rPr>
        <w:t>3.2 En tant que super administrateur (utilisateurs de n'importe quel tenant)</w:t>
      </w:r>
    </w:p>
    <w:p>
      <w:r>
        <w:t xml:space="preserve">Le super admin n'a pas d'entrée « Utilisateurs » directe : il passe </w:t>
      </w:r>
      <w:r>
        <w:rPr>
          <w:b/>
        </w:rPr>
        <w:t>par le tenant</w:t>
      </w:r>
      <w:r>
        <w:t>.</w:t>
      </w:r>
    </w:p>
    <w:p>
      <w:pPr>
        <w:pStyle w:val="ListNumber"/>
      </w:pPr>
      <w:r>
        <w:t xml:space="preserve">Menu latéral → </w:t>
      </w:r>
      <w:r>
        <w:rPr>
          <w:b/>
        </w:rPr>
        <w:t>Plateforme → Tenants</w:t>
      </w:r>
      <w:r>
        <w:t>.</w:t>
      </w:r>
    </w:p>
    <w:p>
      <w:pPr>
        <w:pStyle w:val="ListNumber"/>
      </w:pPr>
      <w:r>
        <w:t xml:space="preserve">Ouvrir le tenant concerné, puis son onglet/écran </w:t>
      </w:r>
      <w:r>
        <w:rPr>
          <w:b/>
        </w:rPr>
        <w:t>Utilisateurs</w:t>
      </w:r>
      <w:r>
        <w:t>.</w:t>
      </w:r>
    </w:p>
    <w:p>
      <w:pPr>
        <w:pStyle w:val="ListNumber"/>
      </w:pPr>
      <w:r>
        <w:t xml:space="preserve">Bouton </w:t>
      </w:r>
      <w:r>
        <w:rPr>
          <w:b/>
        </w:rPr>
        <w:t>Ajouter un utilisateur</w:t>
      </w:r>
      <w:r>
        <w:t xml:space="preserve"> → même formulaire (Type de compte, Nom/E‑mail ou champs</w:t>
      </w:r>
    </w:p>
    <w:p>
      <w:r>
        <w:t xml:space="preserve">gestionnaire). Le bloc </w:t>
      </w:r>
      <w:r>
        <w:rPr>
          <w:b/>
        </w:rPr>
        <w:t>rappelle le tenant, son identifiant (slug) et son statut</w:t>
      </w:r>
      <w:r>
        <w:t xml:space="preserve"> en haut de liste.</w:t>
      </w:r>
    </w:p>
    <w:p>
      <w:pPr>
        <w:pStyle w:val="ListNumber"/>
      </w:pPr>
      <w:r>
        <w:t xml:space="preserve">Les actions </w:t>
      </w:r>
      <w:r>
        <w:rPr>
          <w:b/>
        </w:rPr>
        <w:t>Modifier / Réinitialiser le MDP / Supprimer</w:t>
      </w:r>
      <w:r>
        <w:t xml:space="preserve"> sont identiques à §3.1, mais</w:t>
      </w:r>
    </w:p>
    <w:p>
      <w:r>
        <w:t xml:space="preserve">s'appliquent aux utilisateurs </w:t>
      </w:r>
      <w:r>
        <w:rPr>
          <w:b/>
        </w:rPr>
        <w:t>de ce tenant</w:t>
      </w:r>
      <w:r>
        <w:t>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6</w:t>
      </w:r>
      <w:r>
        <w:t xml:space="preserve"> — Écran </w:t>
      </w:r>
      <w:r>
        <w:rPr>
          <w:b/>
        </w:rPr>
        <w:t>Tenant → Utilisateurs</w:t>
      </w:r>
      <w:r>
        <w:t xml:space="preserve"> (bandeau Tenant / Identifiant / Statut + tableau).</w:t>
      </w:r>
      <w:r>
        <w:br/>
      </w:r>
      <w:r>
        <w:t xml:space="preserve">📸 </w:t>
      </w:r>
      <w:r>
        <w:rPr>
          <w:b/>
        </w:rPr>
        <w:t>Capture 7</w:t>
      </w:r>
      <w:r>
        <w:t xml:space="preserve"> — Formulaire d'ajout inline ouvert sur cet écran.</w:t>
      </w:r>
    </w:p>
    <w:p>
      <w:pPr>
        <w:shd w:val="clear" w:color="auto" w:fill="EEF3FB"/>
        <w:spacing w:before="80" w:after="120"/>
        <w:ind w:left="216" w:right="144"/>
      </w:pPr>
      <w:r>
        <w:rPr>
          <w:b/>
        </w:rPr>
        <w:t>Note</w:t>
      </w:r>
      <w:r>
        <w:t xml:space="preserve"> — C'est ici que l'on crée le </w:t>
      </w:r>
      <w:r>
        <w:rPr>
          <w:b/>
        </w:rPr>
        <w:t>premier administrateur</w:t>
      </w:r>
      <w:r>
        <w:t xml:space="preserve"> d'un nouveau cabinet.</w:t>
      </w:r>
      <w:r>
        <w:br/>
      </w:r>
      <w:r>
        <w:t xml:space="preserve">Une fois cet </w:t>
      </w:r>
      <w:r>
        <w:rPr>
          <w:rFonts w:ascii="Consolas" w:hAnsi="Consolas"/>
          <w:color w:val="B03060"/>
          <w:sz w:val="19"/>
        </w:rPr>
        <w:t>tenant_admin</w:t>
      </w:r>
      <w:r>
        <w:t xml:space="preserve"> créé, il pourra à son tour créer les utilisateurs standard et</w:t>
      </w:r>
      <w:r>
        <w:br/>
      </w:r>
      <w:r>
        <w:t>brancher SharePoint / la messagerie (§4–§5).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4. Connecter le SharePoint d'un tenant</w:t>
      </w:r>
    </w:p>
    <w:p>
      <w:r>
        <w:rPr>
          <w:b/>
        </w:rPr>
        <w:t>Qui ?</w:t>
      </w:r>
      <w:r>
        <w:t xml:space="preserve"> L'</w:t>
      </w:r>
      <w:r>
        <w:rPr>
          <w:b/>
        </w:rPr>
        <w:t>administrateur du tenant</w:t>
      </w:r>
      <w:r>
        <w:t xml:space="preserve"> (un utilisateur standard ne voit qu'un état en lecture</w:t>
      </w:r>
    </w:p>
    <w:p>
      <w:r>
        <w:t xml:space="preserve">seule). Cette connexion est </w:t>
      </w:r>
      <w:r>
        <w:rPr>
          <w:b/>
        </w:rPr>
        <w:t>obligatoire</w:t>
      </w:r>
      <w:r>
        <w:t xml:space="preserve"> : au premier accès, un écran d'</w:t>
      </w:r>
      <w:r>
        <w:rPr>
          <w:b/>
        </w:rPr>
        <w:t>onboarding</w:t>
      </w:r>
      <w:r>
        <w:t xml:space="preserve"> bloque le</w:t>
      </w:r>
    </w:p>
    <w:p>
      <w:r>
        <w:t xml:space="preserve">tableau de bord tant que SharePoint </w:t>
      </w:r>
      <w:r>
        <w:rPr>
          <w:b/>
        </w:rPr>
        <w:t>et</w:t>
      </w:r>
      <w:r>
        <w:t xml:space="preserve"> la messagerie ne sont pas connectés.</w:t>
      </w:r>
    </w:p>
    <w:p>
      <w:pPr>
        <w:pStyle w:val="Heading3"/>
      </w:pPr>
      <w:r>
        <w:rPr>
          <w:color w:val="1F497D"/>
        </w:rPr>
        <w:t>4.1 Pré‑requis côté plateforme (une seule fois, par le super admin)</w:t>
      </w:r>
    </w:p>
    <w:p>
      <w:r>
        <w:t xml:space="preserve">Une </w:t>
      </w:r>
      <w:r>
        <w:rPr>
          <w:b/>
        </w:rPr>
        <w:t>application Entra ID (Azure) multi‑tenant</w:t>
      </w:r>
      <w:r>
        <w:t xml:space="preserve"> partagée par tous les cabinets. Détails complets :</w:t>
      </w:r>
    </w:p>
    <w:p>
      <w:r>
        <w:rPr>
          <w:i/>
          <w:color w:val="1F497D"/>
        </w:rPr>
        <w:t>`docs/SharePoint_OAuth_Setup_Acuria.docx`</w:t>
      </w:r>
      <w:r>
        <w:t>. En résumé :</w:t>
      </w:r>
    </w:p>
    <w:p>
      <w:pPr>
        <w:pStyle w:val="ListBullet"/>
      </w:pPr>
      <w:r>
        <w:t xml:space="preserve">App enregistrée en </w:t>
      </w:r>
      <w:r>
        <w:rPr>
          <w:b/>
        </w:rPr>
        <w:t>« Multitenant »</w:t>
      </w:r>
      <w:r>
        <w:t xml:space="preserve"> (sinon les cabinets ne peuvent pas consentir).</w:t>
      </w:r>
    </w:p>
    <w:p>
      <w:pPr>
        <w:pStyle w:val="ListBullet"/>
      </w:pPr>
      <w:r>
        <w:t xml:space="preserve">URI de redirection </w:t>
      </w:r>
      <w:r>
        <w:rPr>
          <w:b/>
        </w:rPr>
        <w:t>Web</w:t>
      </w:r>
      <w:r>
        <w:t xml:space="preserve"> = </w:t>
      </w:r>
      <w:r>
        <w:rPr>
          <w:rFonts w:ascii="Consolas" w:hAnsi="Consolas"/>
          <w:color w:val="B03060"/>
          <w:sz w:val="19"/>
        </w:rPr>
        <w:t>https://app.acuria.com/api/oauth/sharepoint/callback</w:t>
      </w:r>
      <w:r>
        <w:t xml:space="preserve"> (identique au byte près à </w:t>
      </w:r>
      <w:r>
        <w:rPr>
          <w:rFonts w:ascii="Consolas" w:hAnsi="Consolas"/>
          <w:color w:val="B03060"/>
          <w:sz w:val="19"/>
        </w:rPr>
        <w:t>AZURE_REDIRECT_URI</w:t>
      </w:r>
      <w:r>
        <w:t>).</w:t>
      </w:r>
    </w:p>
    <w:p>
      <w:pPr>
        <w:pStyle w:val="ListBullet"/>
      </w:pPr>
      <w:r>
        <w:t xml:space="preserve">Permissions </w:t>
      </w:r>
      <w:r>
        <w:rPr>
          <w:b/>
        </w:rPr>
        <w:t>Microsoft Graph déléguées</w:t>
      </w:r>
      <w:r>
        <w:t xml:space="preserve"> : </w:t>
      </w:r>
      <w:r>
        <w:rPr>
          <w:rFonts w:ascii="Consolas" w:hAnsi="Consolas"/>
          <w:color w:val="B03060"/>
          <w:sz w:val="19"/>
        </w:rPr>
        <w:t>Sites.ReadWrite.All</w:t>
      </w:r>
      <w:r>
        <w:t xml:space="preserve">, </w:t>
      </w:r>
      <w:r>
        <w:rPr>
          <w:rFonts w:ascii="Consolas" w:hAnsi="Consolas"/>
          <w:color w:val="B03060"/>
          <w:sz w:val="19"/>
        </w:rPr>
        <w:t>offline_access</w:t>
      </w:r>
      <w:r>
        <w:t>.</w:t>
      </w:r>
    </w:p>
    <w:p>
      <w:pPr>
        <w:pStyle w:val="ListBullet"/>
      </w:pPr>
      <w:r>
        <w:t xml:space="preserve">Variables Vercel : </w:t>
      </w:r>
      <w:r>
        <w:rPr>
          <w:rFonts w:ascii="Consolas" w:hAnsi="Consolas"/>
          <w:color w:val="B03060"/>
          <w:sz w:val="19"/>
        </w:rPr>
        <w:t>AZURE_CLIENT_ID</w:t>
      </w:r>
      <w:r>
        <w:t xml:space="preserve">, </w:t>
      </w:r>
      <w:r>
        <w:rPr>
          <w:rFonts w:ascii="Consolas" w:hAnsi="Consolas"/>
          <w:color w:val="B03060"/>
          <w:sz w:val="19"/>
        </w:rPr>
        <w:t>AZURE_CLIENT_SECRET</w:t>
      </w:r>
      <w:r>
        <w:t xml:space="preserve">, </w:t>
      </w:r>
      <w:r>
        <w:rPr>
          <w:rFonts w:ascii="Consolas" w:hAnsi="Consolas"/>
          <w:color w:val="B03060"/>
          <w:sz w:val="19"/>
        </w:rPr>
        <w:t>AZURE_REDIRECT_URI</w:t>
      </w:r>
      <w:r>
        <w:t xml:space="preserve">, </w:t>
      </w:r>
      <w:r>
        <w:rPr>
          <w:rFonts w:ascii="Consolas" w:hAnsi="Consolas"/>
          <w:color w:val="B03060"/>
          <w:sz w:val="19"/>
        </w:rPr>
        <w:t>TOKEN_ENCRYPTION_KEY</w:t>
      </w:r>
      <w:r>
        <w:t>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8</w:t>
      </w:r>
      <w:r>
        <w:t xml:space="preserve"> — Portail Azure : page « Authentication » de l'app, URI de redirection Web visible.</w:t>
      </w:r>
      <w:r>
        <w:br/>
      </w:r>
      <w:r>
        <w:t xml:space="preserve">📸 </w:t>
      </w:r>
      <w:r>
        <w:rPr>
          <w:b/>
        </w:rPr>
        <w:t>Capture 9</w:t>
      </w:r>
      <w:r>
        <w:t xml:space="preserve"> — Portail Azure : « API permissions » montrant </w:t>
      </w:r>
      <w:r>
        <w:rPr>
          <w:rFonts w:ascii="Consolas" w:hAnsi="Consolas"/>
          <w:color w:val="B03060"/>
          <w:sz w:val="19"/>
        </w:rPr>
        <w:t>Sites.ReadWrite.All</w:t>
      </w:r>
      <w:r>
        <w:t xml:space="preserve"> + </w:t>
      </w:r>
      <w:r>
        <w:rPr>
          <w:rFonts w:ascii="Consolas" w:hAnsi="Consolas"/>
          <w:color w:val="B03060"/>
          <w:sz w:val="19"/>
        </w:rPr>
        <w:t>offline_access</w:t>
      </w:r>
      <w:r>
        <w:t xml:space="preserve"> (déléguées).</w:t>
      </w:r>
    </w:p>
    <w:p>
      <w:pPr>
        <w:pStyle w:val="Heading3"/>
      </w:pPr>
      <w:r>
        <w:rPr>
          <w:color w:val="1F497D"/>
        </w:rPr>
        <w:t>4.2 Connexion depuis le produit (par l'admin du cabinet)</w:t>
      </w:r>
    </w:p>
    <w:p>
      <w:pPr>
        <w:pStyle w:val="ListNumber"/>
      </w:pPr>
      <w:r>
        <w:t xml:space="preserve">Connecté en </w:t>
      </w:r>
      <w:r>
        <w:rPr>
          <w:b/>
        </w:rPr>
        <w:t>tenant_admin</w:t>
      </w:r>
      <w:r>
        <w:t xml:space="preserve"> → </w:t>
      </w:r>
      <w:r>
        <w:rPr>
          <w:b/>
        </w:rPr>
        <w:t>Administration → Intégrations</w:t>
      </w:r>
      <w:r>
        <w:t xml:space="preserve"> (ou l'écran d'onboarding au premier accès).</w:t>
      </w:r>
    </w:p>
    <w:p>
      <w:pPr>
        <w:pStyle w:val="ListNumber"/>
      </w:pPr>
      <w:r>
        <w:t xml:space="preserve">Carte </w:t>
      </w:r>
      <w:r>
        <w:rPr>
          <w:b/>
        </w:rPr>
        <w:t>Microsoft 365 / SharePoint</w:t>
      </w:r>
      <w:r>
        <w:t xml:space="preserve"> → </w:t>
      </w:r>
      <w:r>
        <w:rPr>
          <w:b/>
        </w:rPr>
        <w:t>Connecter SharePoint</w:t>
      </w:r>
      <w:r>
        <w:t>.</w:t>
      </w:r>
    </w:p>
    <w:p>
      <w:pPr>
        <w:pStyle w:val="ListNumber"/>
      </w:pPr>
      <w:r>
        <w:t xml:space="preserve">Redirection vers Microsoft : choisir le compte du cabinet et </w:t>
      </w:r>
      <w:r>
        <w:rPr>
          <w:b/>
        </w:rPr>
        <w:t>accepter</w:t>
      </w:r>
      <w:r>
        <w:t xml:space="preserve"> les autorisations.</w:t>
      </w:r>
    </w:p>
    <w:p>
      <w:pPr>
        <w:pStyle w:val="ListNumber"/>
      </w:pPr>
      <w:r>
        <w:t>Retour dans l'app :</w:t>
      </w:r>
    </w:p>
    <w:p>
      <w:pPr>
        <w:pStyle w:val="ListBullet2"/>
      </w:pPr>
      <w:r>
        <w:rPr>
          <w:b/>
        </w:rPr>
        <w:t>« SharePoint connecté »</w:t>
      </w:r>
      <w:r>
        <w:t xml:space="preserve"> → terminé (le site cible a été détecté automatiquement) ;</w:t>
      </w:r>
    </w:p>
    <w:p>
      <w:pPr>
        <w:pStyle w:val="ListBullet2"/>
      </w:pPr>
      <w:r>
        <w:rPr>
          <w:b/>
        </w:rPr>
        <w:t>« Configuration requise »</w:t>
      </w:r>
      <w:r>
        <w:t xml:space="preserve"> → le compte est connecté mais le site n'a pas été détecté.</w:t>
      </w:r>
    </w:p>
    <w:p>
      <w:r>
        <w:t xml:space="preserve">Saisir alors </w:t>
      </w:r>
      <w:r>
        <w:rPr>
          <w:b/>
        </w:rPr>
        <w:t>Site ID</w:t>
      </w:r>
      <w:r>
        <w:t xml:space="preserve"> et </w:t>
      </w:r>
      <w:r>
        <w:rPr>
          <w:b/>
        </w:rPr>
        <w:t>Drive ID</w:t>
      </w:r>
      <w:r>
        <w:t xml:space="preserve"> puis </w:t>
      </w:r>
      <w:r>
        <w:rPr>
          <w:b/>
        </w:rPr>
        <w:t>Enregistrer</w:t>
      </w:r>
      <w:r>
        <w:t>.</w:t>
      </w:r>
    </w:p>
    <w:p>
      <w:pPr>
        <w:pStyle w:val="ListNumber"/>
      </w:pPr>
      <w:r>
        <w:t xml:space="preserve">Pour changer de compte : </w:t>
      </w:r>
      <w:r>
        <w:rPr>
          <w:b/>
        </w:rPr>
        <w:t>Déconnecter</w:t>
      </w:r>
      <w:r>
        <w:t>, puis reconnecter.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10</w:t>
      </w:r>
      <w:r>
        <w:t xml:space="preserve"> — Carte SharePoint </w:t>
      </w:r>
      <w:r>
        <w:rPr>
          <w:b/>
        </w:rPr>
        <w:t>non connectée</w:t>
      </w:r>
      <w:r>
        <w:t xml:space="preserve"> (bouton « Connecter SharePoint »).</w:t>
      </w:r>
      <w:r>
        <w:br/>
      </w:r>
      <w:r>
        <w:t xml:space="preserve">📸 </w:t>
      </w:r>
      <w:r>
        <w:rPr>
          <w:b/>
        </w:rPr>
        <w:t>Capture 11</w:t>
      </w:r>
      <w:r>
        <w:t xml:space="preserve"> — Carte SharePoint </w:t>
      </w:r>
      <w:r>
        <w:rPr>
          <w:b/>
        </w:rPr>
        <w:t>connectée</w:t>
      </w:r>
      <w:r>
        <w:t xml:space="preserve"> (nom du site + date + « Déconnecter »).</w:t>
      </w:r>
      <w:r>
        <w:br/>
      </w:r>
      <w:r>
        <w:t xml:space="preserve">📸 </w:t>
      </w:r>
      <w:r>
        <w:rPr>
          <w:b/>
        </w:rPr>
        <w:t>Capture 12</w:t>
      </w:r>
      <w:r>
        <w:t xml:space="preserve"> — Cas « Configuration requise » avec les champs </w:t>
      </w:r>
      <w:r>
        <w:rPr>
          <w:b/>
        </w:rPr>
        <w:t>Site ID</w:t>
      </w:r>
      <w:r>
        <w:t xml:space="preserve"> / </w:t>
      </w:r>
      <w:r>
        <w:rPr>
          <w:b/>
        </w:rPr>
        <w:t>Drive ID</w:t>
      </w:r>
      <w:r>
        <w:t>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5. Connecter la messagerie d'un tenant (Microsoft 365 ou Gmail)</w:t>
      </w:r>
    </w:p>
    <w:p>
      <w:r>
        <w:t>Chaque cabinet envoie ses e‑mails (documents réglementaires, relances DocuSign) **depuis sa propre</w:t>
      </w:r>
    </w:p>
    <w:p>
      <w:r>
        <w:t>boîte</w:t>
      </w:r>
      <w:r>
        <w:rPr>
          <w:b/>
        </w:rPr>
        <w:t xml:space="preserve">. Un cabinet connecte </w:t>
      </w:r>
      <w:r>
        <w:t>soit</w:t>
      </w:r>
      <w:r>
        <w:rPr>
          <w:b/>
        </w:rPr>
        <w:t xml:space="preserve"> Microsoft 365 (`Mail.Send`) </w:t>
      </w:r>
      <w:r>
        <w:t>soit** Gmail (</w:t>
      </w:r>
      <w:r>
        <w:rPr>
          <w:rFonts w:ascii="Consolas" w:hAnsi="Consolas"/>
          <w:color w:val="B03060"/>
          <w:sz w:val="19"/>
        </w:rPr>
        <w:t>gmail.send</w:t>
      </w:r>
      <w:r>
        <w:t>) —</w:t>
      </w:r>
    </w:p>
    <w:p>
      <w:r>
        <w:t xml:space="preserve">pas les deux à la fois. Détails : </w:t>
      </w:r>
      <w:r>
        <w:rPr>
          <w:i/>
          <w:color w:val="1F497D"/>
        </w:rPr>
        <w:t>`docs/Email_OAuth_Setup_Acuria.docx`</w:t>
      </w:r>
      <w:r>
        <w:t>.</w:t>
      </w:r>
    </w:p>
    <w:p>
      <w:pPr>
        <w:pStyle w:val="Heading3"/>
      </w:pPr>
      <w:r>
        <w:rPr>
          <w:color w:val="1F497D"/>
        </w:rPr>
        <w:t>5.1 Pré‑requis côté plateforme (super admin)</w:t>
      </w:r>
    </w:p>
    <w:p>
      <w:pPr>
        <w:pStyle w:val="ListBullet"/>
      </w:pPr>
      <w:r>
        <w:rPr>
          <w:b/>
        </w:rPr>
        <w:t>Microsoft 365</w:t>
      </w:r>
      <w:r>
        <w:t xml:space="preserve"> : réutilise </w:t>
      </w:r>
      <w:r>
        <w:rPr>
          <w:b/>
        </w:rPr>
        <w:t>la même app Azure</w:t>
      </w:r>
      <w:r>
        <w:t xml:space="preserve"> que SharePoint. Ajouter l'URI de redirection</w:t>
      </w:r>
    </w:p>
    <w:p>
      <w:r>
        <w:rPr>
          <w:b/>
        </w:rPr>
        <w:t>e‑mail</w:t>
      </w:r>
      <w:r>
        <w:t xml:space="preserve"> (</w:t>
      </w:r>
      <w:r>
        <w:rPr>
          <w:rFonts w:ascii="Consolas" w:hAnsi="Consolas"/>
          <w:color w:val="B03060"/>
          <w:sz w:val="19"/>
        </w:rPr>
        <w:t>…/api/oauth/email/callback</w:t>
      </w:r>
      <w:r>
        <w:t xml:space="preserve">) et la permission déléguée </w:t>
      </w:r>
      <w:r>
        <w:rPr>
          <w:b/>
        </w:rPr>
        <w:t>`Mail.Send`</w:t>
      </w:r>
      <w:r>
        <w:t>.</w:t>
      </w:r>
    </w:p>
    <w:p>
      <w:pPr>
        <w:pStyle w:val="ListBullet"/>
      </w:pPr>
      <w:r>
        <w:rPr>
          <w:b/>
        </w:rPr>
        <w:t>Gmail</w:t>
      </w:r>
      <w:r>
        <w:t xml:space="preserve"> : créer un </w:t>
      </w:r>
      <w:r>
        <w:rPr>
          <w:b/>
        </w:rPr>
        <w:t>client OAuth</w:t>
      </w:r>
      <w:r>
        <w:t xml:space="preserve"> distinct dans Google Cloud (API Gmail activée, portée</w:t>
      </w:r>
    </w:p>
    <w:p>
      <w:r>
        <w:rPr>
          <w:rFonts w:ascii="Consolas" w:hAnsi="Consolas"/>
          <w:color w:val="B03060"/>
          <w:sz w:val="19"/>
        </w:rPr>
        <w:t>gmail.send</w:t>
      </w:r>
      <w:r>
        <w:t xml:space="preserve">, même URI de redirection e‑mail). Variables : </w:t>
      </w:r>
      <w:r>
        <w:rPr>
          <w:rFonts w:ascii="Consolas" w:hAnsi="Consolas"/>
          <w:color w:val="B03060"/>
          <w:sz w:val="19"/>
        </w:rPr>
        <w:t>GOOGLE_CLIENT_ID</w:t>
      </w:r>
      <w:r>
        <w:t xml:space="preserve">, </w:t>
      </w:r>
      <w:r>
        <w:rPr>
          <w:rFonts w:ascii="Consolas" w:hAnsi="Consolas"/>
          <w:color w:val="B03060"/>
          <w:sz w:val="19"/>
        </w:rPr>
        <w:t>GOOGLE_CLIENT_SECRET</w:t>
      </w:r>
      <w:r>
        <w:t>.</w:t>
      </w:r>
    </w:p>
    <w:p>
      <w:pPr>
        <w:pStyle w:val="ListBullet"/>
      </w:pPr>
      <w:r>
        <w:t xml:space="preserve">Commun : </w:t>
      </w:r>
      <w:r>
        <w:rPr>
          <w:rFonts w:ascii="Consolas" w:hAnsi="Consolas"/>
          <w:color w:val="B03060"/>
          <w:sz w:val="19"/>
        </w:rPr>
        <w:t>EMAIL_REDIRECT_URI</w:t>
      </w:r>
      <w:r>
        <w:t xml:space="preserve">, </w:t>
      </w:r>
      <w:r>
        <w:rPr>
          <w:rFonts w:ascii="Consolas" w:hAnsi="Consolas"/>
          <w:color w:val="B03060"/>
          <w:sz w:val="19"/>
        </w:rPr>
        <w:t>TOKEN_ENCRYPTION_KEY</w:t>
      </w:r>
      <w:r>
        <w:t xml:space="preserve">, </w:t>
      </w:r>
      <w:r>
        <w:rPr>
          <w:rFonts w:ascii="Consolas" w:hAnsi="Consolas"/>
          <w:color w:val="B03060"/>
          <w:sz w:val="19"/>
        </w:rPr>
        <w:t>WEBHOOK_SECRET</w:t>
      </w:r>
      <w:r>
        <w:t>.</w:t>
      </w:r>
    </w:p>
    <w:p>
      <w:pPr>
        <w:pStyle w:val="Heading3"/>
      </w:pPr>
      <w:r>
        <w:rPr>
          <w:color w:val="1F497D"/>
        </w:rPr>
        <w:t>5.2 Connexion depuis le produit (admin du cabinet)</w:t>
      </w:r>
    </w:p>
    <w:p>
      <w:pPr>
        <w:pStyle w:val="ListNumber"/>
      </w:pPr>
      <w:r>
        <w:rPr>
          <w:b/>
        </w:rPr>
        <w:t>Administration → Intégrations</w:t>
      </w:r>
      <w:r>
        <w:t xml:space="preserve"> (ou onboarding) → carte </w:t>
      </w:r>
      <w:r>
        <w:rPr>
          <w:b/>
        </w:rPr>
        <w:t>Email d'envoi</w:t>
      </w:r>
      <w:r>
        <w:t>.</w:t>
      </w:r>
    </w:p>
    <w:p>
      <w:pPr>
        <w:pStyle w:val="ListNumber"/>
      </w:pPr>
      <w:r>
        <w:rPr>
          <w:b/>
        </w:rPr>
        <w:t>Connecter Microsoft 365</w:t>
      </w:r>
      <w:r>
        <w:t xml:space="preserve"> *ou* </w:t>
      </w:r>
      <w:r>
        <w:rPr>
          <w:b/>
        </w:rPr>
        <w:t>Connecter Gmail</w:t>
      </w:r>
      <w:r>
        <w:t xml:space="preserve"> → consentement chez le fournisseur.</w:t>
      </w:r>
    </w:p>
    <w:p>
      <w:pPr>
        <w:pStyle w:val="ListNumber"/>
      </w:pPr>
      <w:r>
        <w:t xml:space="preserve">Au retour : </w:t>
      </w:r>
      <w:r>
        <w:rPr>
          <w:b/>
        </w:rPr>
        <w:t>« Messagerie connectée »</w:t>
      </w:r>
      <w:r>
        <w:t>, l'adresse d'expéditeur détectée s'affiche.</w:t>
      </w:r>
    </w:p>
    <w:p>
      <w:pPr>
        <w:pStyle w:val="ListNumber"/>
      </w:pPr>
      <w:r>
        <w:rPr>
          <w:b/>
        </w:rPr>
        <w:t>Déconnecter</w:t>
      </w:r>
      <w:r>
        <w:t xml:space="preserve"> puis reconnecter pour changer de fournisseur.</w:t>
      </w:r>
    </w:p>
    <w:p>
      <w:pPr>
        <w:shd w:val="clear" w:color="auto" w:fill="FDF3E7"/>
        <w:spacing w:before="80" w:after="120"/>
        <w:ind w:left="216" w:right="144"/>
      </w:pPr>
      <w:r>
        <w:t xml:space="preserve">⚠️ </w:t>
      </w:r>
      <w:r>
        <w:rPr>
          <w:b/>
        </w:rPr>
        <w:t>Cas particulier</w:t>
      </w:r>
      <w:r>
        <w:t xml:space="preserve"> — Un cabinet connecté à Microsoft </w:t>
      </w:r>
      <w:r>
        <w:rPr>
          <w:b/>
        </w:rPr>
        <w:t>avant</w:t>
      </w:r>
      <w:r>
        <w:t xml:space="preserve"> l'ajout de l'envoi d'e‑mails</w:t>
      </w:r>
      <w:r>
        <w:br/>
      </w:r>
      <w:r>
        <w:t xml:space="preserve">peut voir « Reconnecter Microsoft 365 pour accorder l'autorisation d'envoi » (portée </w:t>
      </w:r>
      <w:r>
        <w:rPr>
          <w:rFonts w:ascii="Consolas" w:hAnsi="Consolas"/>
          <w:color w:val="B03060"/>
          <w:sz w:val="19"/>
        </w:rPr>
        <w:t>Mail.Send</w:t>
      </w:r>
      <w:r>
        <w:br/>
      </w:r>
      <w:r>
        <w:t>manquante). Un simple reconnect résout le problème.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13</w:t>
      </w:r>
      <w:r>
        <w:t xml:space="preserve"> — Carte </w:t>
      </w:r>
      <w:r>
        <w:rPr>
          <w:b/>
        </w:rPr>
        <w:t>Email d'envoi</w:t>
      </w:r>
      <w:r>
        <w:t xml:space="preserve"> non connectée (boutons Microsoft 365 / Gmail).</w:t>
      </w:r>
      <w:r>
        <w:br/>
      </w:r>
      <w:r>
        <w:t xml:space="preserve">📸 </w:t>
      </w:r>
      <w:r>
        <w:rPr>
          <w:b/>
        </w:rPr>
        <w:t>Capture 14</w:t>
      </w:r>
      <w:r>
        <w:t xml:space="preserve"> — Carte </w:t>
      </w:r>
      <w:r>
        <w:rPr>
          <w:b/>
        </w:rPr>
        <w:t>Email d'envoi</w:t>
      </w:r>
      <w:r>
        <w:t xml:space="preserve"> connectée (adresse d'expéditeur + fournisseur + « Déconnecter »).</w:t>
      </w:r>
      <w:r>
        <w:br/>
      </w:r>
      <w:r>
        <w:t xml:space="preserve">📸 </w:t>
      </w:r>
      <w:r>
        <w:rPr>
          <w:b/>
        </w:rPr>
        <w:t>Capture 15</w:t>
      </w:r>
      <w:r>
        <w:t xml:space="preserve"> — Écran d'</w:t>
      </w:r>
      <w:r>
        <w:rPr>
          <w:b/>
        </w:rPr>
        <w:t>onboarding</w:t>
      </w:r>
      <w:r>
        <w:t xml:space="preserve"> bloquant tant que SharePoint + messagerie ne sont pas connectés.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6. Exploitation Vercel</w:t>
      </w:r>
    </w:p>
    <w:p>
      <w:r>
        <w:t xml:space="preserve">Ces opérations concernent le </w:t>
      </w:r>
      <w:r>
        <w:rPr>
          <w:b/>
        </w:rPr>
        <w:t>super administrateur / exploitant</w:t>
      </w:r>
      <w:r>
        <w:t>. L'application (SPA + API Express)</w:t>
      </w:r>
    </w:p>
    <w:p>
      <w:r>
        <w:t xml:space="preserve">est hébergée </w:t>
      </w:r>
      <w:r>
        <w:rPr>
          <w:b/>
        </w:rPr>
        <w:t>sur Vercel</w:t>
      </w:r>
      <w:r>
        <w:t xml:space="preserve">. Référence : </w:t>
      </w:r>
      <w:r>
        <w:rPr>
          <w:i/>
          <w:color w:val="1F497D"/>
        </w:rPr>
        <w:t>`DEPLOYMENT.md`</w:t>
      </w:r>
      <w:r>
        <w:t>.</w:t>
      </w:r>
    </w:p>
    <w:p>
      <w:pPr>
        <w:shd w:val="clear" w:color="auto" w:fill="EEF3FB"/>
        <w:spacing w:before="80" w:after="120"/>
        <w:ind w:left="216" w:right="144"/>
      </w:pPr>
      <w:r>
        <w:t xml:space="preserve">Rappel : les variables </w:t>
      </w:r>
      <w:r>
        <w:rPr>
          <w:b/>
        </w:rPr>
        <w:t>`VITE_*`</w:t>
      </w:r>
      <w:r>
        <w:t xml:space="preserve"> du frontend sont </w:t>
      </w:r>
      <w:r>
        <w:rPr>
          <w:b/>
        </w:rPr>
        <w:t>injectées à la compilation</w:t>
      </w:r>
      <w:r>
        <w:t xml:space="preserve"> — les</w:t>
      </w:r>
      <w:r>
        <w:br/>
      </w:r>
      <w:r>
        <w:t xml:space="preserve">modifier </w:t>
      </w:r>
      <w:r>
        <w:rPr>
          <w:b/>
        </w:rPr>
        <w:t>exige un redéploiement</w:t>
      </w:r>
      <w:r>
        <w:t xml:space="preserve"> pour prendre effet. Les variables backend sont lues au</w:t>
      </w:r>
      <w:r>
        <w:br/>
      </w:r>
      <w:r>
        <w:t>démarrage de la fonction API.</w:t>
      </w:r>
    </w:p>
    <w:p>
      <w:pPr>
        <w:pStyle w:val="Heading3"/>
      </w:pPr>
      <w:r>
        <w:rPr>
          <w:color w:val="1F497D"/>
        </w:rPr>
        <w:t>6.1 Modifier une variable d'environnement</w:t>
      </w:r>
    </w:p>
    <w:p>
      <w:pPr>
        <w:pStyle w:val="ListNumber"/>
      </w:pPr>
      <w:r>
        <w:rPr>
          <w:b/>
        </w:rPr>
        <w:t>Vercel → Dashboard →</w:t>
      </w:r>
      <w:r>
        <w:t xml:space="preserve"> projet Acuria → </w:t>
      </w:r>
      <w:r>
        <w:rPr>
          <w:b/>
        </w:rPr>
        <w:t>Settings → Environment Variables</w:t>
      </w:r>
      <w:r>
        <w:t>.</w:t>
      </w:r>
    </w:p>
    <w:p>
      <w:pPr>
        <w:pStyle w:val="ListNumber"/>
      </w:pPr>
      <w:r>
        <w:t xml:space="preserve">Modifier la valeur existante (crayon) ou </w:t>
      </w:r>
      <w:r>
        <w:rPr>
          <w:b/>
        </w:rPr>
        <w:t>Add New</w:t>
      </w:r>
      <w:r>
        <w:t xml:space="preserve"> pour en créer une.</w:t>
      </w:r>
    </w:p>
    <w:p>
      <w:pPr>
        <w:pStyle w:val="ListNumber"/>
      </w:pPr>
      <w:r>
        <w:t xml:space="preserve">Choisir la portée : </w:t>
      </w:r>
      <w:r>
        <w:rPr>
          <w:b/>
        </w:rPr>
        <w:t>Production / Preview / Development</w:t>
      </w:r>
      <w:r>
        <w:t>.</w:t>
      </w:r>
    </w:p>
    <w:p>
      <w:pPr>
        <w:pStyle w:val="ListNumber"/>
      </w:pPr>
      <w:r>
        <w:rPr>
          <w:b/>
        </w:rPr>
        <w:t>Save</w:t>
      </w:r>
      <w:r>
        <w:t>.</w:t>
      </w:r>
    </w:p>
    <w:p>
      <w:pPr>
        <w:pStyle w:val="ListNumber"/>
      </w:pPr>
      <w:r>
        <w:rPr>
          <w:b/>
        </w:rPr>
        <w:t>Important</w:t>
      </w:r>
      <w:r>
        <w:t xml:space="preserve"> : une modification n'est </w:t>
      </w:r>
      <w:r>
        <w:rPr>
          <w:b/>
        </w:rPr>
        <w:t>pas</w:t>
      </w:r>
      <w:r>
        <w:t xml:space="preserve"> active tant que le projet n'a pas été </w:t>
      </w:r>
      <w:r>
        <w:rPr>
          <w:b/>
        </w:rPr>
        <w:t>redéployé</w:t>
      </w:r>
    </w:p>
    <w:p>
      <w:r>
        <w:t xml:space="preserve">(§6.2). C'est particulièrement vrai pour toute variable </w:t>
      </w:r>
      <w:r>
        <w:rPr>
          <w:rFonts w:ascii="Consolas" w:hAnsi="Consolas"/>
          <w:color w:val="B03060"/>
          <w:sz w:val="19"/>
        </w:rPr>
        <w:t>VITE_*</w:t>
      </w:r>
      <w:r>
        <w:t xml:space="preserve"> (build‑time).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16</w:t>
      </w:r>
      <w:r>
        <w:t xml:space="preserve"> — </w:t>
      </w:r>
      <w:r>
        <w:rPr>
          <w:b/>
        </w:rPr>
        <w:t>Settings → Environment Variables</w:t>
      </w:r>
      <w:r>
        <w:t xml:space="preserve"> avec le formulaire d'édition ouvert (valeur masquée).</w:t>
      </w:r>
    </w:p>
    <w:p>
      <w:pPr>
        <w:pStyle w:val="Heading3"/>
      </w:pPr>
      <w:r>
        <w:rPr>
          <w:color w:val="1F497D"/>
        </w:rPr>
        <w:t>6.2 Redéployer</w:t>
      </w:r>
    </w:p>
    <w:p>
      <w:pPr>
        <w:pStyle w:val="ListNumber"/>
      </w:pPr>
      <w:r>
        <w:rPr>
          <w:b/>
        </w:rPr>
        <w:t>Vercel → projet → onglet Deployments</w:t>
      </w:r>
      <w:r>
        <w:t>.</w:t>
      </w:r>
    </w:p>
    <w:p>
      <w:pPr>
        <w:pStyle w:val="ListNumber"/>
      </w:pPr>
      <w:r>
        <w:t xml:space="preserve">Ouvrir le dernier déploiement </w:t>
      </w:r>
      <w:r>
        <w:rPr>
          <w:b/>
        </w:rPr>
        <w:t>Production</w:t>
      </w:r>
      <w:r>
        <w:t xml:space="preserve"> → menu </w:t>
      </w:r>
      <w:r>
        <w:rPr>
          <w:b/>
        </w:rPr>
        <w:t>⋯ → Redeploy</w:t>
      </w:r>
      <w:r>
        <w:t>.</w:t>
      </w:r>
    </w:p>
    <w:p>
      <w:pPr>
        <w:pStyle w:val="ListNumber"/>
      </w:pPr>
      <w:r>
        <w:t xml:space="preserve">Laisser </w:t>
      </w:r>
      <w:r>
        <w:rPr>
          <w:b/>
        </w:rPr>
        <w:t>« Use existing Build Cache »</w:t>
      </w:r>
      <w:r>
        <w:t xml:space="preserve"> décoché si vous voulez un build propre après un</w:t>
      </w:r>
    </w:p>
    <w:p>
      <w:r>
        <w:t xml:space="preserve">changement de variable, puis </w:t>
      </w:r>
      <w:r>
        <w:rPr>
          <w:b/>
        </w:rPr>
        <w:t>Redeploy</w:t>
      </w:r>
      <w:r>
        <w:t>.</w:t>
      </w:r>
    </w:p>
    <w:p>
      <w:pPr>
        <w:pStyle w:val="ListNumber"/>
      </w:pPr>
      <w:r>
        <w:t xml:space="preserve">Alternative : un simple </w:t>
      </w:r>
      <w:r>
        <w:rPr>
          <w:b/>
        </w:rPr>
        <w:t>push sur la branche de production</w:t>
      </w:r>
      <w:r>
        <w:t xml:space="preserve"> déclenche un déploiement (CD).</w:t>
      </w:r>
    </w:p>
    <w:p>
      <w:pPr>
        <w:pStyle w:val="ListNumber"/>
      </w:pPr>
      <w:r>
        <w:t xml:space="preserve">Vérification santé après build : </w:t>
      </w:r>
      <w:r>
        <w:rPr>
          <w:rFonts w:ascii="Consolas" w:hAnsi="Consolas"/>
          <w:color w:val="B03060"/>
          <w:sz w:val="19"/>
        </w:rPr>
        <w:t>https://app.acuria.com/api/health</w:t>
      </w:r>
      <w:r>
        <w:t xml:space="preserve"> doit renvoyer </w:t>
      </w:r>
      <w:r>
        <w:rPr>
          <w:b/>
        </w:rPr>
        <w:t>200</w:t>
      </w:r>
      <w:r>
        <w:t>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17</w:t>
      </w:r>
      <w:r>
        <w:t xml:space="preserve"> — Onglet </w:t>
      </w:r>
      <w:r>
        <w:rPr>
          <w:b/>
        </w:rPr>
        <w:t>Deployments</w:t>
      </w:r>
      <w:r>
        <w:t xml:space="preserve">, menu </w:t>
      </w:r>
      <w:r>
        <w:rPr>
          <w:b/>
        </w:rPr>
        <w:t>⋯ → Redeploy</w:t>
      </w:r>
      <w:r>
        <w:t xml:space="preserve"> ouvert.</w:t>
      </w:r>
      <w:r>
        <w:br/>
      </w:r>
      <w:r>
        <w:t xml:space="preserve">📸 </w:t>
      </w:r>
      <w:r>
        <w:rPr>
          <w:b/>
        </w:rPr>
        <w:t>Capture 18</w:t>
      </w:r>
      <w:r>
        <w:t xml:space="preserve"> — Réponse </w:t>
      </w:r>
      <w:r>
        <w:rPr>
          <w:b/>
        </w:rPr>
        <w:t>200</w:t>
      </w:r>
      <w:r>
        <w:t xml:space="preserve"> de </w:t>
      </w:r>
      <w:r>
        <w:rPr>
          <w:rFonts w:ascii="Consolas" w:hAnsi="Consolas"/>
          <w:color w:val="B03060"/>
          <w:sz w:val="19"/>
        </w:rPr>
        <w:t>/api/health</w:t>
      </w:r>
      <w:r>
        <w:t xml:space="preserve"> (navigateur ou terminal).</w:t>
      </w:r>
    </w:p>
    <w:p>
      <w:pPr>
        <w:pStyle w:val="Heading3"/>
      </w:pPr>
      <w:r>
        <w:rPr>
          <w:color w:val="1F497D"/>
        </w:rPr>
        <w:t>6.3 Consulter les logs</w:t>
      </w:r>
    </w:p>
    <w:p>
      <w:pPr>
        <w:pStyle w:val="ListBullet"/>
      </w:pPr>
      <w:r>
        <w:rPr>
          <w:b/>
        </w:rPr>
        <w:t>Logs de build</w:t>
      </w:r>
      <w:r>
        <w:t xml:space="preserve"> : </w:t>
      </w:r>
      <w:r>
        <w:rPr>
          <w:b/>
        </w:rPr>
        <w:t>Deployments →</w:t>
      </w:r>
      <w:r>
        <w:t xml:space="preserve"> un déploiement → onglet </w:t>
      </w:r>
      <w:r>
        <w:rPr>
          <w:b/>
        </w:rPr>
        <w:t>Building / Logs</w:t>
      </w:r>
      <w:r>
        <w:t xml:space="preserve"> (utile en cas</w:t>
      </w:r>
    </w:p>
    <w:p>
      <w:r>
        <w:t>d'échec de compilation, ex. dépendances de workspace non résolues).</w:t>
      </w:r>
    </w:p>
    <w:p>
      <w:pPr>
        <w:pStyle w:val="ListBullet"/>
      </w:pPr>
      <w:r>
        <w:rPr>
          <w:b/>
        </w:rPr>
        <w:t>Logs d'exécution (API)</w:t>
      </w:r>
      <w:r>
        <w:t xml:space="preserve"> : projet → onglet </w:t>
      </w:r>
      <w:r>
        <w:rPr>
          <w:b/>
        </w:rPr>
        <w:t>Logs</w:t>
      </w:r>
      <w:r>
        <w:t xml:space="preserve"> (ou </w:t>
      </w:r>
      <w:r>
        <w:rPr>
          <w:b/>
        </w:rPr>
        <w:t>Runtime Logs</w:t>
      </w:r>
      <w:r>
        <w:t>) → filtrer par</w:t>
      </w:r>
    </w:p>
    <w:p>
      <w:r>
        <w:t xml:space="preserve">fonction, code HTTP ou texte. C'est là qu'on lit les erreurs </w:t>
      </w:r>
      <w:r>
        <w:rPr>
          <w:rFonts w:ascii="Consolas" w:hAnsi="Consolas"/>
          <w:color w:val="B03060"/>
          <w:sz w:val="19"/>
        </w:rPr>
        <w:t>/api</w:t>
      </w:r>
      <w:r>
        <w:t xml:space="preserve"> (401 en boucle, 503 OAuth,</w:t>
      </w:r>
    </w:p>
    <w:p>
      <w:r>
        <w:t>webhooks Make…).</w:t>
      </w:r>
    </w:p>
    <w:p>
      <w:pPr>
        <w:pStyle w:val="ListBullet"/>
      </w:pPr>
      <w:r>
        <w:t xml:space="preserve">Filtrer sur </w:t>
      </w:r>
      <w:r>
        <w:rPr>
          <w:rFonts w:ascii="Consolas" w:hAnsi="Consolas"/>
          <w:color w:val="B03060"/>
          <w:sz w:val="19"/>
        </w:rPr>
        <w:t>/api/oauth</w:t>
      </w:r>
      <w:r>
        <w:t xml:space="preserve">, </w:t>
      </w:r>
      <w:r>
        <w:rPr>
          <w:rFonts w:ascii="Consolas" w:hAnsi="Consolas"/>
          <w:color w:val="B03060"/>
          <w:sz w:val="19"/>
        </w:rPr>
        <w:t>/api/health</w:t>
      </w:r>
      <w:r>
        <w:t xml:space="preserve">, ou un code </w:t>
      </w:r>
      <w:r>
        <w:rPr>
          <w:b/>
        </w:rPr>
        <w:t>503 / 500</w:t>
      </w:r>
      <w:r>
        <w:t xml:space="preserve"> pour cibler un incident.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19</w:t>
      </w:r>
      <w:r>
        <w:t xml:space="preserve"> — </w:t>
      </w:r>
      <w:r>
        <w:rPr>
          <w:b/>
        </w:rPr>
        <w:t>Runtime Logs</w:t>
      </w:r>
      <w:r>
        <w:t xml:space="preserve"> filtrés sur </w:t>
      </w:r>
      <w:r>
        <w:rPr>
          <w:rFonts w:ascii="Consolas" w:hAnsi="Consolas"/>
          <w:color w:val="B03060"/>
          <w:sz w:val="19"/>
        </w:rPr>
        <w:t>/api</w:t>
      </w:r>
      <w:r>
        <w:t xml:space="preserve"> montrant une requête et son code de statut.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7. Rotation d'une clé / d'un secret</w:t>
      </w:r>
    </w:p>
    <w:p>
      <w:r>
        <w:t xml:space="preserve">Principe général : </w:t>
      </w:r>
      <w:r>
        <w:rPr>
          <w:b/>
        </w:rPr>
        <w:t>modifier le secret dans Vercel (§6.1) puis redéployer (§6.2)</w:t>
      </w:r>
      <w:r>
        <w:t>. Certains</w:t>
      </w:r>
    </w:p>
    <w:p>
      <w:r>
        <w:t>secrets ont des effets de bord — les voici, du moins risqué au plus sensible.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Secret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Où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Effet de la rotation</w:t>
            </w:r>
          </w:p>
        </w:tc>
        <w:tc>
          <w:tcPr>
            <w:tcW w:type="dxa" w:w="216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À faire ensuite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`WEBHOOK_SECRET`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Les webhooks Make.com sont rejetés jusqu'à mise à jour côté Make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Mettre à jour l'en‑tête </w:t>
            </w:r>
            <w:r>
              <w:rPr>
                <w:rFonts w:ascii="Consolas" w:hAnsi="Consolas"/>
                <w:color w:val="B03060"/>
                <w:sz w:val="19"/>
              </w:rPr>
              <w:t>Authorization</w:t>
            </w:r>
            <w:r>
              <w:rPr>
                <w:sz w:val="19"/>
              </w:rPr>
              <w:t xml:space="preserve"> dans les scénarios Make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`AZURE_CLIENT_SECRET`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Azure → Certificates &amp; secrets, puis 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Le broker OAuth SharePoint/e‑mail échoue si désynchronisé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Générer un nouveau secret Azure, copier la </w:t>
            </w:r>
            <w:r>
              <w:rPr>
                <w:b/>
                <w:sz w:val="19"/>
              </w:rPr>
              <w:t>Value</w:t>
            </w:r>
            <w:r>
              <w:rPr>
                <w:sz w:val="19"/>
              </w:rPr>
              <w:t>, coller dans Vercel, redéployer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`GOOGLE_CLIENT_SECRET`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Google Cloud → Credentials, puis 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Idem pour Gmail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Régénérer côté Google, mettre à jour Vercel, redéployer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`BASEROW_DATABASE_TOKEN`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Baserow, puis 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Toutes les lectures/écritures échouent si mauvais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Créer le nouveau token Baserow </w:t>
            </w:r>
            <w:r>
              <w:rPr>
                <w:b/>
                <w:sz w:val="19"/>
              </w:rPr>
              <w:t>avant</w:t>
            </w:r>
            <w:r>
              <w:rPr>
                <w:sz w:val="19"/>
              </w:rPr>
              <w:t xml:space="preserve"> de retirer l'ancien, puis basculer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`JWT_ACCESS_SECRET` / `JWT_REFRESH_SECRET`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Invalide toutes les sessions</w:t>
            </w:r>
            <w:r>
              <w:rPr>
                <w:sz w:val="19"/>
              </w:rPr>
              <w:t xml:space="preserve"> : tout le monde est déconnecté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Prévenir les utilisateurs ; garder ces valeurs </w:t>
            </w:r>
            <w:r>
              <w:rPr>
                <w:b/>
                <w:sz w:val="19"/>
              </w:rPr>
              <w:t>stables</w:t>
            </w:r>
            <w:r>
              <w:rPr>
                <w:sz w:val="19"/>
              </w:rPr>
              <w:t xml:space="preserve"> hors incident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`TOKEN_ENCRYPTION_KEY`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Vercel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Rend illisibles tous les tokens SharePoint/e‑mail chiffrés</w:t>
            </w:r>
            <w:r>
              <w:rPr>
                <w:sz w:val="19"/>
              </w:rPr>
              <w:t xml:space="preserve"> : chaque cabinet doit </w:t>
            </w:r>
            <w:r>
              <w:rPr>
                <w:b/>
                <w:sz w:val="19"/>
              </w:rPr>
              <w:t>reconnecter</w:t>
            </w:r>
            <w:r>
              <w:rPr>
                <w:sz w:val="19"/>
              </w:rPr>
              <w:t xml:space="preserve"> SharePoint </w:t>
            </w:r>
            <w:r>
              <w:rPr>
                <w:b/>
                <w:sz w:val="19"/>
              </w:rPr>
              <w:t>et</w:t>
            </w:r>
            <w:r>
              <w:rPr>
                <w:sz w:val="19"/>
              </w:rPr>
              <w:t xml:space="preserve"> la messagerie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</w:r>
            <w:r>
              <w:rPr>
                <w:sz w:val="19"/>
              </w:rPr>
              <w:t>À éviter sauf compromission ; prévoir une campagne de reconnexion</w:t>
            </w:r>
          </w:p>
        </w:tc>
      </w:tr>
    </w:tbl>
    <w:p>
      <w:pPr>
        <w:spacing w:after="40"/>
      </w:pPr>
    </w:p>
    <w:p>
      <w:r>
        <w:rPr>
          <w:b/>
        </w:rPr>
        <w:t>Générer une nouvelle clé de 64 hex</w:t>
      </w:r>
      <w:r>
        <w:t xml:space="preserve"> (pour </w:t>
      </w:r>
      <w:r>
        <w:rPr>
          <w:rFonts w:ascii="Consolas" w:hAnsi="Consolas"/>
          <w:color w:val="B03060"/>
          <w:sz w:val="19"/>
        </w:rPr>
        <w:t>TOKEN_ENCRYPTION_KEY</w:t>
      </w:r>
      <w:r>
        <w:t>) :</w:t>
      </w:r>
    </w:p>
    <w:p>
      <w:pPr>
        <w:shd w:val="clear" w:color="auto" w:fill="F2F3F5"/>
        <w:spacing w:before="80" w:after="120"/>
        <w:ind w:left="216"/>
      </w:pPr>
      <w:r>
        <w:rPr>
          <w:rFonts w:ascii="Consolas" w:hAnsi="Consolas"/>
          <w:sz w:val="19"/>
        </w:rPr>
        <w:t>node -e "console.log(require('crypto').randomBytes(32).toString('hex'))"</w:t>
      </w:r>
    </w:p>
    <w:p>
      <w:r>
        <w:rPr>
          <w:b/>
        </w:rPr>
        <w:t>Cas particulier — mot de passe du super administrateur.</w:t>
      </w:r>
      <w:r>
        <w:t xml:space="preserve"> Il ne se change </w:t>
      </w:r>
      <w:r>
        <w:rPr>
          <w:b/>
        </w:rPr>
        <w:t>pas</w:t>
      </w:r>
      <w:r>
        <w:t xml:space="preserve"> dans l'interface.</w:t>
      </w:r>
    </w:p>
    <w:p>
      <w:r>
        <w:t xml:space="preserve">Mettre à jour </w:t>
      </w:r>
      <w:r>
        <w:rPr>
          <w:rFonts w:ascii="Consolas" w:hAnsi="Consolas"/>
          <w:color w:val="B03060"/>
          <w:sz w:val="19"/>
        </w:rPr>
        <w:t>SUPER_ADMIN_PASSWORD</w:t>
      </w:r>
      <w:r>
        <w:t xml:space="preserve"> (Vercel ou </w:t>
      </w:r>
      <w:r>
        <w:rPr>
          <w:rFonts w:ascii="Consolas" w:hAnsi="Consolas"/>
          <w:color w:val="B03060"/>
          <w:sz w:val="19"/>
        </w:rPr>
        <w:t>.env</w:t>
      </w:r>
      <w:r>
        <w:t xml:space="preserve"> local), puis exécuter :</w:t>
      </w:r>
    </w:p>
    <w:p>
      <w:pPr>
        <w:shd w:val="clear" w:color="auto" w:fill="F2F3F5"/>
        <w:spacing w:before="80" w:after="120"/>
        <w:ind w:left="216"/>
      </w:pPr>
      <w:r>
        <w:rPr>
          <w:rFonts w:ascii="Consolas" w:hAnsi="Consolas"/>
          <w:sz w:val="19"/>
        </w:rPr>
        <w:t>npm run set-super-admin-password --workspace=backend</w:t>
      </w:r>
    </w:p>
    <w:p>
      <w:pPr>
        <w:shd w:val="clear" w:color="auto" w:fill="EEF3FB"/>
        <w:spacing w:before="80" w:after="120"/>
        <w:ind w:left="216" w:right="144"/>
      </w:pPr>
      <w:r>
        <w:t xml:space="preserve">📸 </w:t>
      </w:r>
      <w:r>
        <w:rPr>
          <w:b/>
        </w:rPr>
        <w:t>Capture 20</w:t>
      </w:r>
      <w:r>
        <w:t xml:space="preserve"> — Azure : « Certificates &amp; secrets », bouton </w:t>
      </w:r>
      <w:r>
        <w:rPr>
          <w:b/>
        </w:rPr>
        <w:t>New client secret</w:t>
      </w:r>
      <w:r>
        <w:t xml:space="preserve"> (avant copie de la Value).</w:t>
      </w:r>
      <w:r>
        <w:br/>
      </w:r>
      <w:r>
        <w:t xml:space="preserve">📸 </w:t>
      </w:r>
      <w:r>
        <w:rPr>
          <w:b/>
        </w:rPr>
        <w:t>Capture 21</w:t>
      </w:r>
      <w:r>
        <w:t xml:space="preserve"> — Terminal : sortie de </w:t>
      </w:r>
      <w:r>
        <w:rPr>
          <w:rFonts w:ascii="Consolas" w:hAnsi="Consolas"/>
          <w:color w:val="B03060"/>
          <w:sz w:val="19"/>
        </w:rPr>
        <w:t>npm run set-super-admin-password</w:t>
      </w:r>
      <w:r>
        <w:t xml:space="preserve"> (succès).</w:t>
      </w: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Annexe A — Référence des variables d'environnement</w:t>
      </w:r>
    </w:p>
    <w:p>
      <w:r>
        <w:t xml:space="preserve">Liste faisant foi : </w:t>
      </w:r>
      <w:r>
        <w:rPr>
          <w:i/>
          <w:color w:val="1F497D"/>
        </w:rPr>
        <w:t>`backend/.env.example`</w:t>
      </w:r>
      <w:r>
        <w:t xml:space="preserve"> et §3 de </w:t>
      </w:r>
      <w:r>
        <w:rPr>
          <w:i/>
          <w:color w:val="1F497D"/>
        </w:rPr>
        <w:t>`DEPLOYMENT.md`</w:t>
      </w:r>
      <w:r>
        <w:t>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Groupe</w:t>
            </w:r>
          </w:p>
        </w:tc>
        <w:tc>
          <w:tcPr>
            <w:tcW w:type="dxa" w:w="432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Variables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Frontend (build)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VITE_API_URL</w:t>
            </w:r>
            <w:r>
              <w:rPr>
                <w:sz w:val="19"/>
              </w:rPr>
              <w:t xml:space="preserve"> (doit finir par </w:t>
            </w:r>
            <w:r>
              <w:rPr>
                <w:rFonts w:ascii="Consolas" w:hAnsi="Consolas"/>
                <w:color w:val="B03060"/>
                <w:sz w:val="19"/>
              </w:rPr>
              <w:t>/api</w:t>
            </w:r>
            <w:r>
              <w:rPr>
                <w:sz w:val="19"/>
              </w:rPr>
              <w:t xml:space="preserve">), </w:t>
            </w:r>
            <w:r>
              <w:rPr>
                <w:rFonts w:ascii="Consolas" w:hAnsi="Consolas"/>
                <w:color w:val="B03060"/>
                <w:sz w:val="19"/>
              </w:rPr>
              <w:t>VITE_WS_URL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VITE_DER_TEMPLATE_URL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URLs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APP_URL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CORS_ORIGINS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API_BASE_URL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Auth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JWT_ACCESS_SECRET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JWT_REFRESH_SECRET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Chiffrement / webhooks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TOKEN_ENCRYPTION_KEY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WEBHOOK_SECRET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FCC_PREFILL_SECRET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Super admin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SUPER_ADMIN_EMAIL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SUPER_ADMIN_PASSWORD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SUPER_ADMIN_NAME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Baserow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BASEROW_MAIN_DATABASE_ID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BASEROW_DATABASE_TOKEN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BASEROW_EMAIL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BASEROW_PASSWORD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BASEROW_WORKSPACE_ID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BASEROW_USERS_TABLE_ID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BASEROW_TENANTS_TABLE_ID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SharePoint OAuth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AZURE_CLIENT_ID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AZURE_CLIENT_SECRET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AZURE_REDIRECT_URI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Email OAuth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EMAIL_REDIRECT_URI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GOOGLE_CLIENT_ID</w:t>
            </w:r>
            <w:r>
              <w:rPr>
                <w:sz w:val="19"/>
              </w:rPr>
              <w:t xml:space="preserve">, </w:t>
            </w:r>
            <w:r>
              <w:rPr>
                <w:rFonts w:ascii="Consolas" w:hAnsi="Consolas"/>
                <w:color w:val="B03060"/>
                <w:sz w:val="19"/>
              </w:rPr>
              <w:t>GOOGLE_CLIENT_SECRET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Make.com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MAKE_WEBHOOK_*</w:t>
            </w:r>
            <w:r>
              <w:rPr>
                <w:sz w:val="19"/>
              </w:rPr>
              <w:t xml:space="preserve"> (DER, LdM, FCC, notes, mot de passe, OTP…)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pPr>
        <w:pStyle w:val="Heading2"/>
      </w:pPr>
      <w:r>
        <w:rPr>
          <w:color w:val="1F497D"/>
        </w:rPr>
        <w:t>Annexe B — Dépannage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Symptôme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Cause probable</w:t>
            </w:r>
          </w:p>
        </w:tc>
        <w:tc>
          <w:tcPr>
            <w:tcW w:type="dxa" w:w="2880"/>
            <w:shd w:val="clear" w:color="auto" w:fill="1F497D"/>
          </w:tcPr>
          <w:p>
            <w:r>
              <w:rPr>
                <w:b/>
                <w:color w:val="FFFFFF"/>
              </w:rPr>
            </w:r>
            <w:r>
              <w:rPr>
                <w:b/>
                <w:color w:val="FFFFFF"/>
              </w:rPr>
              <w:t>Correctif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Déconnexion après ~15 min / refresh échoue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Cookie de rafraîchissement traité comme tiers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SPA et API sur la </w:t>
            </w:r>
            <w:r>
              <w:rPr>
                <w:b/>
                <w:sz w:val="19"/>
              </w:rPr>
              <w:t>même origine</w:t>
            </w:r>
            <w:r>
              <w:rPr>
                <w:sz w:val="19"/>
              </w:rPr>
              <w:t xml:space="preserve"> (</w:t>
            </w:r>
            <w:r>
              <w:rPr>
                <w:rFonts w:ascii="Consolas" w:hAnsi="Consolas"/>
                <w:color w:val="B03060"/>
                <w:sz w:val="19"/>
              </w:rPr>
              <w:t>/api</w:t>
            </w:r>
            <w:r>
              <w:rPr>
                <w:sz w:val="19"/>
              </w:rPr>
              <w:t>) — voir DEPLOYMENT.md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Toutes les requêtes </w:t>
            </w:r>
            <w:r>
              <w:rPr>
                <w:rFonts w:ascii="Consolas" w:hAnsi="Consolas"/>
                <w:color w:val="B03060"/>
                <w:sz w:val="19"/>
              </w:rPr>
              <w:t>/api</w:t>
            </w:r>
            <w:r>
              <w:rPr>
                <w:sz w:val="19"/>
              </w:rPr>
              <w:t xml:space="preserve"> renvoient 401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VITE_API_URL</w:t>
            </w:r>
            <w:r>
              <w:rPr>
                <w:sz w:val="19"/>
              </w:rPr>
              <w:t xml:space="preserve"> erroné / sans </w:t>
            </w:r>
            <w:r>
              <w:rPr>
                <w:rFonts w:ascii="Consolas" w:hAnsi="Consolas"/>
                <w:color w:val="B03060"/>
                <w:sz w:val="19"/>
              </w:rPr>
              <w:t>/api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Corriger sur Vercel puis </w:t>
            </w:r>
            <w:r>
              <w:rPr>
                <w:b/>
                <w:sz w:val="19"/>
              </w:rPr>
              <w:t>redéployer</w:t>
            </w:r>
            <w:r>
              <w:rPr>
                <w:sz w:val="19"/>
              </w:rPr>
              <w:t xml:space="preserve"> (build‑time)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Erreur </w:t>
            </w:r>
            <w:r>
              <w:rPr>
                <w:b/>
                <w:sz w:val="19"/>
              </w:rPr>
              <w:t>CORS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CORS_ORIGINS</w:t>
            </w:r>
            <w:r>
              <w:rPr>
                <w:sz w:val="19"/>
              </w:rPr>
              <w:t xml:space="preserve"> ≠ origine de la SPA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Faire correspondre schéma + hôte exactement, sans slash final ; redéployer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OAuth </w:t>
            </w:r>
            <w:r>
              <w:rPr>
                <w:rFonts w:ascii="Consolas" w:hAnsi="Consolas"/>
                <w:color w:val="B03060"/>
                <w:sz w:val="19"/>
              </w:rPr>
              <w:t>invalid_state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URI de redirection non identique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AZURE_REDIRECT_URI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EMAIL_REDIRECT_URI</w:t>
            </w:r>
            <w:r>
              <w:rPr>
                <w:sz w:val="19"/>
              </w:rPr>
              <w:t xml:space="preserve"> </w:t>
            </w:r>
            <w:r>
              <w:rPr>
                <w:b/>
                <w:sz w:val="19"/>
              </w:rPr>
              <w:t>au byte près</w:t>
            </w:r>
            <w:r>
              <w:rPr>
                <w:sz w:val="19"/>
              </w:rPr>
              <w:t xml:space="preserve"> identiques à l'IdP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admin_consent_required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L'org Microsoft du cabinet exige l'approbation d'un admin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L'admin Microsoft 365 </w:t>
            </w:r>
            <w:r>
              <w:rPr>
                <w:b/>
                <w:sz w:val="19"/>
              </w:rPr>
              <w:t>du cabinet</w:t>
            </w:r>
            <w:r>
              <w:rPr>
                <w:sz w:val="19"/>
              </w:rPr>
              <w:t xml:space="preserve"> approuve l'application, puis reconnecter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b/>
                <w:sz w:val="19"/>
              </w:rPr>
              <w:t>503</w:t>
            </w:r>
            <w:r>
              <w:rPr>
                <w:sz w:val="19"/>
              </w:rPr>
              <w:t xml:space="preserve"> sur routes SharePoint / e‑mail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AZURE_*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GOOGLE_*</w:t>
            </w:r>
            <w:r>
              <w:rPr>
                <w:sz w:val="19"/>
              </w:rPr>
              <w:t xml:space="preserve"> / </w:t>
            </w:r>
            <w:r>
              <w:rPr>
                <w:rFonts w:ascii="Consolas" w:hAnsi="Consolas"/>
                <w:color w:val="B03060"/>
                <w:sz w:val="19"/>
              </w:rPr>
              <w:t>TOKEN_ENCRYPTION_KEY</w:t>
            </w:r>
            <w:r>
              <w:rPr>
                <w:sz w:val="19"/>
              </w:rPr>
              <w:t xml:space="preserve"> absents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Renseigner sur Vercel, redéployer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Uploads/e‑mails KO après rotation de clé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TOKEN_ENCRYPTION_KEY</w:t>
            </w:r>
            <w:r>
              <w:rPr>
                <w:sz w:val="19"/>
              </w:rPr>
              <w:t xml:space="preserve"> changé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Chaque cabinet </w:t>
            </w:r>
            <w:r>
              <w:rPr>
                <w:b/>
                <w:sz w:val="19"/>
              </w:rPr>
              <w:t>reconnecte</w:t>
            </w:r>
            <w:r>
              <w:rPr>
                <w:sz w:val="19"/>
              </w:rPr>
              <w:t xml:space="preserve"> SharePoint et la messagerie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>Le tableau de bord temps réel ne se met pas à jour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rFonts w:ascii="Consolas" w:hAnsi="Consolas"/>
                <w:color w:val="B03060"/>
                <w:sz w:val="19"/>
              </w:rPr>
              <w:t>VITE_WS_URL</w:t>
            </w:r>
            <w:r>
              <w:rPr>
                <w:sz w:val="19"/>
              </w:rPr>
              <w:t xml:space="preserve"> absent/erroné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</w:r>
            <w:r>
              <w:rPr>
                <w:sz w:val="19"/>
              </w:rPr>
              <w:t xml:space="preserve">Définir </w:t>
            </w:r>
            <w:r>
              <w:rPr>
                <w:rFonts w:ascii="Consolas" w:hAnsi="Consolas"/>
                <w:color w:val="B03060"/>
                <w:sz w:val="19"/>
              </w:rPr>
              <w:t>wss://…/api/ws</w:t>
            </w:r>
            <w:r>
              <w:rPr>
                <w:sz w:val="19"/>
              </w:rPr>
              <w:t>, redéployer</w:t>
            </w:r>
          </w:p>
        </w:tc>
      </w:tr>
    </w:tbl>
    <w:p>
      <w:pPr>
        <w:spacing w:after="40"/>
      </w:pPr>
    </w:p>
    <w:p>
      <w:pPr>
        <w:pBdr>
          <w:bottom w:val="single" w:sz="6" w:space="1" w:color="BBBBBB"/>
        </w:pBdr>
      </w:pPr>
    </w:p>
    <w:p>
      <w:r>
        <w:t>*Dernière mise à jour : 22 juillet 2026. Toute évolution des écrans (libellés, boutons) doit être</w:t>
      </w:r>
    </w:p>
    <w:p>
      <w:r>
        <w:t>répercutée ici et sur les captures correspondantes.*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