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555555"/>
          <w:sz w:val="18"/>
        </w:rPr>
        <w:t>Acuria Partners · Confidentiel</w:t>
      </w:r>
    </w:p>
    <w:p/>
    <w:p>
      <w:r>
        <w:rPr>
          <w:b/>
          <w:color w:val="1F355E"/>
          <w:sz w:val="46"/>
        </w:rPr>
        <w:t>Guide d'ajout d'un nouveau cabinet</w:t>
      </w:r>
    </w:p>
    <w:p>
      <w:r>
        <w:rPr>
          <w:color w:val="2E4A7A"/>
          <w:sz w:val="26"/>
        </w:rPr>
        <w:t>Procédure d'onboarding d'un tenant sur la plateforme</w:t>
      </w:r>
    </w:p>
    <w:p>
      <w:r>
        <w:rPr>
          <w:i/>
          <w:color w:val="555555"/>
          <w:sz w:val="20"/>
        </w:rPr>
        <w:t>Guide d'administration — 15/07/2026</w:t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1. Objet et public visé</w:t>
      </w:r>
    </w:p>
    <w:p>
      <w:r>
        <w:rPr>
          <w:sz w:val="21"/>
        </w:rPr>
        <w:t>Ce guide décrit, pas à pas, la procédure pour ajouter un nouveau cabinet (tenant) sur la plateforme. Chaque cabinet dispose de son espace de données isolé : ses clients, dossiers KYC/FCC et utilisateurs ne sont jamais visibles par un autre cabinet.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Rôle requis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Ce qu'il fait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Administrateur plateforme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super_admin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8"/>
              </w:rPr>
              <w:t>Réalise l'onboarding depuis le tableau de bord (voie principale).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Développeur / support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accès serveur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8"/>
              </w:rPr>
              <w:t>Intervient uniquement en cas de reprise ou d'échec (voie technique, §6).</w:t>
            </w:r>
          </w:p>
        </w:tc>
      </w:tr>
    </w:tbl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2. Vue d'ensemble du processus</w:t>
      </w:r>
    </w:p>
    <w:p>
      <w:r>
        <w:rPr>
          <w:sz w:val="21"/>
        </w:rPr>
        <w:t>La création d'un cabinet est automatisée : il suffit de saisir un nom et un identifiant, la plateforme provisionne seule l'espace de données (Baserow) et les tables nécessaires.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1. Créer le cabinet (Nom + Slug)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super_admin (UI)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Espace Baserow + base + tables provisionnés automatiquement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2. Attendre le statut « Actif 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automatique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Statut passe de « En création » à « Actif » (temps réel)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3. Configurer la fiche du cabinet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super_admin (UI)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Branding, ORIAS, SharePoint, e-mails renseignés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4. Créer le 1er administrateur du cabinet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super_admin (UI)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Utilisateur tenant_admin créé, e-mail d'activation envoyé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5. Activation par l'administrateur du cabinet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cabinet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Définition du mot de passe, première connexion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6. Vérification (recette)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super_admin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Le cabinet est opérationnel</w:t>
            </w:r>
          </w:p>
        </w:tc>
      </w:tr>
    </w:tbl>
    <w:p>
      <w:r>
        <w:rPr>
          <w:sz w:val="21"/>
        </w:rPr>
        <w:t>Statuts d'un cabinet : « En création » (provisioning) → « Actif » (active). En cas de problème pendant le provisionnement, le statut passe à « Échec » (failed) — voir le dépannage au §7.</w:t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3. Prérequis</w:t>
      </w:r>
    </w:p>
    <w:p>
      <w:pPr>
        <w:pStyle w:val="ListBullet"/>
      </w:pPr>
      <w:r>
        <w:rPr>
          <w:sz w:val="21"/>
        </w:rPr>
        <w:t>Disposer d'un compte super_admin sur la plateforme.</w:t>
      </w:r>
    </w:p>
    <w:p>
      <w:pPr>
        <w:pStyle w:val="ListBullet"/>
      </w:pPr>
      <w:r>
        <w:rPr>
          <w:sz w:val="21"/>
        </w:rPr>
        <w:t>La plateforme doit être configurée avec les identifiants Baserow d'administration (BASEROW_EMAIL et BASEROW_PASSWORD) : ils permettent de créer automatiquement l'espace de données du cabinet. Sans eux, la création échoue (à vérifier une seule fois, côté serveur).</w:t>
      </w:r>
    </w:p>
    <w:p>
      <w:pPr>
        <w:pStyle w:val="ListBullet"/>
      </w:pPr>
      <w:r>
        <w:rPr>
          <w:sz w:val="21"/>
        </w:rPr>
        <w:t>Les scénarios Make.com (e-mails d'activation, flux KYC/FCC) doivent être configurés au niveau de la plateforme (variables MAKE_WEBHOOK_*). Ils sont partagés par tous les cabinets.</w:t>
      </w:r>
    </w:p>
    <w:p>
      <w:pPr>
        <w:pStyle w:val="ListBullet"/>
      </w:pPr>
      <w:r>
        <w:rPr>
          <w:sz w:val="21"/>
        </w:rPr>
        <w:t>Informations à réunir avant de commencer : nom commercial du cabinet, numéro ORIAS, couleur de marque (optionnel), logo (optionnel), chemin SharePoint de stockage documentaire, e-mail de contact du cabinet, e-mail back-office, ainsi que le nom et l'e-mail du premier administrateur du cabinet.</w:t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4. Procédure principale (via le tableau de bord)</w:t>
      </w:r>
    </w:p>
    <w:p>
      <w:pPr>
        <w:spacing w:before="180" w:after="60"/>
      </w:pPr>
      <w:r>
        <w:rPr>
          <w:b/>
          <w:color w:val="2E4A7A"/>
          <w:sz w:val="25"/>
        </w:rPr>
        <w:t>Étape 1 — Se connecter en tant qu'administrateur plateforme</w:t>
      </w:r>
    </w:p>
    <w:p>
      <w:r>
        <w:rPr>
          <w:sz w:val="21"/>
        </w:rPr>
        <w:t>Se connecter à la plateforme avec un compte super_admin, puis ouvrir la page « Cabinets » (menu Tenants).</w:t>
      </w:r>
    </w:p>
    <w:p>
      <w:pPr>
        <w:spacing w:before="180" w:after="60"/>
      </w:pPr>
      <w:r>
        <w:rPr>
          <w:b/>
          <w:color w:val="2E4A7A"/>
          <w:sz w:val="25"/>
        </w:rPr>
        <w:t>Étape 2 — Créer le cabinet</w:t>
      </w:r>
    </w:p>
    <w:p>
      <w:r>
        <w:rPr>
          <w:sz w:val="21"/>
        </w:rPr>
        <w:t>Cliquer sur « Nouveau cabinet » et renseigner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Nom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Nom commercial du cabinet (ex. « NM Prime »).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Slug (identifiant)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Identifiant technique unique, généré automatiquement à partir du nom (ex. « nm-prime »). Modifiable, en minuscules et tirets. Doit être unique.</w:t>
            </w:r>
          </w:p>
        </w:tc>
      </w:tr>
    </w:tbl>
    <w:p>
      <w:r>
        <w:rPr>
          <w:sz w:val="21"/>
        </w:rPr>
        <w:t>Valider. Un message confirme : « le tenant sera créé et son espace Baserow provisionné ». La plateforme crée alors automatiquement, sans intervention technique : l'espace de travail (workspace) Baserow dédié, la base de données du cabinet, le jeton d'accès sécurisé, puis l'ensemble des tables métier.</w:t>
      </w:r>
    </w:p>
    <w:p>
      <w:pPr>
        <w:spacing w:before="180" w:after="60"/>
      </w:pPr>
      <w:r>
        <w:rPr>
          <w:b/>
          <w:color w:val="2E4A7A"/>
          <w:sz w:val="25"/>
        </w:rPr>
        <w:t>Étape 3 — Attendre le passage au statut « Actif »</w:t>
      </w:r>
    </w:p>
    <w:p>
      <w:r>
        <w:rPr>
          <w:sz w:val="21"/>
        </w:rPr>
        <w:t>Le cabinet apparaît d'abord « En création ». Le provisionnement des tables se fait en arrière-plan ; le statut passe à « Actif » automatiquement (mise à jour en temps réel). En cas d'échec, le statut affiche « Échec » — voir §7.</w:t>
      </w:r>
    </w:p>
    <w:p>
      <w:pPr>
        <w:spacing w:before="180" w:after="60"/>
      </w:pPr>
      <w:r>
        <w:rPr>
          <w:b/>
          <w:color w:val="2E4A7A"/>
          <w:sz w:val="25"/>
        </w:rPr>
        <w:t>Étape 4 — Configurer la fiche du cabinet</w:t>
      </w:r>
    </w:p>
    <w:p>
      <w:r>
        <w:rPr>
          <w:sz w:val="21"/>
        </w:rPr>
        <w:t>Ouvrir la fiche du cabinet et renseigner les paramètres suivants (tous modifiables à tout moment)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Nom d'affichage (branding)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Nom affiché dans l'interface du cabinet.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ORIAS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Numéro d'immatriculation ORIAS, repris sur les documents réglementaires.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Couleur d'accent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Couleur de marque de l'interface (par défaut #BE845C).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Logo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Image PNG/JPEG/WebP/SVG, 2 Mo maximum.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Chemin SharePoint (sharepoint_path_base)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Dossier racine de stockage documentaire du cabinet (doit exister dans SharePoint).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E-mail du cabinet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Adresse de contact / expéditeur pour les flux du cabinet.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E-mail back-office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Adresse back-office recevant les notifications de traitement.</w:t>
            </w:r>
          </w:p>
        </w:tc>
      </w:tr>
    </w:tbl>
    <w:p>
      <w:pPr>
        <w:spacing w:before="180" w:after="60"/>
      </w:pPr>
      <w:r>
        <w:rPr>
          <w:b/>
          <w:color w:val="2E4A7A"/>
          <w:sz w:val="25"/>
        </w:rPr>
        <w:t>Étape 5 — Créer le premier administrateur du cabinet</w:t>
      </w:r>
    </w:p>
    <w:p>
      <w:r>
        <w:rPr>
          <w:sz w:val="21"/>
        </w:rPr>
        <w:t>Toujours depuis la fiche du cabinet (onglet Utilisateurs), créer le premier compte avec le rôle « Administrateur du cabinet » (tenant_admin)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Champ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Obligatoire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Nom de la personne.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E-mail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Adresse professionnelle ; reçoit le lien d'activation.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Rôle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Oui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« tenant_admin » (administrateur) ou « standard_user » (utilisateur).</w:t>
            </w:r>
          </w:p>
        </w:tc>
      </w:tr>
    </w:tbl>
    <w:p>
      <w:r>
        <w:rPr>
          <w:sz w:val="21"/>
        </w:rPr>
        <w:t>À la création, un e-mail d'activation contenant un lien de définition de mot de passe est envoyé automatiquement à l'utilisateur (via Make).</w:t>
      </w:r>
    </w:p>
    <w:p>
      <w:pPr>
        <w:spacing w:before="180" w:after="60"/>
      </w:pPr>
      <w:r>
        <w:rPr>
          <w:b/>
          <w:color w:val="2E4A7A"/>
          <w:sz w:val="25"/>
        </w:rPr>
        <w:t>Étape 6 — Activation par l'administrateur du cabinet</w:t>
      </w:r>
    </w:p>
    <w:p>
      <w:pPr>
        <w:pStyle w:val="ListBullet"/>
      </w:pPr>
      <w:r>
        <w:rPr>
          <w:sz w:val="21"/>
        </w:rPr>
        <w:t>L'administrateur du cabinet reçoit l'e-mail et clique sur le lien d'activation.</w:t>
      </w:r>
    </w:p>
    <w:p>
      <w:pPr>
        <w:pStyle w:val="ListBullet"/>
      </w:pPr>
      <w:r>
        <w:rPr>
          <w:sz w:val="21"/>
        </w:rPr>
        <w:t>Il définit son mot de passe puis se connecte à la plateforme.</w:t>
      </w:r>
    </w:p>
    <w:p>
      <w:pPr>
        <w:pStyle w:val="ListBullet"/>
      </w:pPr>
      <w:r>
        <w:rPr>
          <w:sz w:val="21"/>
        </w:rPr>
        <w:t>Il peut ensuite créer les autres utilisateurs de son cabinet (utilisateurs standard).</w:t>
      </w:r>
    </w:p>
    <w:p>
      <w:pPr>
        <w:spacing w:before="180" w:after="60"/>
      </w:pPr>
      <w:r>
        <w:rPr>
          <w:b/>
          <w:color w:val="2E4A7A"/>
          <w:sz w:val="25"/>
        </w:rPr>
        <w:t>Étape 7 — Vérification (recette rapide)</w:t>
      </w:r>
    </w:p>
    <w:p>
      <w:pPr>
        <w:pStyle w:val="ListBullet"/>
      </w:pPr>
      <w:r>
        <w:rPr>
          <w:sz w:val="21"/>
        </w:rPr>
        <w:t>Le statut du cabinet est « Actif ».</w:t>
      </w:r>
    </w:p>
    <w:p>
      <w:pPr>
        <w:pStyle w:val="ListBullet"/>
      </w:pPr>
      <w:r>
        <w:rPr>
          <w:sz w:val="21"/>
        </w:rPr>
        <w:t>L'administrateur du cabinet se connecte et ne voit que les données de son cabinet.</w:t>
      </w:r>
    </w:p>
    <w:p>
      <w:pPr>
        <w:pStyle w:val="ListBullet"/>
      </w:pPr>
      <w:r>
        <w:rPr>
          <w:sz w:val="21"/>
        </w:rPr>
        <w:t>La création d'un client de test fonctionne et n'apparaît pas chez un autre cabinet (isolation).</w:t>
      </w:r>
    </w:p>
    <w:p>
      <w:pPr>
        <w:pStyle w:val="ListBullet"/>
      </w:pPr>
      <w:r>
        <w:rPr>
          <w:sz w:val="21"/>
        </w:rPr>
        <w:t>Les envois KYC/FCC pointent vers le bon chemin SharePoint.</w:t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5. Ce qui est créé automatiquement</w:t>
      </w:r>
    </w:p>
    <w:p>
      <w:r>
        <w:rPr>
          <w:sz w:val="21"/>
        </w:rPr>
        <w:t>Pour chaque cabinet, la plateforme crée un espace Baserow isolé contenant les tables suivantes (opération idempotente : relancer le provisionnement ne duplique rien)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Table (base du cabinet)</w:t>
            </w:r>
          </w:p>
        </w:tc>
        <w:tc>
          <w:tcPr>
            <w:tcW w:type="dxa" w:w="432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Fiches clients (PP / PM)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gestionnaires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Gestionnaires / conseillers du cabinet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kyc_documents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Documents KYC par client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Notes clients (avec pièces jointes SharePoint)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relations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Relations / bénéficiaires effectifs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Tâches et to-do de conformité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fcc_clients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Dossiers FCC (soumissions, scores, statut)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8"/>
              </w:rPr>
              <w:t>Journal des actions sensibles du cabinet</w:t>
            </w:r>
          </w:p>
        </w:tc>
      </w:tr>
    </w:tbl>
    <w:p>
      <w:r>
        <w:rPr>
          <w:sz w:val="21"/>
        </w:rPr>
        <w:t>Les comptes utilisateurs et la fiche du cabinet sont, eux, stockés dans la base principale de la plateforme (tables tenants, users, audit_logs).</w:t>
      </w:r>
    </w:p>
    <w:p>
      <w:r>
        <w:br w:type="page"/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6. Voie technique alternative (développeur)</w:t>
      </w:r>
    </w:p>
    <w:p>
      <w:r>
        <w:rPr>
          <w:sz w:val="21"/>
        </w:rPr>
        <w:t>Réservée à un développeur, pour reprendre un cabinet dont le provisionnement automatique a échoué, ou pour (re)créer l'espace de données en ligne de commande. Les commandes s'exécutent depuis la racine du projet. Elles requièrent BASEROW_EMAIL et BASEROW_PASSWORD configurés.</w:t>
      </w:r>
    </w:p>
    <w:p>
      <w:pPr>
        <w:spacing w:before="180" w:after="60"/>
      </w:pPr>
      <w:r>
        <w:rPr>
          <w:b/>
          <w:color w:val="2E4A7A"/>
          <w:sz w:val="25"/>
        </w:rPr>
        <w:t>6.1 (Re)créer l'espace de données du cabinet</w:t>
      </w:r>
    </w:p>
    <w:p>
      <w:r>
        <w:rPr>
          <w:sz w:val="21"/>
        </w:rPr>
        <w:t>À utiliser si le cabinet existe dans la table « tenants » mais n'a pas d'espace Baserow (workspace/base/jeton). Le paramètre --slug correspond au slug du cabinet.</w:t>
      </w:r>
    </w:p>
    <w:p>
      <w:pPr>
        <w:shd w:val="clear" w:color="auto" w:fill="F2F3F7"/>
        <w:spacing w:after="80"/>
      </w:pPr>
      <w:r>
        <w:rPr>
          <w:rFonts w:ascii="Consolas" w:hAnsi="Consolas"/>
          <w:color w:val="1F355E"/>
          <w:sz w:val="19"/>
        </w:rPr>
        <w:t>npm run provision:tenant-workspace --workspace=backend -- --slug=&lt;slug-du-cabinet&gt;</w:t>
      </w:r>
    </w:p>
    <w:p>
      <w:r>
        <w:rPr>
          <w:sz w:val="21"/>
        </w:rPr>
        <w:t>Ajouter --force pour reprovisionner un nouvel espace même si un existe déjà. Cette commande crée le workspace, la base et le jeton, met à jour la fiche du cabinet, puis provisionne les tables.</w:t>
      </w:r>
    </w:p>
    <w:p>
      <w:pPr>
        <w:spacing w:before="180" w:after="60"/>
      </w:pPr>
      <w:r>
        <w:rPr>
          <w:b/>
          <w:color w:val="2E4A7A"/>
          <w:sz w:val="25"/>
        </w:rPr>
        <w:t>6.2 (Re)provisionner uniquement les tables</w:t>
      </w:r>
    </w:p>
    <w:p>
      <w:r>
        <w:rPr>
          <w:sz w:val="21"/>
        </w:rPr>
        <w:t>À utiliser si l'espace existe déjà mais qu'il manque des tables/champs (idempotent) :</w:t>
      </w:r>
    </w:p>
    <w:p>
      <w:pPr>
        <w:shd w:val="clear" w:color="auto" w:fill="F2F3F7"/>
        <w:spacing w:after="80"/>
      </w:pPr>
      <w:r>
        <w:rPr>
          <w:rFonts w:ascii="Consolas" w:hAnsi="Consolas"/>
          <w:color w:val="1F355E"/>
          <w:sz w:val="19"/>
        </w:rPr>
        <w:t>npm run provision:tenant-tables --workspace=backend -- --slug=&lt;slug-du-cabinet&gt;</w:t>
      </w:r>
    </w:p>
    <w:p>
      <w:pPr>
        <w:spacing w:before="180" w:after="60"/>
      </w:pPr>
      <w:r>
        <w:rPr>
          <w:b/>
          <w:color w:val="2E4A7A"/>
          <w:sz w:val="25"/>
        </w:rPr>
        <w:t>6.3 Import de données existantes (optionnel)</w:t>
      </w:r>
    </w:p>
    <w:p>
      <w:r>
        <w:rPr>
          <w:sz w:val="21"/>
        </w:rPr>
        <w:t>Pour importer d'anciennes données Airtable dans le cabinet :</w:t>
      </w:r>
    </w:p>
    <w:p>
      <w:pPr>
        <w:shd w:val="clear" w:color="auto" w:fill="F2F3F7"/>
        <w:spacing w:after="80"/>
      </w:pPr>
      <w:r>
        <w:rPr>
          <w:rFonts w:ascii="Consolas" w:hAnsi="Consolas"/>
          <w:color w:val="1F355E"/>
          <w:sz w:val="19"/>
        </w:rPr>
        <w:t>npm run migrate:airtable --workspace=backend -- --tenant-slug=&lt;slug-du-cabinet&gt;</w:t>
      </w:r>
    </w:p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7. Dépannage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Symptôme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Cause probable</w:t>
            </w:r>
          </w:p>
        </w:tc>
        <w:tc>
          <w:tcPr>
            <w:tcW w:type="dxa" w:w="2880"/>
            <w:shd w:val="clear" w:color="auto" w:fill="1F355E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Statut bloqué sur « Échec »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Provisionnement interrompu (réseau, Baserow, identifiants admin)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Vérifier BASEROW_EMAIL/PASSWORD ; relancer §6.1 (avec --force si besoin) puis §6.2.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« A tenant with this slug already exists »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Slug déjà utilisé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Choisir un slug unique.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Création impossible / erreur de base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BASEROW_EMAIL / BASEROW_PASSWORD manquants côté serveur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Renseigner ces variables d'environnement puis réessayer.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L'administrateur n'a pas reçu l'e-mail d'activation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Scénario Make d'e-mail non configuré ou adresse erronée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Vérifier MAKE_WEBHOOK_PASSWORD_SET ; renvoyer via « Réinitialiser le mot de passe 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Le cabinet voit des données d'un autre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Anomalie d'isolation (ne devrait pas arriver)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Cesser l'usage et remonter immédiatement au support (incident).</w:t>
            </w:r>
          </w:p>
        </w:tc>
      </w:tr>
    </w:tbl>
    <w:p>
      <w:pPr>
        <w:pBdr>
          <w:bottom w:val="single" w:sz="6" w:space="2" w:color="1F355E"/>
        </w:pBdr>
        <w:spacing w:before="300" w:after="140"/>
      </w:pPr>
      <w:r>
        <w:rPr>
          <w:b/>
          <w:color w:val="1F355E"/>
          <w:sz w:val="32"/>
        </w:rPr>
        <w:t>8. Checklist récapitulative</w:t>
      </w:r>
    </w:p>
    <w:p>
      <w:r>
        <w:rPr>
          <w:sz w:val="21"/>
        </w:rPr>
        <w:t>☐  Cabinet créé (Nom + Slug) et statut « Actif ».</w:t>
      </w:r>
    </w:p>
    <w:p>
      <w:r>
        <w:rPr>
          <w:sz w:val="21"/>
        </w:rPr>
        <w:t>☐  Fiche configurée : branding, ORIAS, couleur, logo, chemin SharePoint, e-mails.</w:t>
      </w:r>
    </w:p>
    <w:p>
      <w:r>
        <w:rPr>
          <w:sz w:val="21"/>
        </w:rPr>
        <w:t>☐  Premier administrateur (tenant_admin) créé et e-mail d'activation envoyé.</w:t>
      </w:r>
    </w:p>
    <w:p>
      <w:r>
        <w:rPr>
          <w:sz w:val="21"/>
        </w:rPr>
        <w:t>☐  Administrateur du cabinet activé et connecté.</w:t>
      </w:r>
    </w:p>
    <w:p>
      <w:r>
        <w:rPr>
          <w:sz w:val="21"/>
        </w:rPr>
        <w:t>☐  Isolation vérifiée (client de test invisible ailleurs).</w:t>
      </w:r>
    </w:p>
    <w:p>
      <w:r>
        <w:rPr>
          <w:sz w:val="21"/>
        </w:rPr>
        <w:t>☐  Flux KYC/FCC et stockage SharePoint validés.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Acuria Partners · Confidentiel — Guide d'onboarding d'un cabinet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