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555555"/>
          <w:sz w:val="18"/>
        </w:rPr>
        <w:t>Acuria Partners · Confidentiel</w:t>
      </w:r>
    </w:p>
    <w:p/>
    <w:p>
      <w:r>
        <w:rPr>
          <w:b/>
          <w:color w:val="1F355E"/>
          <w:sz w:val="44"/>
        </w:rPr>
        <w:t>Guide de démonstration des tests</w:t>
      </w:r>
    </w:p>
    <w:p>
      <w:r>
        <w:rPr>
          <w:color w:val="2E4A7A"/>
          <w:sz w:val="25"/>
        </w:rPr>
        <w:t>Tests unitaires &amp; tests d'intégration — comment les exécuter en direct</w:t>
      </w:r>
    </w:p>
    <w:p>
      <w:r>
        <w:rPr>
          <w:i/>
          <w:color w:val="555555"/>
          <w:sz w:val="20"/>
        </w:rPr>
        <w:t>Support de présentation pour le client / Team Lead — 15/07/2026</w:t>
      </w:r>
    </w:p>
    <w:p>
      <w:pPr>
        <w:pBdr>
          <w:bottom w:val="single" w:sz="6" w:space="2" w:color="1F355E"/>
        </w:pBdr>
        <w:spacing w:before="300" w:after="140"/>
      </w:pPr>
      <w:r>
        <w:rPr>
          <w:b/>
          <w:color w:val="1F355E"/>
          <w:sz w:val="32"/>
        </w:rPr>
        <w:t>1. État actuel</w:t>
      </w:r>
    </w:p>
    <w:p>
      <w:r>
        <w:rPr>
          <w:sz w:val="21"/>
        </w:rPr>
        <w:t>Les deux tâches sont déjà réalisées et intégrées au dépôt. Ce document explique comment les démontrer en direct (exécution des tests devant le client ou le Team Lead) et ce que chaque suite prouve.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55E"/>
          </w:tcPr>
          <w:p>
            <w:r/>
            <w:r>
              <w:rPr>
                <w:b/>
                <w:color w:val="FFFFFF"/>
                <w:sz w:val="19"/>
              </w:rPr>
              <w:t>Tâche</w:t>
            </w:r>
          </w:p>
        </w:tc>
        <w:tc>
          <w:tcPr>
            <w:tcW w:type="dxa" w:w="2880"/>
            <w:shd w:val="clear" w:color="auto" w:fill="1F355E"/>
          </w:tcPr>
          <w:p>
            <w:r/>
            <w:r>
              <w:rPr>
                <w:b/>
                <w:color w:val="FFFFFF"/>
                <w:sz w:val="19"/>
              </w:rPr>
              <w:t>Suite correspondante</w:t>
            </w:r>
          </w:p>
        </w:tc>
        <w:tc>
          <w:tcPr>
            <w:tcW w:type="dxa" w:w="2880"/>
            <w:shd w:val="clear" w:color="auto" w:fill="1F355E"/>
          </w:tcPr>
          <w:p>
            <w:r/>
            <w:r>
              <w:rPr>
                <w:b/>
                <w:color w:val="FFFFFF"/>
                <w:sz w:val="19"/>
              </w:rPr>
              <w:t>État</w:t>
            </w:r>
          </w:p>
        </w:tc>
      </w:tr>
      <w:tr>
        <w:tc>
          <w:tcPr>
            <w:tcW w:type="dxa" w:w="4608"/>
          </w:tcPr>
          <w:p>
            <w:r/>
            <w:r>
              <w:rPr>
                <w:b w:val="0"/>
                <w:sz w:val="18"/>
              </w:rPr>
              <w:t>« Réaliser les tests unitaires de chaque fonctionnalité »</w:t>
            </w:r>
          </w:p>
        </w:tc>
        <w:tc>
          <w:tcPr>
            <w:tcW w:type="dxa" w:w="3456"/>
          </w:tcPr>
          <w:p>
            <w:r/>
            <w:r>
              <w:rPr>
                <w:b w:val="0"/>
                <w:sz w:val="18"/>
              </w:rPr>
              <w:t>Tests unitaires (Vitest)</w:t>
            </w:r>
          </w:p>
        </w:tc>
        <w:tc>
          <w:tcPr>
            <w:tcW w:type="dxa" w:w="1440"/>
          </w:tcPr>
          <w:p>
            <w:r/>
            <w:r>
              <w:rPr>
                <w:b w:val="0"/>
                <w:sz w:val="18"/>
              </w:rPr>
              <w:t>Implémenté ✓</w:t>
            </w:r>
          </w:p>
        </w:tc>
      </w:tr>
      <w:tr>
        <w:tc>
          <w:tcPr>
            <w:tcW w:type="dxa" w:w="4608"/>
          </w:tcPr>
          <w:p>
            <w:r/>
            <w:r>
              <w:rPr>
                <w:b w:val="0"/>
                <w:sz w:val="18"/>
              </w:rPr>
              <w:t>« Réaliser les tests d'intégration (dashboard + Make + Baserow + SharePoint + JWT Auth) »</w:t>
            </w:r>
          </w:p>
        </w:tc>
        <w:tc>
          <w:tcPr>
            <w:tcW w:type="dxa" w:w="3456"/>
          </w:tcPr>
          <w:p>
            <w:r/>
            <w:r>
              <w:rPr>
                <w:b w:val="0"/>
                <w:sz w:val="18"/>
              </w:rPr>
              <w:t>Tests d'intégration (Vitest + Supertest + MSW)</w:t>
            </w:r>
          </w:p>
        </w:tc>
        <w:tc>
          <w:tcPr>
            <w:tcW w:type="dxa" w:w="1440"/>
          </w:tcPr>
          <w:p>
            <w:r/>
            <w:r>
              <w:rPr>
                <w:b w:val="0"/>
                <w:sz w:val="18"/>
              </w:rPr>
              <w:t>Implémenté ✓</w:t>
            </w:r>
          </w:p>
        </w:tc>
      </w:tr>
    </w:tbl>
    <w:p>
      <w:r>
        <w:rPr>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5E"/>
          </w:tcPr>
          <w:p>
            <w:r/>
            <w:r>
              <w:rPr>
                <w:b/>
                <w:color w:val="FFFFFF"/>
                <w:sz w:val="19"/>
              </w:rPr>
              <w:t>Suite</w:t>
            </w:r>
          </w:p>
        </w:tc>
        <w:tc>
          <w:tcPr>
            <w:tcW w:type="dxa" w:w="2160"/>
            <w:shd w:val="clear" w:color="auto" w:fill="1F355E"/>
          </w:tcPr>
          <w:p>
            <w:r/>
            <w:r>
              <w:rPr>
                <w:b/>
                <w:color w:val="FFFFFF"/>
                <w:sz w:val="19"/>
              </w:rPr>
              <w:t>Fichiers</w:t>
            </w:r>
          </w:p>
        </w:tc>
        <w:tc>
          <w:tcPr>
            <w:tcW w:type="dxa" w:w="2160"/>
            <w:shd w:val="clear" w:color="auto" w:fill="1F355E"/>
          </w:tcPr>
          <w:p>
            <w:r/>
            <w:r>
              <w:rPr>
                <w:b/>
                <w:color w:val="FFFFFF"/>
                <w:sz w:val="19"/>
              </w:rPr>
              <w:t>Cas de test</w:t>
            </w:r>
          </w:p>
        </w:tc>
        <w:tc>
          <w:tcPr>
            <w:tcW w:type="dxa" w:w="2160"/>
            <w:shd w:val="clear" w:color="auto" w:fill="1F355E"/>
          </w:tcPr>
          <w:p>
            <w:r/>
            <w:r>
              <w:rPr>
                <w:b/>
                <w:color w:val="FFFFFF"/>
                <w:sz w:val="19"/>
              </w:rPr>
              <w:t>Dernier résultat</w:t>
            </w:r>
          </w:p>
        </w:tc>
      </w:tr>
      <w:tr>
        <w:tc>
          <w:tcPr>
            <w:tcW w:type="dxa" w:w="3744"/>
          </w:tcPr>
          <w:p>
            <w:r/>
            <w:r>
              <w:rPr>
                <w:b w:val="0"/>
                <w:sz w:val="18"/>
              </w:rPr>
              <w:t>Unitaires back-end</w:t>
            </w:r>
          </w:p>
        </w:tc>
        <w:tc>
          <w:tcPr>
            <w:tcW w:type="dxa" w:w="1440"/>
          </w:tcPr>
          <w:p>
            <w:r/>
            <w:r>
              <w:rPr>
                <w:b w:val="0"/>
                <w:sz w:val="18"/>
              </w:rPr>
              <w:t>12</w:t>
            </w:r>
          </w:p>
        </w:tc>
        <w:tc>
          <w:tcPr>
            <w:tcW w:type="dxa" w:w="1872"/>
          </w:tcPr>
          <w:p>
            <w:r/>
            <w:r>
              <w:rPr>
                <w:b w:val="0"/>
                <w:sz w:val="18"/>
              </w:rPr>
              <w:t>121</w:t>
            </w:r>
          </w:p>
        </w:tc>
        <w:tc>
          <w:tcPr>
            <w:tcW w:type="dxa" w:w="2448"/>
          </w:tcPr>
          <w:p>
            <w:r/>
            <w:r>
              <w:rPr>
                <w:b w:val="0"/>
                <w:sz w:val="18"/>
              </w:rPr>
              <w:t>100 % — Passé</w:t>
            </w:r>
          </w:p>
        </w:tc>
      </w:tr>
      <w:tr>
        <w:tc>
          <w:tcPr>
            <w:tcW w:type="dxa" w:w="3744"/>
          </w:tcPr>
          <w:p>
            <w:r/>
            <w:r>
              <w:rPr>
                <w:b w:val="0"/>
                <w:sz w:val="18"/>
              </w:rPr>
              <w:t>Intégration back-end</w:t>
            </w:r>
          </w:p>
        </w:tc>
        <w:tc>
          <w:tcPr>
            <w:tcW w:type="dxa" w:w="1440"/>
          </w:tcPr>
          <w:p>
            <w:r/>
            <w:r>
              <w:rPr>
                <w:b w:val="0"/>
                <w:sz w:val="18"/>
              </w:rPr>
              <w:t>15</w:t>
            </w:r>
          </w:p>
        </w:tc>
        <w:tc>
          <w:tcPr>
            <w:tcW w:type="dxa" w:w="1872"/>
          </w:tcPr>
          <w:p>
            <w:r/>
            <w:r>
              <w:rPr>
                <w:b w:val="0"/>
                <w:sz w:val="18"/>
              </w:rPr>
              <w:t>154</w:t>
            </w:r>
          </w:p>
        </w:tc>
        <w:tc>
          <w:tcPr>
            <w:tcW w:type="dxa" w:w="2448"/>
          </w:tcPr>
          <w:p>
            <w:r/>
            <w:r>
              <w:rPr>
                <w:b w:val="0"/>
                <w:sz w:val="18"/>
              </w:rPr>
              <w:t>100 % — Passé</w:t>
            </w:r>
          </w:p>
        </w:tc>
      </w:tr>
      <w:tr>
        <w:tc>
          <w:tcPr>
            <w:tcW w:type="dxa" w:w="3744"/>
          </w:tcPr>
          <w:p>
            <w:r/>
            <w:r>
              <w:rPr>
                <w:b w:val="0"/>
                <w:sz w:val="18"/>
              </w:rPr>
              <w:t>Front-end (unit + intégration)</w:t>
            </w:r>
          </w:p>
        </w:tc>
        <w:tc>
          <w:tcPr>
            <w:tcW w:type="dxa" w:w="1440"/>
          </w:tcPr>
          <w:p>
            <w:r/>
            <w:r>
              <w:rPr>
                <w:b w:val="0"/>
                <w:sz w:val="18"/>
              </w:rPr>
              <w:t>20</w:t>
            </w:r>
          </w:p>
        </w:tc>
        <w:tc>
          <w:tcPr>
            <w:tcW w:type="dxa" w:w="1872"/>
          </w:tcPr>
          <w:p>
            <w:r/>
            <w:r>
              <w:rPr>
                <w:b w:val="0"/>
                <w:sz w:val="18"/>
              </w:rPr>
              <w:t>124</w:t>
            </w:r>
          </w:p>
        </w:tc>
        <w:tc>
          <w:tcPr>
            <w:tcW w:type="dxa" w:w="2448"/>
          </w:tcPr>
          <w:p>
            <w:r/>
            <w:r>
              <w:rPr>
                <w:b w:val="0"/>
                <w:sz w:val="18"/>
              </w:rPr>
              <w:t>100 % — Passé</w:t>
            </w:r>
          </w:p>
        </w:tc>
      </w:tr>
      <w:tr>
        <w:tc>
          <w:tcPr>
            <w:tcW w:type="dxa" w:w="3744"/>
          </w:tcPr>
          <w:p>
            <w:r/>
            <w:r>
              <w:rPr>
                <w:b w:val="0"/>
                <w:sz w:val="18"/>
              </w:rPr>
              <w:t>TOTAL</w:t>
            </w:r>
          </w:p>
        </w:tc>
        <w:tc>
          <w:tcPr>
            <w:tcW w:type="dxa" w:w="1440"/>
          </w:tcPr>
          <w:p>
            <w:r/>
            <w:r>
              <w:rPr>
                <w:b w:val="0"/>
                <w:sz w:val="18"/>
              </w:rPr>
              <w:t>47</w:t>
            </w:r>
          </w:p>
        </w:tc>
        <w:tc>
          <w:tcPr>
            <w:tcW w:type="dxa" w:w="1872"/>
          </w:tcPr>
          <w:p>
            <w:r/>
            <w:r>
              <w:rPr>
                <w:b w:val="0"/>
                <w:sz w:val="18"/>
              </w:rPr>
              <w:t>399</w:t>
            </w:r>
          </w:p>
        </w:tc>
        <w:tc>
          <w:tcPr>
            <w:tcW w:type="dxa" w:w="2448"/>
          </w:tcPr>
          <w:p>
            <w:r/>
            <w:r>
              <w:rPr>
                <w:b w:val="0"/>
                <w:sz w:val="18"/>
              </w:rPr>
              <w:t>100 % — 0 échec</w:t>
            </w:r>
          </w:p>
        </w:tc>
      </w:tr>
    </w:tbl>
    <w:p>
      <w:pPr>
        <w:pBdr>
          <w:bottom w:val="single" w:sz="6" w:space="2" w:color="1F355E"/>
        </w:pBdr>
        <w:spacing w:before="300" w:after="140"/>
      </w:pPr>
      <w:r>
        <w:rPr>
          <w:b/>
          <w:color w:val="1F355E"/>
          <w:sz w:val="32"/>
        </w:rPr>
        <w:t>2. Ce que démontre chaque type de test</w:t>
      </w:r>
    </w:p>
    <w:p>
      <w:pPr>
        <w:spacing w:before="180" w:after="60"/>
      </w:pPr>
      <w:r>
        <w:rPr>
          <w:b/>
          <w:color w:val="2E4A7A"/>
          <w:sz w:val="25"/>
        </w:rPr>
        <w:t>2.1 Tests unitaires — « chaque fonctionnalité »</w:t>
      </w:r>
    </w:p>
    <w:p>
      <w:r>
        <w:rPr>
          <w:sz w:val="21"/>
        </w:rPr>
        <w:t>Ils vérifient une fonction/un module en isolation, avec ses dépendances simulées. Ils couvrent les briques métier : middlewares (authentification, rôles, tenant, secret webhook, journal d'audit), utilitaires (JWT, client Baserow, fichiers), et services (mapping des données, intégration Make, gestionnaires). Objectif : prouver que chaque unité de logique se comporte correctement, cas nominaux et cas d'erreur.</w:t>
      </w:r>
    </w:p>
    <w:p>
      <w:pPr>
        <w:spacing w:before="180" w:after="60"/>
      </w:pPr>
      <w:r>
        <w:rPr>
          <w:b/>
          <w:color w:val="2E4A7A"/>
          <w:sz w:val="25"/>
        </w:rPr>
        <w:t>2.2 Tests d'intégration — « dashboard + Make + Baserow + SharePoint + JWT Auth »</w:t>
      </w:r>
    </w:p>
    <w:p>
      <w:r>
        <w:rPr>
          <w:sz w:val="21"/>
        </w:rPr>
        <w:t>Ils exécutent l'application réelle de bout en bout (vraie API Express appelée en HTTP, vrai contrôle d'accès JWT), les services externes étant simulés à leur frontière pour des tests reproductibles et sans effet de bord. Correspondance avec les briques demandées :</w:t>
      </w:r>
    </w:p>
    <w:tbl>
      <w:tblPr>
        <w:tblStyle w:val="TableGrid"/>
        <w:tblW w:type="auto" w:w="0"/>
        <w:tblLook w:firstColumn="1" w:firstRow="1" w:lastColumn="0" w:lastRow="0" w:noHBand="0" w:noVBand="1" w:val="04A0"/>
      </w:tblPr>
      <w:tblGrid>
        <w:gridCol w:w="4320"/>
        <w:gridCol w:w="4320"/>
      </w:tblGrid>
      <w:tr>
        <w:tc>
          <w:tcPr>
            <w:tcW w:type="dxa" w:w="4320"/>
            <w:shd w:val="clear" w:color="auto" w:fill="1F355E"/>
          </w:tcPr>
          <w:p>
            <w:r/>
            <w:r>
              <w:rPr>
                <w:b/>
                <w:color w:val="FFFFFF"/>
                <w:sz w:val="19"/>
              </w:rPr>
              <w:t>Brique</w:t>
            </w:r>
          </w:p>
        </w:tc>
        <w:tc>
          <w:tcPr>
            <w:tcW w:type="dxa" w:w="4320"/>
            <w:shd w:val="clear" w:color="auto" w:fill="1F355E"/>
          </w:tcPr>
          <w:p>
            <w:r/>
            <w:r>
              <w:rPr>
                <w:b/>
                <w:color w:val="FFFFFF"/>
                <w:sz w:val="19"/>
              </w:rPr>
              <w:t>Comment elle est exercée dans les tests d'intégration</w:t>
            </w:r>
          </w:p>
        </w:tc>
      </w:tr>
      <w:tr>
        <w:tc>
          <w:tcPr>
            <w:tcW w:type="dxa" w:w="2448"/>
          </w:tcPr>
          <w:p>
            <w:r/>
            <w:r>
              <w:rPr>
                <w:b w:val="0"/>
                <w:sz w:val="18"/>
              </w:rPr>
              <w:t>Dashboard (front-end)</w:t>
            </w:r>
          </w:p>
        </w:tc>
        <w:tc>
          <w:tcPr>
            <w:tcW w:type="dxa" w:w="7056"/>
          </w:tcPr>
          <w:p>
            <w:r/>
            <w:r>
              <w:rPr>
                <w:b w:val="0"/>
                <w:sz w:val="18"/>
              </w:rPr>
              <w:t>Pages React rendues et pilotées via MSW (API simulée) ; parcours utilisateur vérifiés.</w:t>
            </w:r>
          </w:p>
        </w:tc>
      </w:tr>
      <w:tr>
        <w:tc>
          <w:tcPr>
            <w:tcW w:type="dxa" w:w="2448"/>
          </w:tcPr>
          <w:p>
            <w:r/>
            <w:r>
              <w:rPr>
                <w:b w:val="0"/>
                <w:sz w:val="18"/>
              </w:rPr>
              <w:t>Dashboard (back-end / API)</w:t>
            </w:r>
          </w:p>
        </w:tc>
        <w:tc>
          <w:tcPr>
            <w:tcW w:type="dxa" w:w="7056"/>
          </w:tcPr>
          <w:p>
            <w:r/>
            <w:r>
              <w:rPr>
                <w:b w:val="0"/>
                <w:sz w:val="18"/>
              </w:rPr>
              <w:t>API Express appelée réellement en HTTP via Supertest (routes, validations, réponses).</w:t>
            </w:r>
          </w:p>
        </w:tc>
      </w:tr>
      <w:tr>
        <w:tc>
          <w:tcPr>
            <w:tcW w:type="dxa" w:w="2448"/>
          </w:tcPr>
          <w:p>
            <w:r/>
            <w:r>
              <w:rPr>
                <w:b w:val="0"/>
                <w:sz w:val="18"/>
              </w:rPr>
              <w:t>JWT Auth</w:t>
            </w:r>
          </w:p>
        </w:tc>
        <w:tc>
          <w:tcPr>
            <w:tcW w:type="dxa" w:w="7056"/>
          </w:tcPr>
          <w:p>
            <w:r/>
            <w:r>
              <w:rPr>
                <w:b w:val="0"/>
                <w:sz w:val="18"/>
              </w:rPr>
              <w:t>Réel : jetons signés/vérifiés par le middleware d'authentification ; rôles et isolation tenant testés.</w:t>
            </w:r>
          </w:p>
        </w:tc>
      </w:tr>
      <w:tr>
        <w:tc>
          <w:tcPr>
            <w:tcW w:type="dxa" w:w="2448"/>
          </w:tcPr>
          <w:p>
            <w:r/>
            <w:r>
              <w:rPr>
                <w:b w:val="0"/>
                <w:sz w:val="18"/>
              </w:rPr>
              <w:t>Baserow</w:t>
            </w:r>
          </w:p>
        </w:tc>
        <w:tc>
          <w:tcPr>
            <w:tcW w:type="dxa" w:w="7056"/>
          </w:tcPr>
          <w:p>
            <w:r/>
            <w:r>
              <w:rPr>
                <w:b w:val="0"/>
                <w:sz w:val="18"/>
              </w:rPr>
              <w:t>API REST Baserow simulée via nock (helper nock-baserow) : lectures/écritures reproduites sans base réelle.</w:t>
            </w:r>
          </w:p>
        </w:tc>
      </w:tr>
      <w:tr>
        <w:tc>
          <w:tcPr>
            <w:tcW w:type="dxa" w:w="2448"/>
          </w:tcPr>
          <w:p>
            <w:r/>
            <w:r>
              <w:rPr>
                <w:b w:val="0"/>
                <w:sz w:val="18"/>
              </w:rPr>
              <w:t>Make</w:t>
            </w:r>
          </w:p>
        </w:tc>
        <w:tc>
          <w:tcPr>
            <w:tcW w:type="dxa" w:w="7056"/>
          </w:tcPr>
          <w:p>
            <w:r/>
            <w:r>
              <w:rPr>
                <w:b w:val="0"/>
                <w:sz w:val="18"/>
              </w:rPr>
              <w:t>Webhooks Make capturés via un stub de fetch (helper nock-make) : on vérifie l'appel et sa charge utile.</w:t>
            </w:r>
          </w:p>
        </w:tc>
      </w:tr>
      <w:tr>
        <w:tc>
          <w:tcPr>
            <w:tcW w:type="dxa" w:w="2448"/>
          </w:tcPr>
          <w:p>
            <w:r/>
            <w:r>
              <w:rPr>
                <w:b w:val="0"/>
                <w:sz w:val="18"/>
              </w:rPr>
              <w:t>SharePoint</w:t>
            </w:r>
          </w:p>
        </w:tc>
        <w:tc>
          <w:tcPr>
            <w:tcW w:type="dxa" w:w="7056"/>
          </w:tcPr>
          <w:p>
            <w:r/>
            <w:r>
              <w:rPr>
                <w:b w:val="0"/>
                <w:sz w:val="18"/>
              </w:rPr>
              <w:t>Atteint via Make : le back-end transmet le chemin SharePoint dans la charge Make ; le stockage est opéré par les scénarios Make (frontière simulée dans les tests).</w:t>
            </w:r>
          </w:p>
        </w:tc>
      </w:tr>
    </w:tbl>
    <w:p>
      <w:r>
        <w:rPr>
          <w:sz w:val="21"/>
        </w:rPr>
        <w:t>Note de transparence à présenter : les services tiers (Baserow, Make, et donc SharePoint) sont volontairement simulés dans les tests automatisés — c'est la bonne pratique (isolation, rapidité, reproductibilité). L'authentification JWT, elle, est testée en réel.</w:t>
      </w:r>
    </w:p>
    <w:p>
      <w:pPr>
        <w:pBdr>
          <w:bottom w:val="single" w:sz="6" w:space="2" w:color="1F355E"/>
        </w:pBdr>
        <w:spacing w:before="300" w:after="140"/>
      </w:pPr>
      <w:r>
        <w:rPr>
          <w:b/>
          <w:color w:val="1F355E"/>
          <w:sz w:val="32"/>
        </w:rPr>
        <w:t>3. Prérequis (poste de démonstration)</w:t>
      </w:r>
    </w:p>
    <w:p>
      <w:pPr>
        <w:pStyle w:val="ListBullet"/>
      </w:pPr>
      <w:r>
        <w:rPr>
          <w:sz w:val="21"/>
        </w:rPr>
        <w:t>Node.js 20+ et npm installés.</w:t>
      </w:r>
    </w:p>
    <w:p>
      <w:pPr>
        <w:pStyle w:val="ListBullet"/>
      </w:pPr>
      <w:r>
        <w:rPr>
          <w:sz w:val="21"/>
        </w:rPr>
        <w:t>Dépôt cloné ; dépendances installées une fois via la commande ci-dessous.</w:t>
      </w:r>
    </w:p>
    <w:p>
      <w:pPr>
        <w:pStyle w:val="ListBullet"/>
      </w:pPr>
      <w:r>
        <w:rPr>
          <w:sz w:val="21"/>
        </w:rPr>
        <w:t>Aucun secret ni accès externe requis : les tests tournent hors-ligne (services tiers simulés).</w:t>
      </w:r>
    </w:p>
    <w:p>
      <w:pPr>
        <w:shd w:val="clear" w:color="auto" w:fill="F2F3F7"/>
        <w:spacing w:after="80" w:before="40"/>
      </w:pPr>
      <w:r>
        <w:rPr>
          <w:rFonts w:ascii="Consolas" w:hAnsi="Consolas"/>
          <w:color w:val="1F355E"/>
          <w:sz w:val="19"/>
        </w:rPr>
        <w:t>npm install</w:t>
      </w:r>
    </w:p>
    <w:p>
      <w:pPr>
        <w:pBdr>
          <w:bottom w:val="single" w:sz="6" w:space="2" w:color="1F355E"/>
        </w:pBdr>
        <w:spacing w:before="300" w:after="140"/>
      </w:pPr>
      <w:r>
        <w:rPr>
          <w:b/>
          <w:color w:val="1F355E"/>
          <w:sz w:val="32"/>
        </w:rPr>
        <w:t>4. Commandes d'exécution (à projeter)</w:t>
      </w:r>
    </w:p>
    <w:p>
      <w:pPr>
        <w:spacing w:before="180" w:after="60"/>
      </w:pPr>
      <w:r>
        <w:rPr>
          <w:b/>
          <w:color w:val="2E4A7A"/>
          <w:sz w:val="25"/>
        </w:rPr>
        <w:t>4.1 Tests unitaires</w:t>
      </w:r>
    </w:p>
    <w:p>
      <w:pPr>
        <w:shd w:val="clear" w:color="auto" w:fill="F2F3F7"/>
        <w:spacing w:after="80" w:before="40"/>
      </w:pPr>
      <w:r>
        <w:rPr>
          <w:rFonts w:ascii="Consolas" w:hAnsi="Consolas"/>
          <w:color w:val="1F355E"/>
          <w:sz w:val="19"/>
        </w:rPr>
        <w:t>npm run test --workspace=backend</w:t>
      </w:r>
    </w:p>
    <w:p>
      <w:r>
        <w:rPr>
          <w:sz w:val="21"/>
        </w:rPr>
        <w:t>Attendu : « Test Files 12 passed (12) · Tests 121 passed (121) » en ~1–2 s.</w:t>
      </w:r>
    </w:p>
    <w:p>
      <w:pPr>
        <w:spacing w:before="180" w:after="60"/>
      </w:pPr>
      <w:r>
        <w:rPr>
          <w:b/>
          <w:color w:val="2E4A7A"/>
          <w:sz w:val="25"/>
        </w:rPr>
        <w:t>4.2 Tests d'intégration (back-end)</w:t>
      </w:r>
    </w:p>
    <w:p>
      <w:pPr>
        <w:shd w:val="clear" w:color="auto" w:fill="F2F3F7"/>
        <w:spacing w:after="80" w:before="40"/>
      </w:pPr>
      <w:r>
        <w:rPr>
          <w:rFonts w:ascii="Consolas" w:hAnsi="Consolas"/>
          <w:color w:val="1F355E"/>
          <w:sz w:val="19"/>
        </w:rPr>
        <w:t>npm run test:integration --workspace=backend</w:t>
      </w:r>
    </w:p>
    <w:p>
      <w:r>
        <w:rPr>
          <w:sz w:val="21"/>
        </w:rPr>
        <w:t>Attendu : « Test Files 15 passed (15) · Tests 154 passed (154) » ; le journal affiche les requêtes HTTP jouées (GET /api/clients 200, POST /api/auth/login 200, POST /api/fcc/docusign-webhook 200, …).</w:t>
      </w:r>
    </w:p>
    <w:p>
      <w:pPr>
        <w:spacing w:before="180" w:after="60"/>
      </w:pPr>
      <w:r>
        <w:rPr>
          <w:b/>
          <w:color w:val="2E4A7A"/>
          <w:sz w:val="25"/>
        </w:rPr>
        <w:t>4.3 Tests front-end (pages + socle)</w:t>
      </w:r>
    </w:p>
    <w:p>
      <w:pPr>
        <w:shd w:val="clear" w:color="auto" w:fill="F2F3F7"/>
        <w:spacing w:after="80" w:before="40"/>
      </w:pPr>
      <w:r>
        <w:rPr>
          <w:rFonts w:ascii="Consolas" w:hAnsi="Consolas"/>
          <w:color w:val="1F355E"/>
          <w:sz w:val="19"/>
        </w:rPr>
        <w:t>npm run test --workspace=frontend</w:t>
      </w:r>
    </w:p>
    <w:p>
      <w:r>
        <w:rPr>
          <w:sz w:val="21"/>
        </w:rPr>
        <w:t>Attendu : « Test Files 20 passed (20) · Tests 124 passed (124) ».</w:t>
      </w:r>
    </w:p>
    <w:p>
      <w:pPr>
        <w:spacing w:before="180" w:after="60"/>
      </w:pPr>
      <w:r>
        <w:rPr>
          <w:b/>
          <w:color w:val="2E4A7A"/>
          <w:sz w:val="25"/>
        </w:rPr>
        <w:t>4.4 Couverture de code (optionnel, pour chiffrer)</w:t>
      </w:r>
    </w:p>
    <w:p>
      <w:pPr>
        <w:shd w:val="clear" w:color="auto" w:fill="F2F3F7"/>
        <w:spacing w:after="80" w:before="40"/>
      </w:pPr>
      <w:r>
        <w:rPr>
          <w:rFonts w:ascii="Consolas" w:hAnsi="Consolas"/>
          <w:color w:val="1F355E"/>
          <w:sz w:val="19"/>
        </w:rPr>
        <w:t>npm run test:coverage --workspace=backend</w:t>
        <w:br/>
        <w:t>npm run test:coverage --workspace=frontend</w:t>
      </w:r>
    </w:p>
    <w:p>
      <w:r>
        <w:rPr>
          <w:sz w:val="21"/>
        </w:rPr>
        <w:t>Affiche un tableau de couverture par fichier + un récapitulatif (%). Utile pour montrer l'étendue mesurée.</w:t>
      </w:r>
    </w:p>
    <w:p>
      <w:pPr>
        <w:spacing w:before="180" w:after="60"/>
      </w:pPr>
      <w:r>
        <w:rPr>
          <w:b/>
          <w:color w:val="2E4A7A"/>
          <w:sz w:val="25"/>
        </w:rPr>
        <w:t>4.5 Mode « live » (relance automatique à chaque sauvegarde)</w:t>
      </w:r>
    </w:p>
    <w:p>
      <w:pPr>
        <w:shd w:val="clear" w:color="auto" w:fill="F2F3F7"/>
        <w:spacing w:after="80" w:before="40"/>
      </w:pPr>
      <w:r>
        <w:rPr>
          <w:rFonts w:ascii="Consolas" w:hAnsi="Consolas"/>
          <w:color w:val="1F355E"/>
          <w:sz w:val="19"/>
        </w:rPr>
        <w:t>npm run test:watch --workspace=backend</w:t>
      </w:r>
    </w:p>
    <w:p>
      <w:r>
        <w:rPr>
          <w:sz w:val="21"/>
        </w:rPr>
        <w:t>Idéal en démonstration : le tableau reste vert et se relance instantanément dès qu'on modifie un fichier (voir le scénario §5.3).</w:t>
      </w:r>
    </w:p>
    <w:p>
      <w:pPr>
        <w:spacing w:before="180" w:after="60"/>
      </w:pPr>
      <w:r>
        <w:rPr>
          <w:b/>
          <w:color w:val="2E4A7A"/>
          <w:sz w:val="25"/>
        </w:rPr>
        <w:t>4.6 Cibler un seul domaine (démo rapide)</w:t>
      </w:r>
    </w:p>
    <w:p>
      <w:pPr>
        <w:shd w:val="clear" w:color="auto" w:fill="F2F3F7"/>
        <w:spacing w:after="80" w:before="40"/>
      </w:pPr>
      <w:r>
        <w:rPr>
          <w:rFonts w:ascii="Consolas" w:hAnsi="Consolas"/>
          <w:color w:val="1F355E"/>
          <w:sz w:val="19"/>
        </w:rPr>
        <w:t>npm run test:integration --workspace=backend -- auth</w:t>
      </w:r>
    </w:p>
    <w:p>
      <w:r>
        <w:rPr>
          <w:sz w:val="21"/>
        </w:rPr>
        <w:t>N'exécute que les fichiers dont le nom contient « auth » — pratique pour montrer un domaine précis.</w:t>
      </w:r>
    </w:p>
    <w:p>
      <w:r>
        <w:br w:type="page"/>
      </w:r>
    </w:p>
    <w:p>
      <w:pPr>
        <w:pBdr>
          <w:bottom w:val="single" w:sz="6" w:space="2" w:color="1F355E"/>
        </w:pBdr>
        <w:spacing w:before="300" w:after="140"/>
      </w:pPr>
      <w:r>
        <w:rPr>
          <w:b/>
          <w:color w:val="1F355E"/>
          <w:sz w:val="32"/>
        </w:rPr>
        <w:t>5. Scénario de démonstration en direct (~10 minutes)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5E"/>
          </w:tcPr>
          <w:p>
            <w:r/>
            <w:r>
              <w:rPr>
                <w:b/>
                <w:color w:val="FFFFFF"/>
                <w:sz w:val="19"/>
              </w:rPr>
              <w:t>#</w:t>
            </w:r>
          </w:p>
        </w:tc>
        <w:tc>
          <w:tcPr>
            <w:tcW w:type="dxa" w:w="2160"/>
            <w:shd w:val="clear" w:color="auto" w:fill="1F355E"/>
          </w:tcPr>
          <w:p>
            <w:r/>
            <w:r>
              <w:rPr>
                <w:b/>
                <w:color w:val="FFFFFF"/>
                <w:sz w:val="19"/>
              </w:rPr>
              <w:t>Étape</w:t>
            </w:r>
          </w:p>
        </w:tc>
        <w:tc>
          <w:tcPr>
            <w:tcW w:type="dxa" w:w="2160"/>
            <w:shd w:val="clear" w:color="auto" w:fill="1F355E"/>
          </w:tcPr>
          <w:p>
            <w:r/>
            <w:r>
              <w:rPr>
                <w:b/>
                <w:color w:val="FFFFFF"/>
                <w:sz w:val="19"/>
              </w:rPr>
              <w:t>Commande / action</w:t>
            </w:r>
          </w:p>
        </w:tc>
        <w:tc>
          <w:tcPr>
            <w:tcW w:type="dxa" w:w="2160"/>
            <w:shd w:val="clear" w:color="auto" w:fill="1F355E"/>
          </w:tcPr>
          <w:p>
            <w:r/>
            <w:r>
              <w:rPr>
                <w:b/>
                <w:color w:val="FFFFFF"/>
                <w:sz w:val="19"/>
              </w:rPr>
              <w:t>Ce que ça prouve</w:t>
            </w:r>
          </w:p>
        </w:tc>
      </w:tr>
      <w:tr>
        <w:tc>
          <w:tcPr>
            <w:tcW w:type="dxa" w:w="432"/>
          </w:tcPr>
          <w:p>
            <w:r/>
            <w:r>
              <w:rPr>
                <w:b w:val="0"/>
                <w:sz w:val="18"/>
              </w:rPr>
              <w:t>1</w:t>
            </w:r>
          </w:p>
        </w:tc>
        <w:tc>
          <w:tcPr>
            <w:tcW w:type="dxa" w:w="2592"/>
          </w:tcPr>
          <w:p>
            <w:r/>
            <w:r>
              <w:rPr>
                <w:b w:val="0"/>
                <w:sz w:val="18"/>
              </w:rPr>
              <w:t>Lancer les tests unitaires</w:t>
            </w:r>
          </w:p>
        </w:tc>
        <w:tc>
          <w:tcPr>
            <w:tcW w:type="dxa" w:w="3312"/>
          </w:tcPr>
          <w:p>
            <w:r/>
            <w:r>
              <w:rPr>
                <w:b w:val="0"/>
                <w:sz w:val="18"/>
              </w:rPr>
              <w:t>npm run test --workspace=backend</w:t>
            </w:r>
          </w:p>
        </w:tc>
        <w:tc>
          <w:tcPr>
            <w:tcW w:type="dxa" w:w="3168"/>
          </w:tcPr>
          <w:p>
            <w:r/>
            <w:r>
              <w:rPr>
                <w:b w:val="0"/>
                <w:sz w:val="18"/>
              </w:rPr>
              <w:t>Chaque fonctionnalité (unité) est validée — 121 cas verts.</w:t>
            </w:r>
          </w:p>
        </w:tc>
      </w:tr>
      <w:tr>
        <w:tc>
          <w:tcPr>
            <w:tcW w:type="dxa" w:w="432"/>
          </w:tcPr>
          <w:p>
            <w:r/>
            <w:r>
              <w:rPr>
                <w:b w:val="0"/>
                <w:sz w:val="18"/>
              </w:rPr>
              <w:t>2</w:t>
            </w:r>
          </w:p>
        </w:tc>
        <w:tc>
          <w:tcPr>
            <w:tcW w:type="dxa" w:w="2592"/>
          </w:tcPr>
          <w:p>
            <w:r/>
            <w:r>
              <w:rPr>
                <w:b w:val="0"/>
                <w:sz w:val="18"/>
              </w:rPr>
              <w:t>Lancer les tests d'intégration</w:t>
            </w:r>
          </w:p>
        </w:tc>
        <w:tc>
          <w:tcPr>
            <w:tcW w:type="dxa" w:w="3312"/>
          </w:tcPr>
          <w:p>
            <w:r/>
            <w:r>
              <w:rPr>
                <w:b w:val="0"/>
                <w:sz w:val="18"/>
              </w:rPr>
              <w:t>npm run test:integration --workspace=backend</w:t>
            </w:r>
          </w:p>
        </w:tc>
        <w:tc>
          <w:tcPr>
            <w:tcW w:type="dxa" w:w="3168"/>
          </w:tcPr>
          <w:p>
            <w:r/>
            <w:r>
              <w:rPr>
                <w:b w:val="0"/>
                <w:sz w:val="18"/>
              </w:rPr>
              <w:t>Les parcours réels (API + JWT + Baserow/Make simulés) fonctionnent — 154 cas verts.</w:t>
            </w:r>
          </w:p>
        </w:tc>
      </w:tr>
      <w:tr>
        <w:tc>
          <w:tcPr>
            <w:tcW w:type="dxa" w:w="432"/>
          </w:tcPr>
          <w:p>
            <w:r/>
            <w:r>
              <w:rPr>
                <w:b w:val="0"/>
                <w:sz w:val="18"/>
              </w:rPr>
              <w:t>3</w:t>
            </w:r>
          </w:p>
        </w:tc>
        <w:tc>
          <w:tcPr>
            <w:tcW w:type="dxa" w:w="2592"/>
          </w:tcPr>
          <w:p>
            <w:r/>
            <w:r>
              <w:rPr>
                <w:b w:val="0"/>
                <w:sz w:val="18"/>
              </w:rPr>
              <w:t>Ouvrir un fichier de test</w:t>
            </w:r>
          </w:p>
        </w:tc>
        <w:tc>
          <w:tcPr>
            <w:tcW w:type="dxa" w:w="3312"/>
          </w:tcPr>
          <w:p>
            <w:r/>
            <w:r>
              <w:rPr>
                <w:b w:val="0"/>
                <w:sz w:val="18"/>
              </w:rPr>
              <w:t>ex. src/routes/auth/auth.integration.test.ts</w:t>
            </w:r>
          </w:p>
        </w:tc>
        <w:tc>
          <w:tcPr>
            <w:tcW w:type="dxa" w:w="3168"/>
          </w:tcPr>
          <w:p>
            <w:r/>
            <w:r>
              <w:rPr>
                <w:b w:val="0"/>
                <w:sz w:val="18"/>
              </w:rPr>
              <w:t>Montre la lisibilité : un cas = une intention (login OK, refus sans jeton, etc.).</w:t>
            </w:r>
          </w:p>
        </w:tc>
      </w:tr>
      <w:tr>
        <w:tc>
          <w:tcPr>
            <w:tcW w:type="dxa" w:w="432"/>
          </w:tcPr>
          <w:p>
            <w:r/>
            <w:r>
              <w:rPr>
                <w:b w:val="0"/>
                <w:sz w:val="18"/>
              </w:rPr>
              <w:t>4</w:t>
            </w:r>
          </w:p>
        </w:tc>
        <w:tc>
          <w:tcPr>
            <w:tcW w:type="dxa" w:w="2592"/>
          </w:tcPr>
          <w:p>
            <w:r/>
            <w:r>
              <w:rPr>
                <w:b w:val="0"/>
                <w:sz w:val="18"/>
              </w:rPr>
              <w:t>Lancer le front-end</w:t>
            </w:r>
          </w:p>
        </w:tc>
        <w:tc>
          <w:tcPr>
            <w:tcW w:type="dxa" w:w="3312"/>
          </w:tcPr>
          <w:p>
            <w:r/>
            <w:r>
              <w:rPr>
                <w:b w:val="0"/>
                <w:sz w:val="18"/>
              </w:rPr>
              <w:t>npm run test --workspace=frontend</w:t>
            </w:r>
          </w:p>
        </w:tc>
        <w:tc>
          <w:tcPr>
            <w:tcW w:type="dxa" w:w="3168"/>
          </w:tcPr>
          <w:p>
            <w:r/>
            <w:r>
              <w:rPr>
                <w:b w:val="0"/>
                <w:sz w:val="18"/>
              </w:rPr>
              <w:t>Les pages du dashboard se comportent correctement — 124 cas verts.</w:t>
            </w:r>
          </w:p>
        </w:tc>
      </w:tr>
      <w:tr>
        <w:tc>
          <w:tcPr>
            <w:tcW w:type="dxa" w:w="432"/>
          </w:tcPr>
          <w:p>
            <w:r/>
            <w:r>
              <w:rPr>
                <w:b w:val="0"/>
                <w:sz w:val="18"/>
              </w:rPr>
              <w:t>5</w:t>
            </w:r>
          </w:p>
        </w:tc>
        <w:tc>
          <w:tcPr>
            <w:tcW w:type="dxa" w:w="2592"/>
          </w:tcPr>
          <w:p>
            <w:r/>
            <w:r>
              <w:rPr>
                <w:b w:val="0"/>
                <w:sz w:val="18"/>
              </w:rPr>
              <w:t>Afficher la couverture</w:t>
            </w:r>
          </w:p>
        </w:tc>
        <w:tc>
          <w:tcPr>
            <w:tcW w:type="dxa" w:w="3312"/>
          </w:tcPr>
          <w:p>
            <w:r/>
            <w:r>
              <w:rPr>
                <w:b w:val="0"/>
                <w:sz w:val="18"/>
              </w:rPr>
              <w:t>npm run test:coverage --workspace=backend</w:t>
            </w:r>
          </w:p>
        </w:tc>
        <w:tc>
          <w:tcPr>
            <w:tcW w:type="dxa" w:w="3168"/>
          </w:tcPr>
          <w:p>
            <w:r/>
            <w:r>
              <w:rPr>
                <w:b w:val="0"/>
                <w:sz w:val="18"/>
              </w:rPr>
              <w:t>Chiffre l'étendue testée des routes et services.</w:t>
            </w:r>
          </w:p>
        </w:tc>
      </w:tr>
    </w:tbl>
    <w:p>
      <w:pPr>
        <w:spacing w:before="180" w:after="60"/>
      </w:pPr>
      <w:r>
        <w:rPr>
          <w:b/>
          <w:color w:val="2E4A7A"/>
          <w:sz w:val="25"/>
        </w:rPr>
        <w:t>5.3 Preuve « anti-régression » (le moment fort)</w:t>
      </w:r>
    </w:p>
    <w:p>
      <w:r>
        <w:rPr>
          <w:sz w:val="21"/>
        </w:rPr>
        <w:t>Pour démontrer que les tests détectent réellement une régression, en mode watch (§4.5) :</w:t>
      </w:r>
    </w:p>
    <w:p>
      <w:pPr>
        <w:pStyle w:val="ListBullet"/>
      </w:pPr>
      <w:r>
        <w:rPr>
          <w:sz w:val="21"/>
        </w:rPr>
        <w:t>Introduire volontairement une petite erreur dans une fonction (ex. inverser une condition d'un middleware de rôle).</w:t>
      </w:r>
    </w:p>
    <w:p>
      <w:pPr>
        <w:pStyle w:val="ListBullet"/>
      </w:pPr>
      <w:r>
        <w:rPr>
          <w:sz w:val="21"/>
        </w:rPr>
        <w:t>Sauvegarder : la suite se relance et vire au ROUGE en pointant le cas cassé.</w:t>
      </w:r>
    </w:p>
    <w:p>
      <w:pPr>
        <w:pStyle w:val="ListBullet"/>
      </w:pPr>
      <w:r>
        <w:rPr>
          <w:sz w:val="21"/>
        </w:rPr>
        <w:t>Annuler la modification : la suite repasse au VERT.</w:t>
      </w:r>
    </w:p>
    <w:p>
      <w:r>
        <w:rPr>
          <w:sz w:val="21"/>
        </w:rPr>
        <w:t>Message à faire passer : « les tests échouent quand le comportement change — c'est précisément ce qui protège contre les régressions à chaque évolution du dashboard. »</w:t>
      </w:r>
    </w:p>
    <w:p>
      <w:pPr>
        <w:pBdr>
          <w:bottom w:val="single" w:sz="6" w:space="2" w:color="1F355E"/>
        </w:pBdr>
        <w:spacing w:before="300" w:after="140"/>
      </w:pPr>
      <w:r>
        <w:rPr>
          <w:b/>
          <w:color w:val="1F355E"/>
          <w:sz w:val="32"/>
        </w:rPr>
        <w:t>6. Points de discours et de vigilance</w:t>
      </w:r>
    </w:p>
    <w:p>
      <w:pPr>
        <w:pStyle w:val="ListBullet"/>
      </w:pPr>
      <w:r>
        <w:rPr>
          <w:sz w:val="21"/>
        </w:rPr>
        <w:t>Les tests sont automatisés et reproductibles : ils tournent hors-ligne, sans toucher aux données réelles.</w:t>
      </w:r>
    </w:p>
    <w:p>
      <w:pPr>
        <w:pStyle w:val="ListBullet"/>
      </w:pPr>
      <w:r>
        <w:rPr>
          <w:sz w:val="21"/>
        </w:rPr>
        <w:t>Les services externes (Baserow, Make, SharePoint) sont simulés à leur frontière : c'est un choix de conception (isolation, rapidité), pas une lacune. Une campagne end-to-end réelle peut être ajoutée séparément si souhaité.</w:t>
      </w:r>
    </w:p>
    <w:p>
      <w:pPr>
        <w:pStyle w:val="ListBullet"/>
      </w:pPr>
      <w:r>
        <w:rPr>
          <w:sz w:val="21"/>
        </w:rPr>
        <w:t>L'authentification et le contrôle d'accès (JWT, rôles, isolation multi-tenant) sont testés en conditions réelles.</w:t>
      </w:r>
    </w:p>
    <w:p>
      <w:pPr>
        <w:pStyle w:val="ListBullet"/>
      </w:pPr>
      <w:r>
        <w:rPr>
          <w:sz w:val="21"/>
        </w:rPr>
        <w:t>Réserves connues (couverture) : quelques endpoints d'administration et plusieurs pages front-end (outils de simulation, formulaires FCC publics, pages d'audit) ne sont pas encore couverts — détaillées dans le Rapport de tests de non-régression.</w:t>
      </w:r>
    </w:p>
    <w:p>
      <w:pPr>
        <w:pStyle w:val="ListBullet"/>
      </w:pPr>
      <w:r>
        <w:rPr>
          <w:sz w:val="21"/>
        </w:rPr>
        <w:t>En cas d'échec pendant la démo : relancer « npm install » puis la commande ; vérifier la version de Node (20+).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Acuria Partners · Confidentiel — Guide de démonstration des tests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