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555555"/>
          <w:sz w:val="18"/>
        </w:rPr>
        <w:t>Acuria Partners · Confidentiel</w:t>
      </w:r>
    </w:p>
    <w:p/>
    <w:p/>
    <w:p/>
    <w:p/>
    <w:p>
      <w:pPr>
        <w:jc w:val="center"/>
      </w:pPr>
      <w:r>
        <w:rPr>
          <w:b/>
          <w:color w:val="1F355E"/>
          <w:sz w:val="50"/>
        </w:rPr>
        <w:t>RAPPORT DE TESTS DE NON-RÉGRESSION</w:t>
      </w:r>
    </w:p>
    <w:p>
      <w:pPr>
        <w:jc w:val="center"/>
      </w:pPr>
      <w:r>
        <w:rPr>
          <w:color w:val="2E4A7A"/>
          <w:sz w:val="28"/>
        </w:rPr>
        <w:t>Cahier de recette — dashboard métier sécurisé</w:t>
      </w:r>
    </w:p>
    <w:p>
      <w:pPr>
        <w:jc w:val="center"/>
      </w:pPr>
      <w:r>
        <w:rPr>
          <w:i/>
          <w:color w:val="555555"/>
          <w:sz w:val="23"/>
        </w:rPr>
        <w:t>Validation fonctionnelle après refactor de sécurisation</w:t>
      </w:r>
    </w:p>
    <w:p/>
    <w:p/>
    <w:p/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Client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Multi Family Office (statut CIF / COA — supervision ACPR &amp; AMF)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Prestataire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Acuria Partners (BPO compliance, Maurice)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Objet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Tests de non-régression de la plateforme (back-end API + front-end)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Périmètre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Monorepo acuria-platform — back-end Express/Baserow, front-end React/Vite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Outillage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Vitest, Supertest, nock, MSW, couverture V8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Date d'exécution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15/07/2026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Confidentiel — diffusion restreinte</w:t>
            </w:r>
          </w:p>
        </w:tc>
      </w:tr>
    </w:tbl>
    <w:p>
      <w:r>
        <w:br w:type="page"/>
      </w:r>
    </w:p>
    <w:p>
      <w:pPr>
        <w:pBdr>
          <w:bottom w:val="single" w:sz="6" w:space="2" w:color="1F355E"/>
        </w:pBdr>
        <w:spacing w:before="320" w:after="160"/>
      </w:pPr>
      <w:r>
        <w:rPr>
          <w:b/>
          <w:color w:val="1F355E"/>
          <w:sz w:val="32"/>
        </w:rPr>
        <w:t>1. Résumé exécutif</w:t>
      </w:r>
    </w:p>
    <w:p>
      <w:r>
        <w:rPr>
          <w:sz w:val="21"/>
        </w:rPr>
        <w:t>Ce rapport constitue le cahier de recette des tests de non-régression de la plateforme. Il atteste, sur le périmètre couvert, que les fonctionnalités du back-end et du front-end se comportent conformément aux attentes après les travaux de sécurisation et de refactor.</w:t>
      </w:r>
    </w:p>
    <w:p>
      <w:r>
        <w:rPr>
          <w:sz w:val="21"/>
        </w:rPr>
        <w:t>La campagne a été exécutée le 15/07/2026 sur l'ensemble des suites automatisées (tests unitaires et tests d'intégration). Résultat global : 47 fichiers de tests, 399 cas de test, 100 % de réussite, aucune régression détectée.</w:t>
      </w:r>
    </w:p>
    <w:p>
      <w:pPr>
        <w:spacing w:before="200" w:after="80"/>
      </w:pPr>
      <w:r>
        <w:rPr>
          <w:b/>
          <w:color w:val="2E4A7A"/>
          <w:sz w:val="25"/>
        </w:rPr>
        <w:t>Verdict de recette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E6E2E"/>
          </w:tcPr>
          <w:p>
            <w:r/>
            <w:r>
              <w:rPr>
                <w:b/>
                <w:color w:val="FFFFFF"/>
                <w:sz w:val="22"/>
              </w:rPr>
              <w:t>NON-RÉGRESSION VALIDÉE (avec réserves)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100 % des 399 cas exécutés sont passés. Réserves : périmètre non couvert documenté au §6 (à traiter en amélioration continue).</w:t>
            </w:r>
          </w:p>
        </w:tc>
      </w:tr>
    </w:tbl>
    <w:p>
      <w:pPr>
        <w:spacing w:before="200" w:after="80"/>
      </w:pPr>
      <w:r>
        <w:rPr>
          <w:b/>
          <w:color w:val="2E4A7A"/>
          <w:sz w:val="25"/>
        </w:rPr>
        <w:t>Indicateurs clés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355E"/>
          </w:tcPr>
          <w:p>
            <w:r/>
            <w:r>
              <w:rPr>
                <w:b/>
                <w:color w:val="FFFFFF"/>
                <w:sz w:val="19"/>
              </w:rPr>
              <w:t>Indicateur</w:t>
            </w:r>
          </w:p>
        </w:tc>
        <w:tc>
          <w:tcPr>
            <w:tcW w:type="dxa" w:w="4320"/>
            <w:shd w:val="clear" w:color="auto" w:fill="1F355E"/>
          </w:tcPr>
          <w:p>
            <w:r/>
            <w:r>
              <w:rPr>
                <w:b/>
                <w:color w:val="FFFFFF"/>
                <w:sz w:val="19"/>
              </w:rPr>
              <w:t>Valeur</w:t>
            </w:r>
          </w:p>
        </w:tc>
      </w:tr>
      <w:tr>
        <w:tc>
          <w:tcPr>
            <w:tcW w:type="dxa" w:w="4896"/>
          </w:tcPr>
          <w:p>
            <w:r/>
            <w:r>
              <w:rPr>
                <w:b w:val="0"/>
                <w:sz w:val="18"/>
              </w:rPr>
              <w:t>Fichiers de tests exécutés</w:t>
            </w:r>
          </w:p>
        </w:tc>
        <w:tc>
          <w:tcPr>
            <w:tcW w:type="dxa" w:w="4608"/>
          </w:tcPr>
          <w:p>
            <w:r/>
            <w:r>
              <w:rPr>
                <w:b w:val="0"/>
                <w:sz w:val="18"/>
              </w:rPr>
              <w:t>47 (27 back-end + 20 front-end)</w:t>
            </w:r>
          </w:p>
        </w:tc>
      </w:tr>
      <w:tr>
        <w:tc>
          <w:tcPr>
            <w:tcW w:type="dxa" w:w="4896"/>
          </w:tcPr>
          <w:p>
            <w:r/>
            <w:r>
              <w:rPr>
                <w:b w:val="0"/>
                <w:sz w:val="18"/>
              </w:rPr>
              <w:t>Cas de test exécutés</w:t>
            </w:r>
          </w:p>
        </w:tc>
        <w:tc>
          <w:tcPr>
            <w:tcW w:type="dxa" w:w="4608"/>
          </w:tcPr>
          <w:p>
            <w:r/>
            <w:r>
              <w:rPr>
                <w:b w:val="0"/>
                <w:sz w:val="18"/>
              </w:rPr>
              <w:t>399</w:t>
            </w:r>
          </w:p>
        </w:tc>
      </w:tr>
      <w:tr>
        <w:tc>
          <w:tcPr>
            <w:tcW w:type="dxa" w:w="4896"/>
          </w:tcPr>
          <w:p>
            <w:r/>
            <w:r>
              <w:rPr>
                <w:b w:val="0"/>
                <w:sz w:val="18"/>
              </w:rPr>
              <w:t>Cas en échec</w:t>
            </w:r>
          </w:p>
        </w:tc>
        <w:tc>
          <w:tcPr>
            <w:tcW w:type="dxa" w:w="4608"/>
          </w:tcPr>
          <w:p>
            <w:r/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4896"/>
          </w:tcPr>
          <w:p>
            <w:r/>
            <w:r>
              <w:rPr>
                <w:b w:val="0"/>
                <w:sz w:val="18"/>
              </w:rPr>
              <w:t>Taux de réussite</w:t>
            </w:r>
          </w:p>
        </w:tc>
        <w:tc>
          <w:tcPr>
            <w:tcW w:type="dxa" w:w="4608"/>
          </w:tcPr>
          <w:p>
            <w:r/>
            <w:r>
              <w:rPr>
                <w:b w:val="0"/>
                <w:sz w:val="18"/>
              </w:rPr>
              <w:t>100 %</w:t>
            </w:r>
          </w:p>
        </w:tc>
      </w:tr>
      <w:tr>
        <w:tc>
          <w:tcPr>
            <w:tcW w:type="dxa" w:w="4896"/>
          </w:tcPr>
          <w:p>
            <w:r/>
            <w:r>
              <w:rPr>
                <w:b w:val="0"/>
                <w:sz w:val="18"/>
              </w:rPr>
              <w:t>Couverture endpoints back-end</w:t>
            </w:r>
          </w:p>
        </w:tc>
        <w:tc>
          <w:tcPr>
            <w:tcW w:type="dxa" w:w="4608"/>
          </w:tcPr>
          <w:p>
            <w:r/>
            <w:r>
              <w:rPr>
                <w:b w:val="0"/>
                <w:sz w:val="18"/>
              </w:rPr>
              <w:t>46 / 55 (~84 %)</w:t>
            </w:r>
          </w:p>
        </w:tc>
      </w:tr>
      <w:tr>
        <w:tc>
          <w:tcPr>
            <w:tcW w:type="dxa" w:w="4896"/>
          </w:tcPr>
          <w:p>
            <w:r/>
            <w:r>
              <w:rPr>
                <w:b w:val="0"/>
                <w:sz w:val="18"/>
              </w:rPr>
              <w:t>Couverture de code — intégration back-end</w:t>
            </w:r>
          </w:p>
        </w:tc>
        <w:tc>
          <w:tcPr>
            <w:tcW w:type="dxa" w:w="4608"/>
          </w:tcPr>
          <w:p>
            <w:r/>
            <w:r>
              <w:rPr>
                <w:b w:val="0"/>
                <w:sz w:val="18"/>
              </w:rPr>
              <w:t>56,1 % lignes</w:t>
            </w:r>
          </w:p>
        </w:tc>
      </w:tr>
      <w:tr>
        <w:tc>
          <w:tcPr>
            <w:tcW w:type="dxa" w:w="4896"/>
          </w:tcPr>
          <w:p>
            <w:r/>
            <w:r>
              <w:rPr>
                <w:b w:val="0"/>
                <w:sz w:val="18"/>
              </w:rPr>
              <w:t>Couverture de code — front-end</w:t>
            </w:r>
          </w:p>
        </w:tc>
        <w:tc>
          <w:tcPr>
            <w:tcW w:type="dxa" w:w="4608"/>
          </w:tcPr>
          <w:p>
            <w:r/>
            <w:r>
              <w:rPr>
                <w:b w:val="0"/>
                <w:sz w:val="18"/>
              </w:rPr>
              <w:t>24,4 % lignes</w:t>
            </w:r>
          </w:p>
        </w:tc>
      </w:tr>
    </w:tbl>
    <w:p>
      <w:pPr>
        <w:pBdr>
          <w:bottom w:val="single" w:sz="6" w:space="2" w:color="1F355E"/>
        </w:pBdr>
        <w:spacing w:before="320" w:after="160"/>
      </w:pPr>
      <w:r>
        <w:rPr>
          <w:b/>
          <w:color w:val="1F355E"/>
          <w:sz w:val="32"/>
        </w:rPr>
        <w:t>2. Périmètre et environnement de test</w:t>
      </w:r>
    </w:p>
    <w:p>
      <w:pPr>
        <w:spacing w:before="200" w:after="80"/>
      </w:pPr>
      <w:r>
        <w:rPr>
          <w:b/>
          <w:color w:val="2E4A7A"/>
          <w:sz w:val="25"/>
        </w:rPr>
        <w:t>2.1 Périmètre testé</w:t>
      </w:r>
    </w:p>
    <w:p>
      <w:pPr>
        <w:pStyle w:val="ListBullet"/>
      </w:pPr>
      <w:r>
        <w:rPr>
          <w:sz w:val="21"/>
        </w:rPr>
        <w:t>Back-end : API Express, accès aux données Baserow, authentification JWT, isolation multi-tenant, intégrations Make.</w:t>
      </w:r>
    </w:p>
    <w:p>
      <w:pPr>
        <w:pStyle w:val="ListBullet"/>
      </w:pPr>
      <w:r>
        <w:rPr>
          <w:sz w:val="21"/>
        </w:rPr>
        <w:t>Front-end : pages applicatives clés (authentification, clients, KYC, utilisateurs, plateforme), hooks de données, utilitaires.</w:t>
      </w:r>
    </w:p>
    <w:p>
      <w:pPr>
        <w:pStyle w:val="ListBullet"/>
      </w:pPr>
      <w:r>
        <w:rPr>
          <w:sz w:val="21"/>
        </w:rPr>
        <w:t>Non-régression fonctionnelle : chaque domaine métier est exercé de bout en bout via des tests d'intégration.</w:t>
      </w:r>
    </w:p>
    <w:p>
      <w:pPr>
        <w:spacing w:before="200" w:after="80"/>
      </w:pPr>
      <w:r>
        <w:rPr>
          <w:b/>
          <w:color w:val="2E4A7A"/>
          <w:sz w:val="25"/>
        </w:rPr>
        <w:t>2.2 Outillage et méthode</w:t>
      </w:r>
    </w:p>
    <w:p>
      <w:pPr>
        <w:pStyle w:val="ListBullet"/>
      </w:pPr>
      <w:r>
        <w:rPr>
          <w:sz w:val="21"/>
        </w:rPr>
        <w:t>Vitest — moteur d'exécution des tests (unitaires et intégration).</w:t>
      </w:r>
    </w:p>
    <w:p>
      <w:pPr>
        <w:pStyle w:val="ListBullet"/>
      </w:pPr>
      <w:r>
        <w:rPr>
          <w:sz w:val="21"/>
        </w:rPr>
        <w:t>Supertest — appels HTTP réels sur l'application Express (tests d'intégration back-end).</w:t>
      </w:r>
    </w:p>
    <w:p>
      <w:pPr>
        <w:pStyle w:val="ListBullet"/>
      </w:pPr>
      <w:r>
        <w:rPr>
          <w:sz w:val="21"/>
        </w:rPr>
        <w:t>nock — simulation des services tiers (API Baserow, webhooks Make) pour isoler la plateforme.</w:t>
      </w:r>
    </w:p>
    <w:p>
      <w:pPr>
        <w:pStyle w:val="ListBullet"/>
      </w:pPr>
      <w:r>
        <w:rPr>
          <w:sz w:val="21"/>
        </w:rPr>
        <w:t>MSW (Mock Service Worker) — simulation de l'API côté front-end (tests de pages).</w:t>
      </w:r>
    </w:p>
    <w:p>
      <w:pPr>
        <w:pStyle w:val="ListBullet"/>
      </w:pPr>
      <w:r>
        <w:rPr>
          <w:sz w:val="21"/>
        </w:rPr>
        <w:t>Couverture V8 (@vitest/coverage-v8) — mesure de la couverture de code.</w:t>
      </w:r>
    </w:p>
    <w:p>
      <w:pPr>
        <w:spacing w:before="200" w:after="80"/>
      </w:pPr>
      <w:r>
        <w:rPr>
          <w:b/>
          <w:color w:val="2E4A7A"/>
          <w:sz w:val="25"/>
        </w:rPr>
        <w:t>2.3 Commandes exécutées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55E"/>
          </w:tcPr>
          <w:p>
            <w:r/>
            <w:r>
              <w:rPr>
                <w:b/>
                <w:color w:val="FFFFFF"/>
                <w:sz w:val="19"/>
              </w:rPr>
              <w:t>Suite</w:t>
            </w:r>
          </w:p>
        </w:tc>
        <w:tc>
          <w:tcPr>
            <w:tcW w:type="dxa" w:w="2880"/>
            <w:shd w:val="clear" w:color="auto" w:fill="1F355E"/>
          </w:tcPr>
          <w:p>
            <w:r/>
            <w:r>
              <w:rPr>
                <w:b/>
                <w:color w:val="FFFFFF"/>
                <w:sz w:val="19"/>
              </w:rPr>
              <w:t>Commande</w:t>
            </w:r>
          </w:p>
        </w:tc>
        <w:tc>
          <w:tcPr>
            <w:tcW w:type="dxa" w:w="2880"/>
            <w:shd w:val="clear" w:color="auto" w:fill="1F355E"/>
          </w:tcPr>
          <w:p>
            <w:r/>
            <w:r>
              <w:rPr>
                <w:b/>
                <w:color w:val="FFFFFF"/>
                <w:sz w:val="19"/>
              </w:rPr>
              <w:t>Résultat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18"/>
              </w:rPr>
              <w:t>Unitaires back-end</w:t>
            </w:r>
          </w:p>
        </w:tc>
        <w:tc>
          <w:tcPr>
            <w:tcW w:type="dxa" w:w="4464"/>
          </w:tcPr>
          <w:p>
            <w:r/>
            <w:r>
              <w:rPr>
                <w:b w:val="0"/>
                <w:sz w:val="18"/>
              </w:rPr>
              <w:t>npm run test --workspace=backend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8"/>
              </w:rPr>
              <w:t>12 fichiers / 121 cas — Passé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18"/>
              </w:rPr>
              <w:t>Intégration back-end</w:t>
            </w:r>
          </w:p>
        </w:tc>
        <w:tc>
          <w:tcPr>
            <w:tcW w:type="dxa" w:w="4464"/>
          </w:tcPr>
          <w:p>
            <w:r/>
            <w:r>
              <w:rPr>
                <w:b w:val="0"/>
                <w:sz w:val="18"/>
              </w:rPr>
              <w:t>npm run test:integration --workspace=backend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8"/>
              </w:rPr>
              <w:t>15 fichiers / 154 cas — Passé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18"/>
              </w:rPr>
              <w:t>Front-end (unit + intégration)</w:t>
            </w:r>
          </w:p>
        </w:tc>
        <w:tc>
          <w:tcPr>
            <w:tcW w:type="dxa" w:w="4464"/>
          </w:tcPr>
          <w:p>
            <w:r/>
            <w:r>
              <w:rPr>
                <w:b w:val="0"/>
                <w:sz w:val="18"/>
              </w:rPr>
              <w:t>npm run test:coverage --workspace=frontend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8"/>
              </w:rPr>
              <w:t>20 fichiers / 124 cas — Passé</w:t>
            </w:r>
          </w:p>
        </w:tc>
      </w:tr>
    </w:tbl>
    <w:p>
      <w:pPr>
        <w:pBdr>
          <w:bottom w:val="single" w:sz="6" w:space="2" w:color="1F355E"/>
        </w:pBdr>
        <w:spacing w:before="320" w:after="160"/>
      </w:pPr>
      <w:r>
        <w:rPr>
          <w:b/>
          <w:color w:val="1F355E"/>
          <w:sz w:val="32"/>
        </w:rPr>
        <w:t>3. Résultats d'exécution par domaine fonctionnel</w:t>
      </w:r>
    </w:p>
    <w:p>
      <w:r>
        <w:rPr>
          <w:sz w:val="21"/>
        </w:rPr>
        <w:t>Chaque domaine ci-dessous a été exécuté avec succès (aucun cas en échec). Les fichiers listés regroupent les cas de test correspondants.</w:t>
      </w:r>
    </w:p>
    <w:p>
      <w:pPr>
        <w:spacing w:before="200" w:after="80"/>
      </w:pPr>
      <w:r>
        <w:rPr>
          <w:b/>
          <w:color w:val="2E4A7A"/>
          <w:sz w:val="25"/>
        </w:rPr>
        <w:t>Authentification &amp; mot de passe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355E"/>
          </w:tcPr>
          <w:p>
            <w:r/>
            <w:r>
              <w:rPr>
                <w:b/>
                <w:color w:val="FFFFFF"/>
                <w:sz w:val="19"/>
              </w:rPr>
              <w:t>Cas couverts</w:t>
            </w:r>
          </w:p>
        </w:tc>
        <w:tc>
          <w:tcPr>
            <w:tcW w:type="dxa" w:w="4320"/>
            <w:shd w:val="clear" w:color="auto" w:fill="1F355E"/>
          </w:tcPr>
          <w:p>
            <w:r/>
            <w:r>
              <w:rPr>
                <w:b/>
                <w:color w:val="FFFFFF"/>
                <w:sz w:val="19"/>
              </w:rPr>
              <w:t>Résultat</w:t>
            </w:r>
          </w:p>
        </w:tc>
      </w:tr>
      <w:tr>
        <w:tc>
          <w:tcPr>
            <w:tcW w:type="dxa" w:w="7920"/>
          </w:tcPr>
          <w:p>
            <w:r/>
            <w:r>
              <w:rPr>
                <w:b w:val="0"/>
                <w:sz w:val="18"/>
              </w:rPr>
              <w:t>auth.integration.test.ts — login, /me, refresh, logout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b/>
                <w:color w:val="2E6E2E"/>
                <w:sz w:val="18"/>
              </w:rPr>
              <w:t>Passé ✓</w:t>
            </w:r>
          </w:p>
        </w:tc>
      </w:tr>
      <w:tr>
        <w:tc>
          <w:tcPr>
            <w:tcW w:type="dxa" w:w="7920"/>
          </w:tcPr>
          <w:p>
            <w:r/>
            <w:r>
              <w:rPr>
                <w:b w:val="0"/>
                <w:sz w:val="18"/>
              </w:rPr>
              <w:t>passwordReset.integration.test.ts — forgot-password, verify-otp, set-password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b/>
                <w:color w:val="2E6E2E"/>
                <w:sz w:val="18"/>
              </w:rPr>
              <w:t>Passé ✓</w:t>
            </w:r>
          </w:p>
        </w:tc>
      </w:tr>
    </w:tbl>
    <w:p>
      <w:pPr>
        <w:spacing w:before="200" w:after="80"/>
      </w:pPr>
      <w:r>
        <w:rPr>
          <w:b/>
          <w:color w:val="2E4A7A"/>
          <w:sz w:val="25"/>
        </w:rPr>
        <w:t>Clients &amp; sous-ressources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355E"/>
          </w:tcPr>
          <w:p>
            <w:r/>
            <w:r>
              <w:rPr>
                <w:b/>
                <w:color w:val="FFFFFF"/>
                <w:sz w:val="19"/>
              </w:rPr>
              <w:t>Cas couverts</w:t>
            </w:r>
          </w:p>
        </w:tc>
        <w:tc>
          <w:tcPr>
            <w:tcW w:type="dxa" w:w="4320"/>
            <w:shd w:val="clear" w:color="auto" w:fill="1F355E"/>
          </w:tcPr>
          <w:p>
            <w:r/>
            <w:r>
              <w:rPr>
                <w:b/>
                <w:color w:val="FFFFFF"/>
                <w:sz w:val="19"/>
              </w:rPr>
              <w:t>Résultat</w:t>
            </w:r>
          </w:p>
        </w:tc>
      </w:tr>
      <w:tr>
        <w:tc>
          <w:tcPr>
            <w:tcW w:type="dxa" w:w="7920"/>
          </w:tcPr>
          <w:p>
            <w:r/>
            <w:r>
              <w:rPr>
                <w:b w:val="0"/>
                <w:sz w:val="18"/>
              </w:rPr>
              <w:t>clients.integration.test.ts — liste, détail, création, mise à jour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b/>
                <w:color w:val="2E6E2E"/>
                <w:sz w:val="18"/>
              </w:rPr>
              <w:t>Passé ✓</w:t>
            </w:r>
          </w:p>
        </w:tc>
      </w:tr>
      <w:tr>
        <w:tc>
          <w:tcPr>
            <w:tcW w:type="dxa" w:w="7920"/>
          </w:tcPr>
          <w:p>
            <w:r/>
            <w:r>
              <w:rPr>
                <w:b w:val="0"/>
                <w:sz w:val="18"/>
              </w:rPr>
              <w:t>client-subresources.integration.test.ts — notes, tâches, relations, documents KYC, timeline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b/>
                <w:color w:val="2E6E2E"/>
                <w:sz w:val="18"/>
              </w:rPr>
              <w:t>Passé ✓</w:t>
            </w:r>
          </w:p>
        </w:tc>
      </w:tr>
    </w:tbl>
    <w:p>
      <w:pPr>
        <w:spacing w:before="200" w:after="80"/>
      </w:pPr>
      <w:r>
        <w:rPr>
          <w:b/>
          <w:color w:val="2E4A7A"/>
          <w:sz w:val="25"/>
        </w:rPr>
        <w:t>KYC — DER / LdM / FCC (envois)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355E"/>
          </w:tcPr>
          <w:p>
            <w:r/>
            <w:r>
              <w:rPr>
                <w:b/>
                <w:color w:val="FFFFFF"/>
                <w:sz w:val="19"/>
              </w:rPr>
              <w:t>Cas couverts</w:t>
            </w:r>
          </w:p>
        </w:tc>
        <w:tc>
          <w:tcPr>
            <w:tcW w:type="dxa" w:w="4320"/>
            <w:shd w:val="clear" w:color="auto" w:fill="1F355E"/>
          </w:tcPr>
          <w:p>
            <w:r/>
            <w:r>
              <w:rPr>
                <w:b/>
                <w:color w:val="FFFFFF"/>
                <w:sz w:val="19"/>
              </w:rPr>
              <w:t>Résultat</w:t>
            </w:r>
          </w:p>
        </w:tc>
      </w:tr>
      <w:tr>
        <w:tc>
          <w:tcPr>
            <w:tcW w:type="dxa" w:w="7920"/>
          </w:tcPr>
          <w:p>
            <w:r/>
            <w:r>
              <w:rPr>
                <w:b w:val="0"/>
                <w:sz w:val="18"/>
              </w:rPr>
              <w:t>kyc-workflow.integration.test.ts — DER (get/send), signataires, LdM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b/>
                <w:color w:val="2E6E2E"/>
                <w:sz w:val="18"/>
              </w:rPr>
              <w:t>Passé ✓</w:t>
            </w:r>
          </w:p>
        </w:tc>
      </w:tr>
      <w:tr>
        <w:tc>
          <w:tcPr>
            <w:tcW w:type="dxa" w:w="7920"/>
          </w:tcPr>
          <w:p>
            <w:r/>
            <w:r>
              <w:rPr>
                <w:b w:val="0"/>
                <w:sz w:val="18"/>
              </w:rPr>
              <w:t>kyc-sends.integration.test.ts — FCC/send, DER/docusign, FCC/docusign, LdM/send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b/>
                <w:color w:val="2E6E2E"/>
                <w:sz w:val="18"/>
              </w:rPr>
              <w:t>Passé ✓</w:t>
            </w:r>
          </w:p>
        </w:tc>
      </w:tr>
    </w:tbl>
    <w:p>
      <w:pPr>
        <w:spacing w:before="200" w:after="80"/>
      </w:pPr>
      <w:r>
        <w:rPr>
          <w:b/>
          <w:color w:val="2E4A7A"/>
          <w:sz w:val="25"/>
        </w:rPr>
        <w:t>FCC — soumission &amp; webhooks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355E"/>
          </w:tcPr>
          <w:p>
            <w:r/>
            <w:r>
              <w:rPr>
                <w:b/>
                <w:color w:val="FFFFFF"/>
                <w:sz w:val="19"/>
              </w:rPr>
              <w:t>Cas couverts</w:t>
            </w:r>
          </w:p>
        </w:tc>
        <w:tc>
          <w:tcPr>
            <w:tcW w:type="dxa" w:w="4320"/>
            <w:shd w:val="clear" w:color="auto" w:fill="1F355E"/>
          </w:tcPr>
          <w:p>
            <w:r/>
            <w:r>
              <w:rPr>
                <w:b/>
                <w:color w:val="FFFFFF"/>
                <w:sz w:val="19"/>
              </w:rPr>
              <w:t>Résultat</w:t>
            </w:r>
          </w:p>
        </w:tc>
      </w:tr>
      <w:tr>
        <w:tc>
          <w:tcPr>
            <w:tcW w:type="dxa" w:w="7920"/>
          </w:tcPr>
          <w:p>
            <w:r/>
            <w:r>
              <w:rPr>
                <w:b w:val="0"/>
                <w:sz w:val="18"/>
              </w:rPr>
              <w:t>fcc.integration.test.ts — historique, quick-validate, soumission publique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b/>
                <w:color w:val="2E6E2E"/>
                <w:sz w:val="18"/>
              </w:rPr>
              <w:t>Passé ✓</w:t>
            </w:r>
          </w:p>
        </w:tc>
      </w:tr>
      <w:tr>
        <w:tc>
          <w:tcPr>
            <w:tcW w:type="dxa" w:w="7920"/>
          </w:tcPr>
          <w:p>
            <w:r/>
            <w:r>
              <w:rPr>
                <w:b w:val="0"/>
                <w:sz w:val="18"/>
              </w:rPr>
              <w:t>fcc-webhook.integration.test.ts — réception webhook DocuSign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b/>
                <w:color w:val="2E6E2E"/>
                <w:sz w:val="18"/>
              </w:rPr>
              <w:t>Passé ✓</w:t>
            </w:r>
          </w:p>
        </w:tc>
      </w:tr>
    </w:tbl>
    <w:p>
      <w:pPr>
        <w:spacing w:before="200" w:after="80"/>
      </w:pPr>
      <w:r>
        <w:rPr>
          <w:b/>
          <w:color w:val="2E4A7A"/>
          <w:sz w:val="25"/>
        </w:rPr>
        <w:t>Utilisateurs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355E"/>
          </w:tcPr>
          <w:p>
            <w:r/>
            <w:r>
              <w:rPr>
                <w:b/>
                <w:color w:val="FFFFFF"/>
                <w:sz w:val="19"/>
              </w:rPr>
              <w:t>Cas couverts</w:t>
            </w:r>
          </w:p>
        </w:tc>
        <w:tc>
          <w:tcPr>
            <w:tcW w:type="dxa" w:w="4320"/>
            <w:shd w:val="clear" w:color="auto" w:fill="1F355E"/>
          </w:tcPr>
          <w:p>
            <w:r/>
            <w:r>
              <w:rPr>
                <w:b/>
                <w:color w:val="FFFFFF"/>
                <w:sz w:val="19"/>
              </w:rPr>
              <w:t>Résultat</w:t>
            </w:r>
          </w:p>
        </w:tc>
      </w:tr>
      <w:tr>
        <w:tc>
          <w:tcPr>
            <w:tcW w:type="dxa" w:w="7920"/>
          </w:tcPr>
          <w:p>
            <w:r/>
            <w:r>
              <w:rPr>
                <w:b w:val="0"/>
                <w:sz w:val="18"/>
              </w:rPr>
              <w:t>users.integration.test.ts — liste, mise à jour, suppression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b/>
                <w:color w:val="2E6E2E"/>
                <w:sz w:val="18"/>
              </w:rPr>
              <w:t>Passé ✓</w:t>
            </w:r>
          </w:p>
        </w:tc>
      </w:tr>
      <w:tr>
        <w:tc>
          <w:tcPr>
            <w:tcW w:type="dxa" w:w="7920"/>
          </w:tcPr>
          <w:p>
            <w:r/>
            <w:r>
              <w:rPr>
                <w:b w:val="0"/>
                <w:sz w:val="18"/>
              </w:rPr>
              <w:t>users-write.integration.test.ts — création, réinitialisation de mot de passe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b/>
                <w:color w:val="2E6E2E"/>
                <w:sz w:val="18"/>
              </w:rPr>
              <w:t>Passé ✓</w:t>
            </w:r>
          </w:p>
        </w:tc>
      </w:tr>
    </w:tbl>
    <w:p>
      <w:pPr>
        <w:spacing w:before="200" w:after="80"/>
      </w:pPr>
      <w:r>
        <w:rPr>
          <w:b/>
          <w:color w:val="2E4A7A"/>
          <w:sz w:val="25"/>
        </w:rPr>
        <w:t>Plateforme &amp; multi-tenant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355E"/>
          </w:tcPr>
          <w:p>
            <w:r/>
            <w:r>
              <w:rPr>
                <w:b/>
                <w:color w:val="FFFFFF"/>
                <w:sz w:val="19"/>
              </w:rPr>
              <w:t>Cas couverts</w:t>
            </w:r>
          </w:p>
        </w:tc>
        <w:tc>
          <w:tcPr>
            <w:tcW w:type="dxa" w:w="4320"/>
            <w:shd w:val="clear" w:color="auto" w:fill="1F355E"/>
          </w:tcPr>
          <w:p>
            <w:r/>
            <w:r>
              <w:rPr>
                <w:b/>
                <w:color w:val="FFFFFF"/>
                <w:sz w:val="19"/>
              </w:rPr>
              <w:t>Résultat</w:t>
            </w:r>
          </w:p>
        </w:tc>
      </w:tr>
      <w:tr>
        <w:tc>
          <w:tcPr>
            <w:tcW w:type="dxa" w:w="7920"/>
          </w:tcPr>
          <w:p>
            <w:r/>
            <w:r>
              <w:rPr>
                <w:b w:val="0"/>
                <w:sz w:val="18"/>
              </w:rPr>
              <w:t>platform.integration.test.ts — statistiques, liste des tenants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b/>
                <w:color w:val="2E6E2E"/>
                <w:sz w:val="18"/>
              </w:rPr>
              <w:t>Passé ✓</w:t>
            </w:r>
          </w:p>
        </w:tc>
      </w:tr>
      <w:tr>
        <w:tc>
          <w:tcPr>
            <w:tcW w:type="dxa" w:w="7920"/>
          </w:tcPr>
          <w:p>
            <w:r/>
            <w:r>
              <w:rPr>
                <w:b w:val="0"/>
                <w:sz w:val="18"/>
              </w:rPr>
              <w:t>platform-admin.integration.test.ts — tenant get/update, utilisateurs &amp; clients d'un tenant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b/>
                <w:color w:val="2E6E2E"/>
                <w:sz w:val="18"/>
              </w:rPr>
              <w:t>Passé ✓</w:t>
            </w:r>
          </w:p>
        </w:tc>
      </w:tr>
      <w:tr>
        <w:tc>
          <w:tcPr>
            <w:tcW w:type="dxa" w:w="7920"/>
          </w:tcPr>
          <w:p>
            <w:r/>
            <w:r>
              <w:rPr>
                <w:b w:val="0"/>
                <w:sz w:val="18"/>
              </w:rPr>
              <w:t>multi-tenant.integration.test.ts — isolation stricte inter-tenant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b/>
                <w:color w:val="2E6E2E"/>
                <w:sz w:val="18"/>
              </w:rPr>
              <w:t>Passé ✓</w:t>
            </w:r>
          </w:p>
        </w:tc>
      </w:tr>
      <w:tr>
        <w:tc>
          <w:tcPr>
            <w:tcW w:type="dxa" w:w="7920"/>
          </w:tcPr>
          <w:p>
            <w:r/>
            <w:r>
              <w:rPr>
                <w:b w:val="0"/>
                <w:sz w:val="18"/>
              </w:rPr>
              <w:t>accueil.integration.test.ts + misc.integration.test.ts — accueil, santé, gestionnaires, audit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b/>
                <w:color w:val="2E6E2E"/>
                <w:sz w:val="18"/>
              </w:rPr>
              <w:t>Passé ✓</w:t>
            </w:r>
          </w:p>
        </w:tc>
      </w:tr>
    </w:tbl>
    <w:p>
      <w:pPr>
        <w:spacing w:before="200" w:after="80"/>
      </w:pPr>
      <w:r>
        <w:rPr>
          <w:b/>
          <w:color w:val="2E4A7A"/>
          <w:sz w:val="25"/>
        </w:rPr>
        <w:t>Middlewares &amp; services (unitaire)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355E"/>
          </w:tcPr>
          <w:p>
            <w:r/>
            <w:r>
              <w:rPr>
                <w:b/>
                <w:color w:val="FFFFFF"/>
                <w:sz w:val="19"/>
              </w:rPr>
              <w:t>Cas couverts</w:t>
            </w:r>
          </w:p>
        </w:tc>
        <w:tc>
          <w:tcPr>
            <w:tcW w:type="dxa" w:w="4320"/>
            <w:shd w:val="clear" w:color="auto" w:fill="1F355E"/>
          </w:tcPr>
          <w:p>
            <w:r/>
            <w:r>
              <w:rPr>
                <w:b/>
                <w:color w:val="FFFFFF"/>
                <w:sz w:val="19"/>
              </w:rPr>
              <w:t>Résultat</w:t>
            </w:r>
          </w:p>
        </w:tc>
      </w:tr>
      <w:tr>
        <w:tc>
          <w:tcPr>
            <w:tcW w:type="dxa" w:w="7920"/>
          </w:tcPr>
          <w:p>
            <w:r/>
            <w:r>
              <w:rPr>
                <w:b w:val="0"/>
                <w:sz w:val="18"/>
              </w:rPr>
              <w:t>auth / requireRole / requireTenant / requireWebhookSecret / auditLogger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b/>
                <w:color w:val="2E6E2E"/>
                <w:sz w:val="18"/>
              </w:rPr>
              <w:t>Passé ✓</w:t>
            </w:r>
          </w:p>
        </w:tc>
      </w:tr>
      <w:tr>
        <w:tc>
          <w:tcPr>
            <w:tcW w:type="dxa" w:w="7920"/>
          </w:tcPr>
          <w:p>
            <w:r/>
            <w:r>
              <w:rPr>
                <w:b w:val="0"/>
                <w:sz w:val="18"/>
              </w:rPr>
              <w:t>client-mapper, make/kyc, users/gestionnaire, utils (baserow, jwt, http, fichiers)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b/>
                <w:color w:val="2E6E2E"/>
                <w:sz w:val="18"/>
              </w:rPr>
              <w:t>Passé ✓</w:t>
            </w:r>
          </w:p>
        </w:tc>
      </w:tr>
    </w:tbl>
    <w:p>
      <w:pPr>
        <w:spacing w:before="200" w:after="80"/>
      </w:pPr>
      <w:r>
        <w:rPr>
          <w:b/>
          <w:color w:val="2E4A7A"/>
          <w:sz w:val="25"/>
        </w:rPr>
        <w:t>Front-end — pages &amp; socle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355E"/>
          </w:tcPr>
          <w:p>
            <w:r/>
            <w:r>
              <w:rPr>
                <w:b/>
                <w:color w:val="FFFFFF"/>
                <w:sz w:val="19"/>
              </w:rPr>
              <w:t>Cas couverts</w:t>
            </w:r>
          </w:p>
        </w:tc>
        <w:tc>
          <w:tcPr>
            <w:tcW w:type="dxa" w:w="4320"/>
            <w:shd w:val="clear" w:color="auto" w:fill="1F355E"/>
          </w:tcPr>
          <w:p>
            <w:r/>
            <w:r>
              <w:rPr>
                <w:b/>
                <w:color w:val="FFFFFF"/>
                <w:sz w:val="19"/>
              </w:rPr>
              <w:t>Résultat</w:t>
            </w:r>
          </w:p>
        </w:tc>
      </w:tr>
      <w:tr>
        <w:tc>
          <w:tcPr>
            <w:tcW w:type="dxa" w:w="7920"/>
          </w:tcPr>
          <w:p>
            <w:r/>
            <w:r>
              <w:rPr>
                <w:b w:val="0"/>
                <w:sz w:val="18"/>
              </w:rPr>
              <w:t>Pages : Login, ForgotPassword, KycDer, KycFcc, Accueil, Clients, Users, Tenants, multi-tenant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b/>
                <w:color w:val="2E6E2E"/>
                <w:sz w:val="18"/>
              </w:rPr>
              <w:t>Passé ✓</w:t>
            </w:r>
          </w:p>
        </w:tc>
      </w:tr>
      <w:tr>
        <w:tc>
          <w:tcPr>
            <w:tcW w:type="dxa" w:w="7920"/>
          </w:tcPr>
          <w:p>
            <w:r/>
            <w:r>
              <w:rPr>
                <w:b w:val="0"/>
                <w:sz w:val="18"/>
              </w:rPr>
              <w:t>Socle : utils (helpers, kyc, color, attachments), lib (http, blob cache), api, contextes (Notification, Confirm)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b/>
                <w:color w:val="2E6E2E"/>
                <w:sz w:val="18"/>
              </w:rPr>
              <w:t>Passé ✓</w:t>
            </w:r>
          </w:p>
        </w:tc>
      </w:tr>
    </w:tbl>
    <w:p>
      <w:r>
        <w:br w:type="page"/>
      </w:r>
    </w:p>
    <w:p>
      <w:pPr>
        <w:pBdr>
          <w:bottom w:val="single" w:sz="6" w:space="2" w:color="1F355E"/>
        </w:pBdr>
        <w:spacing w:before="320" w:after="160"/>
      </w:pPr>
      <w:r>
        <w:rPr>
          <w:b/>
          <w:color w:val="1F355E"/>
          <w:sz w:val="32"/>
        </w:rPr>
        <w:t>4. Matrice de couverture des endpoints (back-end)</w:t>
      </w:r>
    </w:p>
    <w:p>
      <w:r>
        <w:rPr>
          <w:sz w:val="21"/>
        </w:rPr>
        <w:t>46 des 55 endpoints exposés sont couverts par un test d'intégration (~84 %). Les 9 endpoints non couverts sont listés au §6 (réserves).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55E"/>
          </w:tcPr>
          <w:p>
            <w:r/>
            <w:r>
              <w:rPr>
                <w:b/>
                <w:color w:val="FFFFFF"/>
                <w:sz w:val="19"/>
              </w:rPr>
              <w:t>Domaine</w:t>
            </w:r>
          </w:p>
        </w:tc>
        <w:tc>
          <w:tcPr>
            <w:tcW w:type="dxa" w:w="2880"/>
            <w:shd w:val="clear" w:color="auto" w:fill="1F355E"/>
          </w:tcPr>
          <w:p>
            <w:r/>
            <w:r>
              <w:rPr>
                <w:b/>
                <w:color w:val="FFFFFF"/>
                <w:sz w:val="19"/>
              </w:rPr>
              <w:t>Endpoints couverts</w:t>
            </w:r>
          </w:p>
        </w:tc>
        <w:tc>
          <w:tcPr>
            <w:tcW w:type="dxa" w:w="2880"/>
            <w:shd w:val="clear" w:color="auto" w:fill="1F355E"/>
          </w:tcPr>
          <w:p>
            <w:r/>
            <w:r>
              <w:rPr>
                <w:b/>
                <w:color w:val="FFFFFF"/>
                <w:sz w:val="19"/>
              </w:rPr>
              <w:t>État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Authentification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sz w:val="18"/>
              </w:rPr>
              <w:t>login, /me, refresh, logout, forgot-password, verify-otp, set-password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/>
                <w:color w:val="2E6E2E"/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Clients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sz w:val="18"/>
              </w:rPr>
              <w:t>GET liste, GET détail, POST, PUT, GET timeline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/>
                <w:color w:val="2E6E2E"/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Sous-ressources client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sz w:val="18"/>
              </w:rPr>
              <w:t>kyc-documents (GET/POST/PUT), notes (GET/POST/DELETE), relations (GET/POST/DELETE), tasks (GET/POST/PUT/DELETE)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/>
                <w:color w:val="2E6E2E"/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Utilisateurs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sz w:val="18"/>
              </w:rPr>
              <w:t>GET liste, POST, PUT, DELETE, POST reset-password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/>
                <w:color w:val="2E6E2E"/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KYC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sz w:val="18"/>
              </w:rPr>
              <w:t>GET der, GET signataires, POST der/send, POST der/docusign, POST fcc/send, POST fcc/docusign, POST ldm/send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/>
                <w:color w:val="2E6E2E"/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FCC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sz w:val="18"/>
              </w:rPr>
              <w:t>GET history, POST quick-validate, POST submit, POST docusign-webhook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/>
                <w:color w:val="2E6E2E"/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Plateforme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sz w:val="18"/>
              </w:rPr>
              <w:t>GET stats, GET tenants, GET tenant, PUT tenant, GET tenant users, GET tenant clients, POST/DELETE tenant user, GET platform/audit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/>
                <w:color w:val="2E6E2E"/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Divers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sz w:val="18"/>
              </w:rPr>
              <w:t>GET health, GET gestionnaires, GET tenant/branding, GET tenant/stats, GET audit, GET accueil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/>
                <w:color w:val="2E6E2E"/>
                <w:sz w:val="18"/>
              </w:rPr>
              <w:t>✅</w:t>
            </w:r>
          </w:p>
        </w:tc>
      </w:tr>
    </w:tbl>
    <w:p>
      <w:pPr>
        <w:pBdr>
          <w:bottom w:val="single" w:sz="6" w:space="2" w:color="1F355E"/>
        </w:pBdr>
        <w:spacing w:before="320" w:after="160"/>
      </w:pPr>
      <w:r>
        <w:rPr>
          <w:b/>
          <w:color w:val="1F355E"/>
          <w:sz w:val="32"/>
        </w:rPr>
        <w:t>5. Couverture de code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355E"/>
          </w:tcPr>
          <w:p>
            <w:r/>
            <w:r>
              <w:rPr>
                <w:b/>
                <w:color w:val="FFFFFF"/>
                <w:sz w:val="19"/>
              </w:rPr>
              <w:t>Périmètre mesuré</w:t>
            </w:r>
          </w:p>
        </w:tc>
        <w:tc>
          <w:tcPr>
            <w:tcW w:type="dxa" w:w="1728"/>
            <w:shd w:val="clear" w:color="auto" w:fill="1F355E"/>
          </w:tcPr>
          <w:p>
            <w:r/>
            <w:r>
              <w:rPr>
                <w:b/>
                <w:color w:val="FFFFFF"/>
                <w:sz w:val="19"/>
              </w:rPr>
              <w:t>Lignes</w:t>
            </w:r>
          </w:p>
        </w:tc>
        <w:tc>
          <w:tcPr>
            <w:tcW w:type="dxa" w:w="1728"/>
            <w:shd w:val="clear" w:color="auto" w:fill="1F355E"/>
          </w:tcPr>
          <w:p>
            <w:r/>
            <w:r>
              <w:rPr>
                <w:b/>
                <w:color w:val="FFFFFF"/>
                <w:sz w:val="19"/>
              </w:rPr>
              <w:t>Instr.</w:t>
            </w:r>
          </w:p>
        </w:tc>
        <w:tc>
          <w:tcPr>
            <w:tcW w:type="dxa" w:w="1728"/>
            <w:shd w:val="clear" w:color="auto" w:fill="1F355E"/>
          </w:tcPr>
          <w:p>
            <w:r/>
            <w:r>
              <w:rPr>
                <w:b/>
                <w:color w:val="FFFFFF"/>
                <w:sz w:val="19"/>
              </w:rPr>
              <w:t>Branches</w:t>
            </w:r>
          </w:p>
        </w:tc>
        <w:tc>
          <w:tcPr>
            <w:tcW w:type="dxa" w:w="1728"/>
            <w:shd w:val="clear" w:color="auto" w:fill="1F355E"/>
          </w:tcPr>
          <w:p>
            <w:r/>
            <w:r>
              <w:rPr>
                <w:b/>
                <w:color w:val="FFFFFF"/>
                <w:sz w:val="19"/>
              </w:rPr>
              <w:t>Fonctions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Intégration back-end (routes + services)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56,1 %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54,4 %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53,6 %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49,3 %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Unitaire back-end (utils / middleware / mappers)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9,3 %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9,7 %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10,4 %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11,9 %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Front-end (pages + socle)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24,4 %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22,8 %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16,7 %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19,2 %</w:t>
            </w:r>
          </w:p>
        </w:tc>
      </w:tr>
    </w:tbl>
    <w:p>
      <w:r>
        <w:rPr>
          <w:sz w:val="21"/>
        </w:rPr>
        <w:t>Lecture : la couverture des routes et services métier est portée par la suite d'intégration back-end (~56 % des lignes) ; la suite unitaire mesure séparément les utilitaires, middlewares et mappers. Les deux mesures ne sont pas fusionnées : la couverture réelle combinée du back-end est donc supérieure à chacune prise isolément. La couverture front-end (~24 %) est mécaniquement abaissée par les pages non encore testées (voir §6), notamment la suite d'outils de simulation et les formulaires publics FCC.</w:t>
      </w:r>
    </w:p>
    <w:p>
      <w:pPr>
        <w:pBdr>
          <w:bottom w:val="single" w:sz="6" w:space="2" w:color="1F355E"/>
        </w:pBdr>
        <w:spacing w:before="320" w:after="160"/>
      </w:pPr>
      <w:r>
        <w:rPr>
          <w:b/>
          <w:color w:val="1F355E"/>
          <w:sz w:val="32"/>
        </w:rPr>
        <w:t>6. Réserves et points non couverts</w:t>
      </w:r>
    </w:p>
    <w:p>
      <w:pPr>
        <w:spacing w:before="200" w:after="80"/>
      </w:pPr>
      <w:r>
        <w:rPr>
          <w:b/>
          <w:color w:val="2E4A7A"/>
          <w:sz w:val="25"/>
        </w:rPr>
        <w:t>6.1 Endpoints back-end sans test d'intégration (9)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355E"/>
          </w:tcPr>
          <w:p>
            <w:r/>
            <w:r>
              <w:rPr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4320"/>
            <w:shd w:val="clear" w:color="auto" w:fill="1F355E"/>
          </w:tcPr>
          <w:p>
            <w:r/>
            <w:r>
              <w:rPr>
                <w:b/>
                <w:color w:val="FFFFFF"/>
                <w:sz w:val="19"/>
              </w:rPr>
              <w:t>Recommandation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POST /platform/tenants (création de tenant)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Ajouter un test de provisioning (nominal + erreurs)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GET /platform/tenants/:id/users/:userId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Ajouter un test de lecture unitaire d'un utilisateur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PUT /platform/tenants/:id/users/:userId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Ajouter un test de mise à jour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POST /platform/tenants/:id/users/:userId/reset-password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Ajouter un test de réinitialisation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GET /tenant/branding/logo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Ajouter un test de service du logo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GET /platform/tenants/:id/logo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Ajouter un test de service du logo (plateforme)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GET /kyc/fcc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Ajouter un test de lecture de la liste FCC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POST /kyc/ldm/preview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Ajouter un test de génération d'aperçu LdM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GET /users/:id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Ajouter un test de lecture d'un utilisateur (tenant)</w:t>
            </w:r>
          </w:p>
        </w:tc>
      </w:tr>
    </w:tbl>
    <w:p>
      <w:pPr>
        <w:spacing w:before="200" w:after="80"/>
      </w:pPr>
      <w:r>
        <w:rPr>
          <w:b/>
          <w:color w:val="2E4A7A"/>
          <w:sz w:val="25"/>
        </w:rPr>
        <w:t>6.2 Pages front-end non testées</w:t>
      </w:r>
    </w:p>
    <w:p>
      <w:pPr>
        <w:pStyle w:val="ListBullet"/>
      </w:pPr>
      <w:r>
        <w:rPr>
          <w:sz w:val="21"/>
        </w:rPr>
        <w:t>Suite d'outils de simulation (outils/ : Capitalisation, Rendement locatif, IFI, Crédit, IRPP, Marchés, Simulateurs).</w:t>
      </w:r>
    </w:p>
    <w:p>
      <w:pPr>
        <w:pStyle w:val="ListBullet"/>
      </w:pPr>
      <w:r>
        <w:rPr>
          <w:sz w:val="21"/>
        </w:rPr>
        <w:t>Formulaires publics FCC (fcc/ : FccForm, FccPpPage, FccPmPage).</w:t>
      </w:r>
    </w:p>
    <w:p>
      <w:pPr>
        <w:pStyle w:val="ListBullet"/>
      </w:pPr>
      <w:r>
        <w:rPr>
          <w:sz w:val="21"/>
        </w:rPr>
        <w:t>Pages d'audit (PlatformAuditPage, TenantAuditPage), SetPasswordPage, DashboardPage, UserDetailPage, pages tenant (clients/users).</w:t>
      </w:r>
    </w:p>
    <w:p>
      <w:pPr>
        <w:pStyle w:val="ListBullet"/>
      </w:pPr>
      <w:r>
        <w:rPr>
          <w:sz w:val="21"/>
        </w:rPr>
        <w:t>Recommandation : ajouter des tests d'intégration MSW pour ces pages, en priorisant les formulaires FCC et les pages d'audit.</w:t>
      </w:r>
    </w:p>
    <w:p>
      <w:pPr>
        <w:spacing w:before="200" w:after="80"/>
      </w:pPr>
      <w:r>
        <w:rPr>
          <w:b/>
          <w:color w:val="2E4A7A"/>
          <w:sz w:val="25"/>
        </w:rPr>
        <w:t>6.3 Autres réserves</w:t>
      </w:r>
    </w:p>
    <w:p>
      <w:pPr>
        <w:pStyle w:val="ListBullet"/>
      </w:pPr>
      <w:r>
        <w:rPr>
          <w:sz w:val="21"/>
        </w:rPr>
        <w:t>Aucun hook ne dispose de test dédié (couverture indirecte via les pages) — ajouter des tests ciblés pour usePlatformSocket, useAudit, useAuthenticatedBlob.</w:t>
      </w:r>
    </w:p>
    <w:p>
      <w:pPr>
        <w:pStyle w:val="ListBullet"/>
      </w:pPr>
      <w:r>
        <w:rPr>
          <w:sz w:val="21"/>
        </w:rPr>
        <w:t>Absence de couche de tests end-to-end (Playwright/Cypress) — envisager une campagne E2E sur les parcours critiques avant montée en charge.</w:t>
      </w:r>
    </w:p>
    <w:p>
      <w:pPr>
        <w:pStyle w:val="ListBullet"/>
      </w:pPr>
      <w:r>
        <w:rPr>
          <w:sz w:val="21"/>
        </w:rPr>
        <w:t>Aucun seuil de couverture n'est configuré et aucun rapport de couverture n'est archivé — définir des seuils et publier le rapport en intégration continue.</w:t>
      </w:r>
    </w:p>
    <w:p>
      <w:pPr>
        <w:pBdr>
          <w:bottom w:val="single" w:sz="6" w:space="2" w:color="1F355E"/>
        </w:pBdr>
        <w:spacing w:before="320" w:after="160"/>
      </w:pPr>
      <w:r>
        <w:rPr>
          <w:b/>
          <w:color w:val="1F355E"/>
          <w:sz w:val="32"/>
        </w:rPr>
        <w:t>7. Conclusion</w:t>
      </w:r>
    </w:p>
    <w:p>
      <w:r>
        <w:rPr>
          <w:sz w:val="21"/>
        </w:rPr>
        <w:t>Sur le périmètre couvert, la non-régression est validée : la totalité des 399 cas de test automatisés s'exécute avec succès, sans régression, couvrant l'authentification, la gestion des clients et de leurs sous-ressources, les parcours KYC/DER/LdM/FCC, la gestion des utilisateurs, l'administration de la plateforme et l'isolation multi-tenant.</w:t>
      </w:r>
    </w:p>
    <w:p>
      <w:r>
        <w:rPr>
          <w:sz w:val="21"/>
        </w:rPr>
        <w:t>Les réserves du §6 (9 endpoints, plusieurs pages front-end, absence d'E2E et de seuils) ne remettent pas en cause le socle mais constituent le plan d'amélioration de la couverture à mener en continu. Critères de sortie de recette atteints : 0 échec, 0 régression, périmètre critique couvert.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Acuria Partners · Confidentiel — Rapport de tests de non-régression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