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w:t>
        <w:br/>
        <w:t>الدليل التشغيلي للخدمات</w:t>
      </w:r>
    </w:p>
    <w:p>
      <w:pPr>
        <w:pStyle w:val="Heading2"/>
      </w:pPr>
      <w:r>
        <w:t>الخدمة رقم (6): طلب إزالة الشيوع</w:t>
      </w:r>
    </w:p>
    <w:p>
      <w:pPr>
        <w:pStyle w:val="Heading3"/>
      </w:pPr>
      <w:r>
        <w:t>الفئة</w:t>
      </w:r>
    </w:p>
    <w:p>
      <w:r>
        <w:t>العقارات والأراضي</w:t>
      </w:r>
    </w:p>
    <w:p>
      <w:pPr>
        <w:pStyle w:val="Heading3"/>
      </w:pPr>
      <w:r>
        <w:t>اسم الخدمة بالعربية</w:t>
      </w:r>
    </w:p>
    <w:p>
      <w:r>
        <w:t>طلب إزالة الشيوع</w:t>
      </w:r>
    </w:p>
    <w:p>
      <w:pPr>
        <w:pStyle w:val="Heading3"/>
      </w:pPr>
      <w:r>
        <w:t>اسم الخدمة بالإنجليزية</w:t>
      </w:r>
    </w:p>
    <w:p>
      <w:r>
        <w:t>Request Termination of Co-ownership</w:t>
      </w:r>
    </w:p>
    <w:p>
      <w:pPr>
        <w:pStyle w:val="Heading3"/>
      </w:pPr>
      <w:r>
        <w:t>المعرف (Slug)</w:t>
      </w:r>
    </w:p>
    <w:p>
      <w:r>
        <w:t>request-termination-of-co-ownership</w:t>
      </w:r>
    </w:p>
    <w:p>
      <w:pPr>
        <w:pStyle w:val="Heading3"/>
      </w:pPr>
      <w:r>
        <w:t>ترتيب العرض</w:t>
      </w:r>
    </w:p>
    <w:p>
      <w:r>
        <w:t>6</w:t>
      </w:r>
    </w:p>
    <w:p>
      <w:pPr>
        <w:pStyle w:val="Heading3"/>
      </w:pPr>
      <w:r>
        <w:t>الوصف المختصر</w:t>
      </w:r>
    </w:p>
    <w:p>
      <w:r>
        <w:t>تقديم طلب لإنهاء حالة الشيوع بين المالكين وفقًا للإجراءات المعتمدة.</w:t>
      </w:r>
    </w:p>
    <w:p>
      <w:pPr>
        <w:pStyle w:val="Heading3"/>
      </w:pPr>
      <w:r>
        <w:t>الوصف الكامل</w:t>
      </w:r>
    </w:p>
    <w:p>
      <w:r>
        <w:t>تتيح هذه الخدمة تقديم طلب إزالة الشيوع للعقارات المملوكة على الشيوع بين أكثر من مالك، مع متابعة جميع الإجراءات لدى الجهات المختصة حتى إنهاء الملكية المشتركة وفقًا للأنظمة والتعليمات المعمول بها.</w:t>
      </w:r>
    </w:p>
    <w:p>
      <w:pPr>
        <w:pStyle w:val="Heading3"/>
      </w:pPr>
      <w:r>
        <w:t>الشروط</w:t>
      </w:r>
    </w:p>
    <w:p>
      <w:r>
        <w:t>• أن يكون العقار مملوكًا على الشيوع.</w:t>
        <w:br/>
        <w:t>• تقديم الوثائق المطلوبة.</w:t>
        <w:br/>
        <w:t>• قد تتطلب المعاملة موافقة جميع الشركاء أو قرارًا من الجهة المختصة.</w:t>
        <w:br/>
        <w:t>• تخضع المعاملة للأنظمة النافذة.</w:t>
      </w:r>
    </w:p>
    <w:p>
      <w:pPr>
        <w:pStyle w:val="Heading3"/>
      </w:pPr>
      <w:r>
        <w:t>البيانات المطلوبة من العميل</w:t>
      </w:r>
    </w:p>
    <w:p>
      <w:r>
        <w:t>• اسم مقدم الطلب.</w:t>
        <w:br/>
        <w:t>• الرقم الوطني.</w:t>
        <w:br/>
        <w:t>• رقم الهاتف.</w:t>
        <w:br/>
        <w:t>• رقم القطعة.</w:t>
        <w:br/>
        <w:t>• رقم الحوض.</w:t>
        <w:br/>
        <w:t>• المنطقة.</w:t>
        <w:br/>
        <w:t>• المحافظة.</w:t>
        <w:br/>
        <w:t>• عدد الشركاء.</w:t>
        <w:br/>
        <w:t>• ملاحظات إضافية.</w:t>
      </w:r>
    </w:p>
    <w:p>
      <w:pPr>
        <w:pStyle w:val="Heading3"/>
      </w:pPr>
      <w:r>
        <w:t>الوثائق المطلوبة</w:t>
      </w:r>
    </w:p>
    <w:p>
      <w:r>
        <w:t>• صورة الهوية.</w:t>
        <w:br/>
        <w:t>• سند تسجيل العقار.</w:t>
        <w:br/>
        <w:t>• وكالة قانونية (إن وجدت).</w:t>
        <w:br/>
        <w:t>• أي وثائق إضافية تطلبها الجهة المختصة.</w:t>
      </w:r>
    </w:p>
    <w:p>
      <w:pPr>
        <w:pStyle w:val="Heading3"/>
      </w:pPr>
      <w:r>
        <w:t>مدة الإنجاز</w:t>
      </w:r>
    </w:p>
    <w:p>
      <w:r>
        <w:t>حسب إجراءات دائرة الأراضي والمساحة وطبيعة المعاملة.</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هل جميع الشركاء موافقون على إزالة الشيوع؟</w:t>
        <w:br/>
        <w:t>• إذا لا، هل يوجد حكم قضائي أو دعوى؟</w:t>
        <w:br/>
        <w:t>• كم عدد الشركاء؟</w:t>
        <w:br/>
        <w:t>• هل يوجد وكيل قانوني؟</w:t>
        <w:br/>
        <w:t>• هل جميع الشركاء داخل الأردن؟</w:t>
      </w:r>
    </w:p>
    <w:p>
      <w:pPr>
        <w:pStyle w:val="Heading3"/>
      </w:pPr>
      <w:r>
        <w:t>معلومات التشغيل</w:t>
      </w:r>
    </w:p>
    <w:p>
      <w:r>
        <w:t>الجهة المنفذة: دائرة الأراضي والمساحة.</w:t>
        <w:br/>
        <w:t>مزود الخدمة: مكتب مساحة/معقب معاملات عقارية.</w:t>
        <w:br/>
        <w:t>يمكن تنفيذها بوكالة: نعم.</w:t>
        <w:br/>
        <w:t>قد تتطلب حضور الشركاء حسب الحالة.</w:t>
        <w:br/>
        <w:t>تصنيف التشغيل: خدمات مكتب المساحة.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