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5F10E" w14:textId="77777777" w:rsidR="00C31211" w:rsidRPr="00A4757E" w:rsidRDefault="00C31211" w:rsidP="00576BCB">
      <w:pPr>
        <w:pStyle w:val="Heading1"/>
        <w:rPr>
          <w:lang w:val="en-GB"/>
        </w:rPr>
      </w:pPr>
      <w:r w:rsidRPr="00A4757E">
        <w:rPr>
          <w:lang w:val="en-GB"/>
        </w:rPr>
        <w:t>Intro</w:t>
      </w:r>
    </w:p>
    <w:p w14:paraId="2DF25B8E" w14:textId="6D69BDD4" w:rsidR="00BA1DDD" w:rsidRDefault="00C31211" w:rsidP="00C31211">
      <w:pPr>
        <w:rPr>
          <w:lang w:val="en-GB"/>
        </w:rPr>
      </w:pPr>
      <w:r w:rsidRPr="00A4757E">
        <w:rPr>
          <w:lang w:val="en-GB"/>
        </w:rPr>
        <w:t xml:space="preserve"> </w:t>
      </w:r>
    </w:p>
    <w:p w14:paraId="433E62FB" w14:textId="419A501E" w:rsidR="00BA1DDD" w:rsidRPr="00A4757E" w:rsidRDefault="00377D33" w:rsidP="00C31211">
      <w:pPr>
        <w:rPr>
          <w:lang w:val="en-GB"/>
        </w:rPr>
      </w:pPr>
      <w:r>
        <w:t xml:space="preserve">  </w:t>
      </w:r>
      <w:r w:rsidR="00BA1DDD">
        <w:t>Historically, Tencent stock prices have outperformed all other comparable stocks in terms of growth</w:t>
      </w:r>
      <w:r w:rsidR="00C31211" w:rsidRPr="00A4757E">
        <w:rPr>
          <w:lang w:val="en-GB"/>
        </w:rPr>
        <w:t xml:space="preserve">. Tencent was one of the 10th biggest company in the world by market capitalisation at its peak </w:t>
      </w:r>
      <w:sdt>
        <w:sdtPr>
          <w:rPr>
            <w:lang w:val="en-GB"/>
          </w:rPr>
          <w:id w:val="-646518719"/>
          <w:citation/>
        </w:sdtPr>
        <w:sdtEndPr/>
        <w:sdtContent>
          <w:r w:rsidR="00C31211">
            <w:rPr>
              <w:lang w:val="en-GB"/>
            </w:rPr>
            <w:fldChar w:fldCharType="begin"/>
          </w:r>
          <w:r w:rsidR="00C31211">
            <w:rPr>
              <w:lang w:val="en-GB"/>
            </w:rPr>
            <w:instrText xml:space="preserve"> CITATION Nis18 \l 2057 </w:instrText>
          </w:r>
          <w:r w:rsidR="00C31211">
            <w:rPr>
              <w:lang w:val="en-GB"/>
            </w:rPr>
            <w:fldChar w:fldCharType="separate"/>
          </w:r>
          <w:r w:rsidR="00C31211">
            <w:rPr>
              <w:noProof/>
              <w:lang w:val="en-GB"/>
            </w:rPr>
            <w:t>(Nishizawa &amp; Costa, 2018)</w:t>
          </w:r>
          <w:r w:rsidR="00C31211">
            <w:rPr>
              <w:lang w:val="en-GB"/>
            </w:rPr>
            <w:fldChar w:fldCharType="end"/>
          </w:r>
        </w:sdtContent>
      </w:sdt>
      <w:r w:rsidR="00C31211">
        <w:rPr>
          <w:lang w:val="en-GB"/>
        </w:rPr>
        <w:t xml:space="preserve">. </w:t>
      </w:r>
      <w:r w:rsidR="00C31211" w:rsidRPr="00A4757E">
        <w:rPr>
          <w:lang w:val="en-GB"/>
        </w:rPr>
        <w:t xml:space="preserve">Its share price has surged for 67000% in 14 years since first listed in Hong Kong Stock Exchange in 2004. 68% of Tencent's revenue is from smartphones games, which equals to 21.7 Billion RMB from the biggest hit "Honour of the Kings" in the first quarter of 2018 </w:t>
      </w:r>
      <w:sdt>
        <w:sdtPr>
          <w:rPr>
            <w:lang w:val="en-GB"/>
          </w:rPr>
          <w:id w:val="-110055286"/>
          <w:citation/>
        </w:sdtPr>
        <w:sdtEndPr/>
        <w:sdtContent>
          <w:r w:rsidR="00C31211">
            <w:rPr>
              <w:lang w:val="en-GB"/>
            </w:rPr>
            <w:fldChar w:fldCharType="begin"/>
          </w:r>
          <w:r w:rsidR="00C31211">
            <w:rPr>
              <w:lang w:val="en-GB"/>
            </w:rPr>
            <w:instrText xml:space="preserve"> CITATION Ten18 \l 2057 </w:instrText>
          </w:r>
          <w:r w:rsidR="00C31211">
            <w:rPr>
              <w:lang w:val="en-GB"/>
            </w:rPr>
            <w:fldChar w:fldCharType="separate"/>
          </w:r>
          <w:r w:rsidR="00C31211">
            <w:rPr>
              <w:noProof/>
              <w:lang w:val="en-GB"/>
            </w:rPr>
            <w:t>(Tencent Holdings Limited , 2018)</w:t>
          </w:r>
          <w:r w:rsidR="00C31211">
            <w:rPr>
              <w:lang w:val="en-GB"/>
            </w:rPr>
            <w:fldChar w:fldCharType="end"/>
          </w:r>
        </w:sdtContent>
      </w:sdt>
      <w:r w:rsidR="00C31211" w:rsidRPr="00A4757E">
        <w:rPr>
          <w:lang w:val="en-GB"/>
        </w:rPr>
        <w:t>. Nevertheless, the tech giant faced a formidable challenge in their gaming business in 2018</w:t>
      </w:r>
      <w:r w:rsidR="00BA1DDD" w:rsidRPr="00BA1DDD">
        <w:t xml:space="preserve"> </w:t>
      </w:r>
      <w:r w:rsidR="00BA1DDD">
        <w:t>following Chinese gaming sector reforms</w:t>
      </w:r>
      <w:r w:rsidR="00C31211" w:rsidRPr="00A4757E">
        <w:rPr>
          <w:lang w:val="en-GB"/>
        </w:rPr>
        <w:t>. Its share price tumbled 40%, wiping out net worth of more than 2</w:t>
      </w:r>
      <w:r w:rsidR="002674FB">
        <w:rPr>
          <w:lang w:val="en-GB"/>
        </w:rPr>
        <w:t>2</w:t>
      </w:r>
      <w:r w:rsidR="00C31211" w:rsidRPr="00A4757E">
        <w:rPr>
          <w:lang w:val="en-GB"/>
        </w:rPr>
        <w:t>0 billion USD in 10 months, in comparison</w:t>
      </w:r>
      <w:r w:rsidR="002674FB">
        <w:rPr>
          <w:lang w:val="en-GB"/>
        </w:rPr>
        <w:t xml:space="preserve"> </w:t>
      </w:r>
      <w:sdt>
        <w:sdtPr>
          <w:rPr>
            <w:lang w:val="en-GB"/>
          </w:rPr>
          <w:id w:val="-537585529"/>
          <w:citation/>
        </w:sdtPr>
        <w:sdtEndPr/>
        <w:sdtContent>
          <w:r w:rsidR="00ED2565">
            <w:rPr>
              <w:lang w:val="en-GB"/>
            </w:rPr>
            <w:fldChar w:fldCharType="begin"/>
          </w:r>
          <w:r w:rsidR="00ED2565">
            <w:rPr>
              <w:lang w:val="en-GB"/>
            </w:rPr>
            <w:instrText xml:space="preserve"> CITATION Cos18 \l 2057 </w:instrText>
          </w:r>
          <w:r w:rsidR="00ED2565">
            <w:rPr>
              <w:lang w:val="en-GB"/>
            </w:rPr>
            <w:fldChar w:fldCharType="separate"/>
          </w:r>
          <w:r w:rsidR="00ED2565">
            <w:rPr>
              <w:noProof/>
              <w:lang w:val="en-GB"/>
            </w:rPr>
            <w:t>(Costa, 2018)</w:t>
          </w:r>
          <w:r w:rsidR="00ED2565">
            <w:rPr>
              <w:lang w:val="en-GB"/>
            </w:rPr>
            <w:fldChar w:fldCharType="end"/>
          </w:r>
        </w:sdtContent>
      </w:sdt>
      <w:r w:rsidR="00C31211" w:rsidRPr="00A4757E">
        <w:rPr>
          <w:lang w:val="en-GB"/>
        </w:rPr>
        <w:t>, Netflix's net worth is $162 Billion.</w:t>
      </w:r>
      <w:r w:rsidR="00BA1DDD">
        <w:t>This paper will look for evidence of the extent to which these reforms were the cause of the fall in Tencent share price</w:t>
      </w:r>
      <w:r w:rsidR="00395E24">
        <w:t xml:space="preserve">, as well as testing the </w:t>
      </w:r>
      <w:r w:rsidR="002E79C4">
        <w:t>market efficiency in these events</w:t>
      </w:r>
      <w:r w:rsidR="00BA1DDD">
        <w:t>.</w:t>
      </w:r>
      <w:r w:rsidR="002E79C4" w:rsidRPr="002E79C4">
        <w:t xml:space="preserve"> To the best of my knowledge, this is the first rigorous study of the impact of gaming regulations on Chinese tech firms that rely heavily on gaming revenue.</w:t>
      </w:r>
    </w:p>
    <w:p w14:paraId="61C18FA2" w14:textId="77777777" w:rsidR="00C31211" w:rsidRDefault="00C31211" w:rsidP="00C31211">
      <w:pPr>
        <w:rPr>
          <w:lang w:val="en-GB"/>
        </w:rPr>
      </w:pPr>
      <w:r w:rsidRPr="00A4757E">
        <w:rPr>
          <w:lang w:val="en-GB"/>
        </w:rPr>
        <w:t xml:space="preserve">  In this paper, the significance of government interventions will be discussed. The paper will first start off by reviewing previous literature about event study and the related financial theory, follow with the examination of the method of the event study. Description of the general atmosphere and the data will be presented in the subsequent session. The result of the model estimation and hypothesis will be detailed in the next session. Further hypothesis testing will subsequently be carried out for scrutinising the magnitude of the impact of the government. Lastly, the limitation of the research and future agenda will be deliberated, and the paper ends with the concluding discussion.</w:t>
      </w:r>
    </w:p>
    <w:p w14:paraId="59B01BC8" w14:textId="77777777" w:rsidR="00C31211" w:rsidRDefault="00C31211" w:rsidP="00C31211">
      <w:pPr>
        <w:rPr>
          <w:lang w:val="en-GB"/>
        </w:rPr>
      </w:pPr>
    </w:p>
    <w:p w14:paraId="5426B101" w14:textId="77777777" w:rsidR="00C31211" w:rsidRPr="00A4757E" w:rsidRDefault="00C31211" w:rsidP="00C31211">
      <w:pPr>
        <w:rPr>
          <w:lang w:val="en-GB"/>
        </w:rPr>
      </w:pPr>
    </w:p>
    <w:p w14:paraId="637B750D" w14:textId="4470FF43" w:rsidR="003D3430" w:rsidRDefault="00C31211" w:rsidP="00576BCB">
      <w:pPr>
        <w:pStyle w:val="Heading1"/>
        <w:rPr>
          <w:lang w:val="en-GB"/>
        </w:rPr>
      </w:pPr>
      <w:r>
        <w:rPr>
          <w:lang w:val="en-GB"/>
        </w:rPr>
        <w:t>Literature Review</w:t>
      </w:r>
    </w:p>
    <w:p w14:paraId="3DFD7D2C" w14:textId="40B7D4AE" w:rsidR="001E05E8" w:rsidRDefault="001E05E8" w:rsidP="001E05E8">
      <w:pPr>
        <w:pStyle w:val="Subtitle"/>
        <w:rPr>
          <w:lang w:val="en-GB"/>
        </w:rPr>
      </w:pPr>
    </w:p>
    <w:p w14:paraId="6766ECED" w14:textId="5E975A24" w:rsidR="001E05E8" w:rsidRPr="001E05E8" w:rsidRDefault="001E05E8" w:rsidP="001E05E8">
      <w:pPr>
        <w:pStyle w:val="Subtitle"/>
        <w:rPr>
          <w:lang w:val="en-GB"/>
        </w:rPr>
      </w:pPr>
      <w:r>
        <w:rPr>
          <w:lang w:val="en-GB"/>
        </w:rPr>
        <w:t>Efficiency Market Hypothesis</w:t>
      </w:r>
    </w:p>
    <w:p w14:paraId="67925D9E" w14:textId="4F898E08" w:rsidR="003D3430" w:rsidRDefault="00A75875" w:rsidP="002674FB">
      <w:pPr>
        <w:rPr>
          <w:lang w:val="en-GB"/>
        </w:rPr>
      </w:pPr>
      <w:r>
        <w:rPr>
          <w:lang w:val="en-GB"/>
        </w:rPr>
        <w:t xml:space="preserve">  </w:t>
      </w:r>
      <w:r w:rsidR="00F031E4">
        <w:rPr>
          <w:lang w:val="en-GB"/>
        </w:rPr>
        <w:t>Capital market</w:t>
      </w:r>
      <w:r w:rsidR="00083570">
        <w:rPr>
          <w:lang w:val="en-GB"/>
        </w:rPr>
        <w:t>s</w:t>
      </w:r>
      <w:r w:rsidR="00F031E4">
        <w:rPr>
          <w:lang w:val="en-GB"/>
        </w:rPr>
        <w:t xml:space="preserve"> serve as </w:t>
      </w:r>
      <w:r w:rsidR="00083570">
        <w:rPr>
          <w:lang w:val="en-GB"/>
        </w:rPr>
        <w:t>a</w:t>
      </w:r>
      <w:r w:rsidR="00F031E4">
        <w:rPr>
          <w:lang w:val="en-GB"/>
        </w:rPr>
        <w:t xml:space="preserve"> medium</w:t>
      </w:r>
      <w:r w:rsidR="00D8099F">
        <w:rPr>
          <w:lang w:val="en-GB"/>
        </w:rPr>
        <w:t xml:space="preserve"> </w:t>
      </w:r>
      <w:r w:rsidR="00083570">
        <w:rPr>
          <w:lang w:val="en-GB"/>
        </w:rPr>
        <w:t>for</w:t>
      </w:r>
      <w:r w:rsidR="00D8099F">
        <w:rPr>
          <w:lang w:val="en-GB"/>
        </w:rPr>
        <w:t xml:space="preserve"> transferring funds between lenders and borrowers, and a capital market said to be efficient when prices are fully and instantaneously reflected on all available information</w:t>
      </w:r>
      <w:r w:rsidR="006E405B">
        <w:rPr>
          <w:lang w:val="en-GB"/>
        </w:rPr>
        <w:t xml:space="preserve"> </w:t>
      </w:r>
      <w:sdt>
        <w:sdtPr>
          <w:rPr>
            <w:lang w:val="en-GB"/>
          </w:rPr>
          <w:id w:val="1734803326"/>
          <w:citation/>
        </w:sdtPr>
        <w:sdtEndPr/>
        <w:sdtContent>
          <w:r w:rsidR="00E735CD">
            <w:rPr>
              <w:lang w:val="en-GB"/>
            </w:rPr>
            <w:fldChar w:fldCharType="begin"/>
          </w:r>
          <w:r w:rsidR="00E735CD">
            <w:rPr>
              <w:lang w:val="en-GB"/>
            </w:rPr>
            <w:instrText xml:space="preserve"> </w:instrText>
          </w:r>
          <w:r w:rsidR="00E735CD">
            <w:rPr>
              <w:rFonts w:hint="eastAsia"/>
              <w:lang w:val="en-GB"/>
            </w:rPr>
            <w:instrText>CITATION Fir86 \l 1028</w:instrText>
          </w:r>
          <w:r w:rsidR="00E735CD">
            <w:rPr>
              <w:lang w:val="en-GB"/>
            </w:rPr>
            <w:instrText xml:space="preserve"> </w:instrText>
          </w:r>
          <w:r w:rsidR="00E735CD">
            <w:rPr>
              <w:lang w:val="en-GB"/>
            </w:rPr>
            <w:fldChar w:fldCharType="separate"/>
          </w:r>
          <w:r w:rsidR="00E735CD" w:rsidRPr="00E735CD">
            <w:rPr>
              <w:rFonts w:hint="eastAsia"/>
              <w:noProof/>
              <w:lang w:val="en-GB"/>
            </w:rPr>
            <w:t>(Firth &amp; Keane, 1986)</w:t>
          </w:r>
          <w:r w:rsidR="00E735CD">
            <w:rPr>
              <w:lang w:val="en-GB"/>
            </w:rPr>
            <w:fldChar w:fldCharType="end"/>
          </w:r>
        </w:sdtContent>
      </w:sdt>
      <w:r w:rsidR="006E405B">
        <w:rPr>
          <w:lang w:val="en-GB"/>
        </w:rPr>
        <w:t>.</w:t>
      </w:r>
      <w:r w:rsidR="00931026">
        <w:rPr>
          <w:lang w:val="en-GB"/>
        </w:rPr>
        <w:t xml:space="preserve"> </w:t>
      </w:r>
      <w:proofErr w:type="spellStart"/>
      <w:r w:rsidR="00931026">
        <w:rPr>
          <w:lang w:val="en-GB"/>
        </w:rPr>
        <w:t>Malkeil</w:t>
      </w:r>
      <w:proofErr w:type="spellEnd"/>
      <w:r w:rsidR="00931026">
        <w:rPr>
          <w:lang w:val="en-GB"/>
        </w:rPr>
        <w:t xml:space="preserve"> (2003) further stressed that efficiency with respect to an information set</w:t>
      </w:r>
      <w:r w:rsidR="00B64282">
        <w:rPr>
          <w:lang w:val="en-GB"/>
        </w:rPr>
        <w:t xml:space="preserve">, it is impossible </w:t>
      </w:r>
      <w:r w:rsidR="009E18F9">
        <w:rPr>
          <w:lang w:val="en-GB"/>
        </w:rPr>
        <w:t>for investors to earn economic profit by trading on previous information, as it had already been instantaneously reacted by the market when the information was first released.</w:t>
      </w:r>
      <w:r w:rsidR="00BA1306" w:rsidRPr="00BA1306">
        <w:rPr>
          <w:lang w:val="en-GB"/>
        </w:rPr>
        <w:t xml:space="preserve"> </w:t>
      </w:r>
      <w:r w:rsidR="00A53708">
        <w:rPr>
          <w:lang w:val="en-GB"/>
        </w:rPr>
        <w:t>An efficient market will allow the sec</w:t>
      </w:r>
      <w:r w:rsidR="003A00A0">
        <w:rPr>
          <w:lang w:val="en-GB"/>
        </w:rPr>
        <w:t>urity</w:t>
      </w:r>
      <w:r w:rsidR="00A53708">
        <w:rPr>
          <w:lang w:val="en-GB"/>
        </w:rPr>
        <w:t xml:space="preserve"> price to provide accurate signals for resource allocation</w:t>
      </w:r>
      <w:r w:rsidR="00F94E7E">
        <w:rPr>
          <w:lang w:val="en-GB"/>
        </w:rPr>
        <w:t>, where p</w:t>
      </w:r>
      <w:r w:rsidR="00F132E8">
        <w:rPr>
          <w:lang w:val="en-GB"/>
        </w:rPr>
        <w:t>rivate firms access to credit in efficient price</w:t>
      </w:r>
      <w:r w:rsidR="00F94E7E">
        <w:rPr>
          <w:lang w:val="en-GB"/>
        </w:rPr>
        <w:t xml:space="preserve">, </w:t>
      </w:r>
      <w:r w:rsidR="00422FE6">
        <w:rPr>
          <w:lang w:val="en-GB"/>
        </w:rPr>
        <w:t xml:space="preserve">and implies that it is </w:t>
      </w:r>
      <w:r w:rsidR="000C2B41">
        <w:rPr>
          <w:lang w:val="en-GB"/>
        </w:rPr>
        <w:t>impossible</w:t>
      </w:r>
      <w:r w:rsidR="00422FE6">
        <w:rPr>
          <w:lang w:val="en-GB"/>
        </w:rPr>
        <w:t xml:space="preserve"> to earn superior rates of return consistently unless by chance.</w:t>
      </w:r>
      <w:r w:rsidR="00A93CE7">
        <w:rPr>
          <w:lang w:val="en-GB"/>
        </w:rPr>
        <w:t xml:space="preserve"> </w:t>
      </w:r>
      <w:r w:rsidR="004127CA">
        <w:rPr>
          <w:lang w:val="en-GB"/>
        </w:rPr>
        <w:t>C</w:t>
      </w:r>
      <w:r w:rsidR="00A93CE7">
        <w:rPr>
          <w:lang w:val="en-GB"/>
        </w:rPr>
        <w:t>apital market efficiency is divided into 3 categories:</w:t>
      </w:r>
    </w:p>
    <w:p w14:paraId="751E70E7" w14:textId="5D66C9A9" w:rsidR="00A93CE7" w:rsidRDefault="00A93CE7" w:rsidP="00A93CE7">
      <w:pPr>
        <w:pStyle w:val="ListParagraph"/>
        <w:numPr>
          <w:ilvl w:val="0"/>
          <w:numId w:val="1"/>
        </w:numPr>
        <w:rPr>
          <w:lang w:val="en-GB"/>
        </w:rPr>
      </w:pPr>
      <w:r>
        <w:rPr>
          <w:lang w:val="en-GB"/>
        </w:rPr>
        <w:t>Weak form: Prices incorporate all information contained</w:t>
      </w:r>
      <w:r w:rsidR="00941447">
        <w:rPr>
          <w:lang w:val="en-GB"/>
        </w:rPr>
        <w:t xml:space="preserve"> in</w:t>
      </w:r>
      <w:r>
        <w:rPr>
          <w:lang w:val="en-GB"/>
        </w:rPr>
        <w:t xml:space="preserve"> past returns. This implies strategies that</w:t>
      </w:r>
      <w:r w:rsidR="00AB7662">
        <w:rPr>
          <w:lang w:val="en-GB"/>
        </w:rPr>
        <w:t xml:space="preserve"> are</w:t>
      </w:r>
      <w:r>
        <w:rPr>
          <w:lang w:val="en-GB"/>
        </w:rPr>
        <w:t xml:space="preserve"> based on historical share price or other financial data will not generate any excess return</w:t>
      </w:r>
      <w:r w:rsidR="00BA1DDD">
        <w:rPr>
          <w:lang w:val="en-GB"/>
        </w:rPr>
        <w:t xml:space="preserve">, where investment returns </w:t>
      </w:r>
      <w:r w:rsidR="00C9427C">
        <w:rPr>
          <w:lang w:val="en-GB"/>
        </w:rPr>
        <w:t>will not be</w:t>
      </w:r>
      <w:r w:rsidR="00BA1DDD">
        <w:rPr>
          <w:lang w:val="en-GB"/>
        </w:rPr>
        <w:t xml:space="preserve"> greater than risk-free rate</w:t>
      </w:r>
      <w:r w:rsidR="003A05E2">
        <w:rPr>
          <w:lang w:val="en-GB"/>
        </w:rPr>
        <w:t xml:space="preserve"> </w:t>
      </w:r>
      <w:r w:rsidR="003A05E2">
        <w:rPr>
          <w:rFonts w:hint="eastAsia"/>
          <w:lang w:val="en-GB"/>
        </w:rPr>
        <w:t>i</w:t>
      </w:r>
      <w:r w:rsidR="003A05E2">
        <w:rPr>
          <w:lang w:val="en-GB"/>
        </w:rPr>
        <w:t>n</w:t>
      </w:r>
      <w:r w:rsidR="00C9427C">
        <w:rPr>
          <w:lang w:val="en-GB"/>
        </w:rPr>
        <w:t>,</w:t>
      </w:r>
      <w:r w:rsidR="003A05E2">
        <w:rPr>
          <w:lang w:val="en-GB"/>
        </w:rPr>
        <w:t xml:space="preserve"> the long run.</w:t>
      </w:r>
    </w:p>
    <w:p w14:paraId="2BDE4D73" w14:textId="77777777" w:rsidR="00005500" w:rsidRDefault="00A93CE7" w:rsidP="00A93CE7">
      <w:pPr>
        <w:pStyle w:val="ListParagraph"/>
        <w:numPr>
          <w:ilvl w:val="0"/>
          <w:numId w:val="1"/>
        </w:numPr>
        <w:rPr>
          <w:lang w:val="en-GB"/>
        </w:rPr>
      </w:pPr>
      <w:r>
        <w:rPr>
          <w:lang w:val="en-GB"/>
        </w:rPr>
        <w:lastRenderedPageBreak/>
        <w:t xml:space="preserve">Semi-strong form: Prices incorporate all publicly available information. This implies </w:t>
      </w:r>
      <w:r w:rsidR="00005500">
        <w:rPr>
          <w:lang w:val="en-GB"/>
        </w:rPr>
        <w:t>no excess return can be earned by trading on that information as share price adjust instantaneously and unbiasedly.</w:t>
      </w:r>
    </w:p>
    <w:p w14:paraId="0A4DEE40" w14:textId="77777777" w:rsidR="00A93CE7" w:rsidRPr="00A93CE7" w:rsidRDefault="00005500" w:rsidP="00A93CE7">
      <w:pPr>
        <w:pStyle w:val="ListParagraph"/>
        <w:numPr>
          <w:ilvl w:val="0"/>
          <w:numId w:val="1"/>
        </w:numPr>
        <w:rPr>
          <w:lang w:val="en-GB"/>
        </w:rPr>
      </w:pPr>
      <w:r>
        <w:rPr>
          <w:lang w:val="en-GB"/>
        </w:rPr>
        <w:t xml:space="preserve">Strong form: Prices incorporate all privately and publicly available information. This implies no one can earn excess return on any information.  </w:t>
      </w:r>
    </w:p>
    <w:p w14:paraId="10CAC6A3" w14:textId="2511F190" w:rsidR="000F483F" w:rsidRPr="00555DF3" w:rsidRDefault="00377D33" w:rsidP="000F483F">
      <w:r>
        <w:rPr>
          <w:lang w:val="en-GB"/>
        </w:rPr>
        <w:t xml:space="preserve">  </w:t>
      </w:r>
      <w:r w:rsidR="00110745">
        <w:rPr>
          <w:lang w:val="en-GB"/>
        </w:rPr>
        <w:t>It is generally accepted that weak form exists in the stock market. In an efficient capital market share price</w:t>
      </w:r>
      <w:r w:rsidR="001347FA">
        <w:rPr>
          <w:lang w:val="en-GB"/>
        </w:rPr>
        <w:t>s only</w:t>
      </w:r>
      <w:r w:rsidR="00110745">
        <w:rPr>
          <w:lang w:val="en-GB"/>
        </w:rPr>
        <w:t xml:space="preserve"> change when new </w:t>
      </w:r>
      <w:r w:rsidR="001347FA">
        <w:rPr>
          <w:lang w:val="en-GB"/>
        </w:rPr>
        <w:t xml:space="preserve">relevant </w:t>
      </w:r>
      <w:r w:rsidR="00110745">
        <w:rPr>
          <w:lang w:val="en-GB"/>
        </w:rPr>
        <w:t xml:space="preserve">information arrives, and as </w:t>
      </w:r>
      <w:r w:rsidR="001F5CD9">
        <w:rPr>
          <w:lang w:val="en-GB"/>
        </w:rPr>
        <w:t>this</w:t>
      </w:r>
      <w:r w:rsidR="00110745">
        <w:rPr>
          <w:lang w:val="en-GB"/>
        </w:rPr>
        <w:t xml:space="preserve"> information is unpredictable price change</w:t>
      </w:r>
      <w:r w:rsidR="0079353C">
        <w:rPr>
          <w:lang w:val="en-GB"/>
        </w:rPr>
        <w:t>s</w:t>
      </w:r>
      <w:r w:rsidR="00110745">
        <w:rPr>
          <w:lang w:val="en-GB"/>
        </w:rPr>
        <w:t xml:space="preserve"> are a</w:t>
      </w:r>
      <w:r w:rsidR="001F5CD9">
        <w:rPr>
          <w:lang w:val="en-GB"/>
        </w:rPr>
        <w:t>lso</w:t>
      </w:r>
      <w:r w:rsidR="00110745">
        <w:rPr>
          <w:lang w:val="en-GB"/>
        </w:rPr>
        <w:t xml:space="preserve"> unpredictable </w:t>
      </w:r>
      <w:r w:rsidR="00A750B7">
        <w:rPr>
          <w:lang w:val="en-GB"/>
        </w:rPr>
        <w:t>(this is the so-called</w:t>
      </w:r>
      <w:r w:rsidR="00110745">
        <w:rPr>
          <w:lang w:val="en-GB"/>
        </w:rPr>
        <w:t xml:space="preserve"> </w:t>
      </w:r>
      <w:r w:rsidR="00A750B7">
        <w:rPr>
          <w:lang w:val="en-GB"/>
        </w:rPr>
        <w:t>“</w:t>
      </w:r>
      <w:r w:rsidR="00110745">
        <w:rPr>
          <w:lang w:val="en-GB"/>
        </w:rPr>
        <w:t>random walk</w:t>
      </w:r>
      <w:r w:rsidR="00A750B7">
        <w:rPr>
          <w:lang w:val="en-GB"/>
        </w:rPr>
        <w:t>”)</w:t>
      </w:r>
      <w:r w:rsidR="00110745">
        <w:rPr>
          <w:lang w:val="en-GB"/>
        </w:rPr>
        <w:t xml:space="preserve">. </w:t>
      </w:r>
      <w:r w:rsidR="00BA1DDD">
        <w:t>There is a general consensus that markets are at least weak-form efficient</w:t>
      </w:r>
      <w:r w:rsidR="00555DF3">
        <w:t xml:space="preserve">, which </w:t>
      </w:r>
      <w:r w:rsidR="004351D0">
        <w:t>is mentioned in the findings</w:t>
      </w:r>
      <w:r w:rsidR="00555DF3">
        <w:t xml:space="preserve"> from </w:t>
      </w:r>
      <w:r w:rsidR="004351D0">
        <w:t xml:space="preserve">Brealey (1970) , </w:t>
      </w:r>
      <w:proofErr w:type="spellStart"/>
      <w:r w:rsidR="004351D0">
        <w:t>Cummingham</w:t>
      </w:r>
      <w:proofErr w:type="spellEnd"/>
      <w:r w:rsidR="004351D0">
        <w:t xml:space="preserve"> (1973), Dryden (1970b) and </w:t>
      </w:r>
      <w:proofErr w:type="spellStart"/>
      <w:r w:rsidR="004351D0">
        <w:t>Girmes</w:t>
      </w:r>
      <w:proofErr w:type="spellEnd"/>
      <w:r w:rsidR="004351D0">
        <w:t xml:space="preserve"> and Benjamin (1975) (cited in </w:t>
      </w:r>
      <w:r w:rsidR="004351D0">
        <w:rPr>
          <w:noProof/>
          <w:lang w:val="en-GB"/>
        </w:rPr>
        <w:t>Firth &amp; Keane, 1986).</w:t>
      </w:r>
      <w:r w:rsidR="00BA1DDD">
        <w:t xml:space="preserve"> Additionally, studies by many economists, including </w:t>
      </w:r>
      <w:r w:rsidR="00BA1DDD">
        <w:rPr>
          <w:lang w:val="en-GB"/>
        </w:rPr>
        <w:t xml:space="preserve">Firth (1976a, 1979, 1980), </w:t>
      </w:r>
      <w:r w:rsidR="00151F71">
        <w:rPr>
          <w:lang w:val="en-GB"/>
        </w:rPr>
        <w:t>Keown and Pinkerton (1981), Kraus and Stroll (1972), Scholes (1972) (cited in F</w:t>
      </w:r>
      <w:r w:rsidR="00151F71">
        <w:rPr>
          <w:noProof/>
          <w:lang w:val="en-GB"/>
        </w:rPr>
        <w:t xml:space="preserve">irth &amp; Keane, 1986) </w:t>
      </w:r>
      <w:r w:rsidR="00BA1DDD">
        <w:t>conclude that markets are also semi-strong form efficient most of the time</w:t>
      </w:r>
      <w:r w:rsidR="00151F71">
        <w:t>.</w:t>
      </w:r>
      <w:r w:rsidR="00151F71" w:rsidRPr="00151F71">
        <w:t xml:space="preserve"> </w:t>
      </w:r>
      <w:r w:rsidR="0090106B">
        <w:t>W</w:t>
      </w:r>
      <w:r w:rsidR="00151F71">
        <w:t xml:space="preserve">ith regards to strong form efficiency, most studies appear to conclude the markets are not strong form efficient </w:t>
      </w:r>
      <w:r w:rsidR="00077707">
        <w:t>(</w:t>
      </w:r>
      <w:proofErr w:type="spellStart"/>
      <w:r w:rsidR="00151F71">
        <w:rPr>
          <w:lang w:val="en-GB"/>
        </w:rPr>
        <w:t>Neiderhoffer</w:t>
      </w:r>
      <w:proofErr w:type="spellEnd"/>
      <w:r w:rsidR="00151F71">
        <w:rPr>
          <w:lang w:val="en-GB"/>
        </w:rPr>
        <w:t xml:space="preserve"> and Osborne</w:t>
      </w:r>
      <w:r w:rsidR="001D4830">
        <w:rPr>
          <w:lang w:val="en-GB"/>
        </w:rPr>
        <w:t xml:space="preserve">, </w:t>
      </w:r>
      <w:r w:rsidR="00151F71">
        <w:rPr>
          <w:lang w:val="en-GB"/>
        </w:rPr>
        <w:t>1966, Collins</w:t>
      </w:r>
      <w:r w:rsidR="001D4830">
        <w:rPr>
          <w:lang w:val="en-GB"/>
        </w:rPr>
        <w:t>,</w:t>
      </w:r>
      <w:r w:rsidR="00151F71">
        <w:rPr>
          <w:lang w:val="en-GB"/>
        </w:rPr>
        <w:t xml:space="preserve"> 1975, Jaffe</w:t>
      </w:r>
      <w:r w:rsidR="001D4830">
        <w:rPr>
          <w:lang w:val="en-GB"/>
        </w:rPr>
        <w:t>,</w:t>
      </w:r>
      <w:r w:rsidR="00151F71">
        <w:rPr>
          <w:lang w:val="en-GB"/>
        </w:rPr>
        <w:t xml:space="preserve"> 1974 and Finnerty</w:t>
      </w:r>
      <w:r w:rsidR="001D4830">
        <w:rPr>
          <w:lang w:val="en-GB"/>
        </w:rPr>
        <w:t>,</w:t>
      </w:r>
      <w:r w:rsidR="00151F71">
        <w:rPr>
          <w:lang w:val="en-GB"/>
        </w:rPr>
        <w:t xml:space="preserve"> 1976</w:t>
      </w:r>
      <w:r w:rsidR="001D4830">
        <w:rPr>
          <w:lang w:val="en-GB"/>
        </w:rPr>
        <w:t xml:space="preserve"> as </w:t>
      </w:r>
      <w:r w:rsidR="00151F71">
        <w:rPr>
          <w:lang w:val="en-GB"/>
        </w:rPr>
        <w:t>cited in Firth &amp; Keane, 1986)</w:t>
      </w:r>
      <w:r w:rsidR="00151F71">
        <w:t>, implying investors can earn profits on inside information</w:t>
      </w:r>
      <w:r w:rsidR="00077707">
        <w:rPr>
          <w:lang w:val="en-GB"/>
        </w:rPr>
        <w:t>.</w:t>
      </w:r>
    </w:p>
    <w:p w14:paraId="35446049" w14:textId="3A7EC944" w:rsidR="00CB17F2" w:rsidRDefault="00377D33" w:rsidP="00110745">
      <w:pPr>
        <w:rPr>
          <w:lang w:val="en-GB"/>
        </w:rPr>
      </w:pPr>
      <w:r>
        <w:rPr>
          <w:lang w:val="en-GB"/>
        </w:rPr>
        <w:t xml:space="preserve">  </w:t>
      </w:r>
      <w:r w:rsidR="00D139D0">
        <w:rPr>
          <w:lang w:val="en-GB"/>
        </w:rPr>
        <w:t xml:space="preserve">Despite the </w:t>
      </w:r>
      <w:r w:rsidR="00B503E1">
        <w:rPr>
          <w:lang w:val="en-GB"/>
        </w:rPr>
        <w:t xml:space="preserve">efficient market hypothesis is long-standing and substantial amount of empirical research on the </w:t>
      </w:r>
      <w:r w:rsidR="00D139D0">
        <w:rPr>
          <w:lang w:val="en-GB"/>
        </w:rPr>
        <w:t>hypothesis</w:t>
      </w:r>
      <w:r w:rsidR="00B503E1">
        <w:rPr>
          <w:lang w:val="en-GB"/>
        </w:rPr>
        <w:t xml:space="preserve"> had been carried</w:t>
      </w:r>
      <w:r w:rsidR="00D139D0">
        <w:rPr>
          <w:lang w:val="en-GB"/>
        </w:rPr>
        <w:t xml:space="preserve"> </w:t>
      </w:r>
      <w:r w:rsidR="00B503E1">
        <w:rPr>
          <w:lang w:val="en-GB"/>
        </w:rPr>
        <w:t xml:space="preserve">out throughout the history, </w:t>
      </w:r>
      <w:r w:rsidR="00D963CF">
        <w:rPr>
          <w:lang w:val="en-GB"/>
        </w:rPr>
        <w:t>a</w:t>
      </w:r>
      <w:r w:rsidR="00B503E1">
        <w:rPr>
          <w:lang w:val="en-GB"/>
        </w:rPr>
        <w:t>nom</w:t>
      </w:r>
      <w:r w:rsidR="00D963CF">
        <w:rPr>
          <w:lang w:val="en-GB"/>
        </w:rPr>
        <w:t>alies</w:t>
      </w:r>
      <w:r w:rsidR="00B503E1">
        <w:rPr>
          <w:lang w:val="en-GB"/>
        </w:rPr>
        <w:t xml:space="preserve"> </w:t>
      </w:r>
      <w:r w:rsidR="00FE0069">
        <w:rPr>
          <w:lang w:val="en-GB"/>
        </w:rPr>
        <w:t>persist in the market which contradict the efficient market hypothesis.</w:t>
      </w:r>
      <w:r w:rsidR="00B503E1">
        <w:rPr>
          <w:lang w:val="en-GB"/>
        </w:rPr>
        <w:t xml:space="preserve"> </w:t>
      </w:r>
      <w:r w:rsidR="003F20CE" w:rsidRPr="00165D35">
        <w:rPr>
          <w:lang w:val="en-GB"/>
        </w:rPr>
        <w:t>Therefore, this paper will examine if the market has acted efficiently in the ca</w:t>
      </w:r>
      <w:bookmarkStart w:id="0" w:name="_GoBack"/>
      <w:bookmarkEnd w:id="0"/>
      <w:r w:rsidR="003F20CE" w:rsidRPr="00165D35">
        <w:rPr>
          <w:lang w:val="en-GB"/>
        </w:rPr>
        <w:t>se of Tencent stock.</w:t>
      </w:r>
      <w:r w:rsidR="003F20CE">
        <w:rPr>
          <w:lang w:val="en-GB"/>
        </w:rPr>
        <w:t xml:space="preserve"> </w:t>
      </w:r>
    </w:p>
    <w:p w14:paraId="3809FE17" w14:textId="72659557" w:rsidR="000F483F" w:rsidRDefault="000F483F" w:rsidP="00110745">
      <w:pPr>
        <w:rPr>
          <w:lang w:val="en-GB"/>
        </w:rPr>
      </w:pPr>
    </w:p>
    <w:p w14:paraId="3E1F1468" w14:textId="7989F937" w:rsidR="000F483F" w:rsidRDefault="00A40A40" w:rsidP="000F483F">
      <w:pPr>
        <w:pStyle w:val="Subtitle"/>
        <w:rPr>
          <w:lang w:val="en-GB"/>
        </w:rPr>
      </w:pPr>
      <w:r>
        <w:rPr>
          <w:lang w:val="en-GB"/>
        </w:rPr>
        <w:t>Anomalies</w:t>
      </w:r>
    </w:p>
    <w:p w14:paraId="554CA998" w14:textId="7C3F7ABC" w:rsidR="000F483F" w:rsidRDefault="00260959" w:rsidP="00A40A40">
      <w:pPr>
        <w:rPr>
          <w:lang w:val="en-GB"/>
        </w:rPr>
      </w:pPr>
      <w:r>
        <w:rPr>
          <w:lang w:val="en-GB"/>
        </w:rPr>
        <w:t xml:space="preserve">  Efficient market hypothesis stated that share prices are random walk and thus unpredictable</w:t>
      </w:r>
      <w:r w:rsidR="006F7CC5">
        <w:rPr>
          <w:lang w:val="en-GB"/>
        </w:rPr>
        <w:t xml:space="preserve"> from past price behaviour</w:t>
      </w:r>
      <w:r>
        <w:rPr>
          <w:lang w:val="en-GB"/>
        </w:rPr>
        <w:t>. However, a seasonal pattern is observed in the stock market where the average monthly return is significantly higher in January than in other months</w:t>
      </w:r>
      <w:sdt>
        <w:sdtPr>
          <w:rPr>
            <w:lang w:val="en-GB"/>
          </w:rPr>
          <w:id w:val="1453898682"/>
          <w:citation/>
        </w:sdtPr>
        <w:sdtEndPr/>
        <w:sdtContent>
          <w:r w:rsidR="00FC5526">
            <w:rPr>
              <w:lang w:val="en-GB"/>
            </w:rPr>
            <w:fldChar w:fldCharType="begin"/>
          </w:r>
          <w:r w:rsidR="00FC5526">
            <w:rPr>
              <w:lang w:val="en-GB"/>
            </w:rPr>
            <w:instrText xml:space="preserve"> </w:instrText>
          </w:r>
          <w:r w:rsidR="00FC5526">
            <w:rPr>
              <w:rFonts w:hint="eastAsia"/>
              <w:lang w:val="en-GB"/>
            </w:rPr>
            <w:instrText>CITATION Tha87 \l 1028</w:instrText>
          </w:r>
          <w:r w:rsidR="00FC5526">
            <w:rPr>
              <w:lang w:val="en-GB"/>
            </w:rPr>
            <w:instrText xml:space="preserve"> </w:instrText>
          </w:r>
          <w:r w:rsidR="00FC5526">
            <w:rPr>
              <w:lang w:val="en-GB"/>
            </w:rPr>
            <w:fldChar w:fldCharType="separate"/>
          </w:r>
          <w:r w:rsidR="00FC5526">
            <w:rPr>
              <w:rFonts w:hint="eastAsia"/>
              <w:noProof/>
              <w:lang w:val="en-GB"/>
            </w:rPr>
            <w:t xml:space="preserve"> </w:t>
          </w:r>
          <w:r w:rsidR="00FC5526" w:rsidRPr="00FC5526">
            <w:rPr>
              <w:rFonts w:hint="eastAsia"/>
              <w:noProof/>
              <w:lang w:val="en-GB"/>
            </w:rPr>
            <w:t>(Thaler, 1987)</w:t>
          </w:r>
          <w:r w:rsidR="00FC5526">
            <w:rPr>
              <w:lang w:val="en-GB"/>
            </w:rPr>
            <w:fldChar w:fldCharType="end"/>
          </w:r>
        </w:sdtContent>
      </w:sdt>
      <w:r>
        <w:rPr>
          <w:lang w:val="en-GB"/>
        </w:rPr>
        <w:t xml:space="preserve">. </w:t>
      </w:r>
      <w:r w:rsidR="0094136C">
        <w:rPr>
          <w:lang w:val="en-GB"/>
        </w:rPr>
        <w:t>H</w:t>
      </w:r>
      <w:r w:rsidR="006F7CC5">
        <w:rPr>
          <w:lang w:val="en-GB"/>
        </w:rPr>
        <w:t>alf of the excess return came from January and half of excess return in January came from the first five trading days of January (</w:t>
      </w:r>
      <w:proofErr w:type="spellStart"/>
      <w:r w:rsidR="006F7CC5">
        <w:rPr>
          <w:lang w:val="en-GB"/>
        </w:rPr>
        <w:t>Keim</w:t>
      </w:r>
      <w:proofErr w:type="spellEnd"/>
      <w:r w:rsidR="006F7CC5">
        <w:rPr>
          <w:lang w:val="en-GB"/>
        </w:rPr>
        <w:t xml:space="preserve"> 1983 cited in Thaler,1987). </w:t>
      </w:r>
      <w:r w:rsidR="0094136C">
        <w:rPr>
          <w:lang w:val="en-GB"/>
        </w:rPr>
        <w:t>The effect is most viable in the price of small firms and firms which their share prices were slumping continuously in the past years, as well as risky stocks earn the most of their risk premium in Januar</w:t>
      </w:r>
      <w:r w:rsidR="00117706">
        <w:rPr>
          <w:lang w:val="en-GB"/>
        </w:rPr>
        <w:t>y</w:t>
      </w:r>
      <w:r w:rsidR="006F7CC5">
        <w:rPr>
          <w:lang w:val="en-GB"/>
        </w:rPr>
        <w:t>.</w:t>
      </w:r>
      <w:r w:rsidR="00FC084F">
        <w:rPr>
          <w:lang w:val="en-GB"/>
        </w:rPr>
        <w:t xml:space="preserve"> Similar </w:t>
      </w:r>
      <w:r w:rsidR="00B554B5">
        <w:rPr>
          <w:lang w:val="en-GB"/>
        </w:rPr>
        <w:t>patterns</w:t>
      </w:r>
      <w:r w:rsidR="00FC084F">
        <w:rPr>
          <w:lang w:val="en-GB"/>
        </w:rPr>
        <w:t xml:space="preserve"> are also noticed in </w:t>
      </w:r>
      <w:r w:rsidR="00282312">
        <w:rPr>
          <w:lang w:val="en-GB"/>
        </w:rPr>
        <w:t>the</w:t>
      </w:r>
      <w:r w:rsidR="00FC084F">
        <w:rPr>
          <w:lang w:val="en-GB"/>
        </w:rPr>
        <w:t xml:space="preserve"> </w:t>
      </w:r>
      <w:r w:rsidR="00E77517">
        <w:rPr>
          <w:lang w:val="en-GB"/>
        </w:rPr>
        <w:t>week</w:t>
      </w:r>
      <w:r w:rsidR="00B554B5">
        <w:rPr>
          <w:lang w:val="en-GB"/>
        </w:rPr>
        <w:t>end</w:t>
      </w:r>
      <w:r w:rsidR="0090106B">
        <w:rPr>
          <w:lang w:val="en-GB"/>
        </w:rPr>
        <w:t xml:space="preserve"> which is studied by Cross (1973), French (1980) and Rogalski (1984)</w:t>
      </w:r>
      <w:r w:rsidR="00282312">
        <w:rPr>
          <w:lang w:val="en-GB"/>
        </w:rPr>
        <w:t xml:space="preserve">. </w:t>
      </w:r>
      <w:r w:rsidR="00B554B5">
        <w:rPr>
          <w:lang w:val="en-GB"/>
        </w:rPr>
        <w:t>Transaction day before the holiday also displayed a higher mean return than the others, known as the holiday effect</w:t>
      </w:r>
      <w:sdt>
        <w:sdtPr>
          <w:rPr>
            <w:lang w:val="en-GB"/>
          </w:rPr>
          <w:id w:val="-1765757808"/>
          <w:citation/>
        </w:sdtPr>
        <w:sdtEndPr/>
        <w:sdtContent>
          <w:r w:rsidR="0090106B">
            <w:rPr>
              <w:lang w:val="en-GB"/>
            </w:rPr>
            <w:fldChar w:fldCharType="begin"/>
          </w:r>
          <w:r w:rsidR="0090106B">
            <w:rPr>
              <w:lang w:val="en-GB"/>
            </w:rPr>
            <w:instrText xml:space="preserve"> CITATION Tha87 \l 2057 </w:instrText>
          </w:r>
          <w:r w:rsidR="0090106B">
            <w:rPr>
              <w:lang w:val="en-GB"/>
            </w:rPr>
            <w:fldChar w:fldCharType="separate"/>
          </w:r>
          <w:r w:rsidR="0090106B">
            <w:rPr>
              <w:noProof/>
              <w:lang w:val="en-GB"/>
            </w:rPr>
            <w:t xml:space="preserve"> (Thaler R. H., 1987)</w:t>
          </w:r>
          <w:r w:rsidR="0090106B">
            <w:rPr>
              <w:lang w:val="en-GB"/>
            </w:rPr>
            <w:fldChar w:fldCharType="end"/>
          </w:r>
        </w:sdtContent>
      </w:sdt>
      <w:r w:rsidR="00B554B5">
        <w:rPr>
          <w:lang w:val="en-GB"/>
        </w:rPr>
        <w:t xml:space="preserve">. </w:t>
      </w:r>
      <w:r w:rsidR="000342FA">
        <w:rPr>
          <w:lang w:val="en-GB"/>
        </w:rPr>
        <w:t xml:space="preserve">In other words, the </w:t>
      </w:r>
      <w:r w:rsidR="00323BE4">
        <w:rPr>
          <w:lang w:val="en-GB"/>
        </w:rPr>
        <w:t>predictable pattern</w:t>
      </w:r>
      <w:r w:rsidR="00B554B5">
        <w:rPr>
          <w:lang w:val="en-GB"/>
        </w:rPr>
        <w:t>s</w:t>
      </w:r>
      <w:r w:rsidR="00323BE4">
        <w:rPr>
          <w:lang w:val="en-GB"/>
        </w:rPr>
        <w:t xml:space="preserve"> </w:t>
      </w:r>
      <w:r w:rsidR="000342FA">
        <w:rPr>
          <w:lang w:val="en-GB"/>
        </w:rPr>
        <w:t>indicate</w:t>
      </w:r>
      <w:r w:rsidR="00323BE4">
        <w:rPr>
          <w:lang w:val="en-GB"/>
        </w:rPr>
        <w:t xml:space="preserve"> </w:t>
      </w:r>
      <w:r w:rsidR="000342FA">
        <w:rPr>
          <w:lang w:val="en-GB"/>
        </w:rPr>
        <w:t>prices can be predicted by past behaviour and thus is inconsistent with the efficient market hypothesis.</w:t>
      </w:r>
      <w:r w:rsidR="00323BE4">
        <w:rPr>
          <w:lang w:val="en-GB"/>
        </w:rPr>
        <w:t xml:space="preserve"> Nevertheless, these effects are not dependable and not exploitable as they are very small relative to the transaction costs involve; arbitrage opportunities were not offered to investor for generating excess risk adjusted returns</w:t>
      </w:r>
      <w:sdt>
        <w:sdtPr>
          <w:rPr>
            <w:lang w:val="en-GB"/>
          </w:rPr>
          <w:id w:val="1285167009"/>
          <w:citation/>
        </w:sdtPr>
        <w:sdtEndPr/>
        <w:sdtContent>
          <w:r w:rsidR="00323BE4">
            <w:rPr>
              <w:lang w:val="en-GB"/>
            </w:rPr>
            <w:fldChar w:fldCharType="begin"/>
          </w:r>
          <w:r w:rsidR="00323BE4">
            <w:rPr>
              <w:lang w:val="en-GB"/>
            </w:rPr>
            <w:instrText xml:space="preserve"> CITATION Mal03 \l 2057 </w:instrText>
          </w:r>
          <w:r w:rsidR="00323BE4">
            <w:rPr>
              <w:lang w:val="en-GB"/>
            </w:rPr>
            <w:fldChar w:fldCharType="separate"/>
          </w:r>
          <w:r w:rsidR="00323BE4">
            <w:rPr>
              <w:noProof/>
              <w:lang w:val="en-GB"/>
            </w:rPr>
            <w:t xml:space="preserve"> (Malkiel, 2003)</w:t>
          </w:r>
          <w:r w:rsidR="00323BE4">
            <w:rPr>
              <w:lang w:val="en-GB"/>
            </w:rPr>
            <w:fldChar w:fldCharType="end"/>
          </w:r>
        </w:sdtContent>
      </w:sdt>
      <w:r w:rsidR="00323BE4">
        <w:rPr>
          <w:lang w:val="en-GB"/>
        </w:rPr>
        <w:t xml:space="preserve">. Moreover, the event study is </w:t>
      </w:r>
      <w:r w:rsidR="0061558E">
        <w:rPr>
          <w:lang w:val="en-GB"/>
        </w:rPr>
        <w:t xml:space="preserve">analysing the relative movement of the stock and the market. Any persisting time effect will affect the stock and the market equally and thus it will not affect </w:t>
      </w:r>
      <w:r w:rsidR="0090106B">
        <w:rPr>
          <w:lang w:val="en-GB"/>
        </w:rPr>
        <w:t xml:space="preserve">the </w:t>
      </w:r>
      <w:r w:rsidR="0061558E">
        <w:rPr>
          <w:lang w:val="en-GB"/>
        </w:rPr>
        <w:t>inference.</w:t>
      </w:r>
    </w:p>
    <w:p w14:paraId="27B110FD" w14:textId="5117BABC" w:rsidR="001A692D" w:rsidRDefault="001A692D" w:rsidP="00C31211">
      <w:pPr>
        <w:rPr>
          <w:rFonts w:cstheme="minorHAnsi"/>
          <w:lang w:val="en-GB"/>
        </w:rPr>
      </w:pPr>
      <w:r>
        <w:rPr>
          <w:rFonts w:cstheme="minorHAnsi"/>
          <w:lang w:val="en-GB"/>
        </w:rPr>
        <w:t xml:space="preserve">   </w:t>
      </w:r>
      <w:r w:rsidR="004E0DCF">
        <w:rPr>
          <w:rFonts w:cstheme="minorHAnsi"/>
          <w:lang w:val="en-GB"/>
        </w:rPr>
        <w:t>On the other hand, t</w:t>
      </w:r>
      <w:r>
        <w:rPr>
          <w:rFonts w:cstheme="minorHAnsi"/>
          <w:lang w:val="en-GB"/>
        </w:rPr>
        <w:t xml:space="preserve">he effect of stamp duty on equity transaction and price was examined in a discussion paper in from Bank of England. </w:t>
      </w:r>
      <w:r w:rsidR="000C7297">
        <w:rPr>
          <w:rFonts w:cstheme="minorHAnsi"/>
          <w:lang w:val="en-GB"/>
        </w:rPr>
        <w:t xml:space="preserve">The result has shown </w:t>
      </w:r>
      <w:r w:rsidR="009432F8">
        <w:rPr>
          <w:rFonts w:cstheme="minorHAnsi"/>
          <w:lang w:val="en-GB"/>
        </w:rPr>
        <w:t xml:space="preserve">reduction in stamp duty </w:t>
      </w:r>
      <w:r w:rsidR="00965D35">
        <w:rPr>
          <w:rFonts w:cstheme="minorHAnsi"/>
          <w:lang w:val="en-GB"/>
        </w:rPr>
        <w:t xml:space="preserve">leads to significant </w:t>
      </w:r>
      <w:r w:rsidR="009432F8">
        <w:rPr>
          <w:rFonts w:cstheme="minorHAnsi"/>
          <w:lang w:val="en-GB"/>
        </w:rPr>
        <w:t xml:space="preserve">increase </w:t>
      </w:r>
      <w:r w:rsidR="00965D35">
        <w:rPr>
          <w:rFonts w:cstheme="minorHAnsi"/>
          <w:lang w:val="en-GB"/>
        </w:rPr>
        <w:t>in</w:t>
      </w:r>
      <w:r w:rsidR="009432F8">
        <w:rPr>
          <w:rFonts w:cstheme="minorHAnsi"/>
          <w:lang w:val="en-GB"/>
        </w:rPr>
        <w:t xml:space="preserve"> volume of transaction and equity prices</w:t>
      </w:r>
      <w:sdt>
        <w:sdtPr>
          <w:rPr>
            <w:rFonts w:cstheme="minorHAnsi"/>
            <w:lang w:val="en-GB"/>
          </w:rPr>
          <w:id w:val="-887499406"/>
          <w:citation/>
        </w:sdtPr>
        <w:sdtEndPr/>
        <w:sdtContent>
          <w:r w:rsidR="00965D35">
            <w:rPr>
              <w:rFonts w:cstheme="minorHAnsi"/>
              <w:lang w:val="en-GB"/>
            </w:rPr>
            <w:fldChar w:fldCharType="begin"/>
          </w:r>
          <w:r w:rsidR="00965D35">
            <w:rPr>
              <w:rFonts w:cstheme="minorHAnsi"/>
              <w:lang w:val="en-GB"/>
            </w:rPr>
            <w:instrText xml:space="preserve"> CITATION Jac85 \l 2057 </w:instrText>
          </w:r>
          <w:r w:rsidR="00965D35">
            <w:rPr>
              <w:rFonts w:cstheme="minorHAnsi"/>
              <w:lang w:val="en-GB"/>
            </w:rPr>
            <w:fldChar w:fldCharType="separate"/>
          </w:r>
          <w:r w:rsidR="00965D35">
            <w:rPr>
              <w:rFonts w:cstheme="minorHAnsi"/>
              <w:noProof/>
              <w:lang w:val="en-GB"/>
            </w:rPr>
            <w:t xml:space="preserve"> </w:t>
          </w:r>
          <w:r w:rsidR="00965D35" w:rsidRPr="000C7297">
            <w:rPr>
              <w:rFonts w:cstheme="minorHAnsi"/>
              <w:noProof/>
              <w:lang w:val="en-GB"/>
            </w:rPr>
            <w:t>(Jackson &amp; O'Donnell, 1985)</w:t>
          </w:r>
          <w:r w:rsidR="00965D35">
            <w:rPr>
              <w:rFonts w:cstheme="minorHAnsi"/>
              <w:lang w:val="en-GB"/>
            </w:rPr>
            <w:fldChar w:fldCharType="end"/>
          </w:r>
        </w:sdtContent>
      </w:sdt>
      <w:r w:rsidR="009432F8">
        <w:rPr>
          <w:rFonts w:cstheme="minorHAnsi"/>
          <w:lang w:val="en-GB"/>
        </w:rPr>
        <w:t>.</w:t>
      </w:r>
      <w:r w:rsidR="00845F4D">
        <w:rPr>
          <w:rFonts w:cstheme="minorHAnsi"/>
          <w:lang w:val="en-GB"/>
        </w:rPr>
        <w:t xml:space="preserve"> However</w:t>
      </w:r>
      <w:r w:rsidR="00810437">
        <w:rPr>
          <w:rFonts w:cstheme="minorHAnsi"/>
          <w:lang w:val="en-GB"/>
        </w:rPr>
        <w:t>,</w:t>
      </w:r>
      <w:r w:rsidR="00491035">
        <w:rPr>
          <w:rFonts w:cstheme="minorHAnsi"/>
          <w:lang w:val="en-GB"/>
        </w:rPr>
        <w:t xml:space="preserve"> the </w:t>
      </w:r>
      <w:r w:rsidR="009038AC">
        <w:rPr>
          <w:rFonts w:cstheme="minorHAnsi"/>
          <w:lang w:val="en-GB"/>
        </w:rPr>
        <w:t>stamp duty</w:t>
      </w:r>
      <w:r w:rsidR="00491035">
        <w:rPr>
          <w:rFonts w:cstheme="minorHAnsi"/>
          <w:lang w:val="en-GB"/>
        </w:rPr>
        <w:t xml:space="preserve"> would not be a concern </w:t>
      </w:r>
      <w:r w:rsidR="009038AC">
        <w:rPr>
          <w:rFonts w:cstheme="minorHAnsi"/>
          <w:lang w:val="en-GB"/>
        </w:rPr>
        <w:t xml:space="preserve">when it is assumed that every investor faces the same transaction cost. This implies investors will not alter the choice of investment, in terms of </w:t>
      </w:r>
      <w:r w:rsidR="0089296A">
        <w:rPr>
          <w:rFonts w:cstheme="minorHAnsi"/>
          <w:lang w:val="en-GB"/>
        </w:rPr>
        <w:lastRenderedPageBreak/>
        <w:t>choice</w:t>
      </w:r>
      <w:r w:rsidR="009038AC">
        <w:rPr>
          <w:rFonts w:cstheme="minorHAnsi"/>
          <w:lang w:val="en-GB"/>
        </w:rPr>
        <w:t xml:space="preserve"> and the volume, as the transaction cost remain the </w:t>
      </w:r>
      <w:r w:rsidR="002079C9">
        <w:rPr>
          <w:rFonts w:cstheme="minorHAnsi"/>
          <w:lang w:val="en-GB"/>
        </w:rPr>
        <w:t>identical</w:t>
      </w:r>
      <w:r w:rsidR="009038AC">
        <w:rPr>
          <w:rFonts w:cstheme="minorHAnsi"/>
          <w:lang w:val="en-GB"/>
        </w:rPr>
        <w:t xml:space="preserve"> for</w:t>
      </w:r>
      <w:r w:rsidR="002079C9">
        <w:rPr>
          <w:rFonts w:cstheme="minorHAnsi"/>
          <w:lang w:val="en-GB"/>
        </w:rPr>
        <w:t xml:space="preserve"> investors and thus the share price would not be affected by the difference in transaction cost</w:t>
      </w:r>
      <w:r w:rsidR="009038AC">
        <w:rPr>
          <w:rFonts w:cstheme="minorHAnsi"/>
          <w:lang w:val="en-GB"/>
        </w:rPr>
        <w:t xml:space="preserve">. </w:t>
      </w:r>
    </w:p>
    <w:p w14:paraId="3C0708BF" w14:textId="74E75C81" w:rsidR="000F483F" w:rsidRDefault="000F483F" w:rsidP="00C31211">
      <w:pPr>
        <w:rPr>
          <w:rFonts w:cstheme="minorHAnsi"/>
          <w:lang w:val="en-GB"/>
        </w:rPr>
      </w:pPr>
    </w:p>
    <w:p w14:paraId="6AD4A7E3" w14:textId="36F82024" w:rsidR="000F483F" w:rsidRDefault="000F483F" w:rsidP="000F483F">
      <w:pPr>
        <w:pStyle w:val="Subtitle"/>
        <w:rPr>
          <w:lang w:val="en-GB"/>
        </w:rPr>
      </w:pPr>
      <w:r>
        <w:rPr>
          <w:lang w:val="en-GB"/>
        </w:rPr>
        <w:t>Event Study</w:t>
      </w:r>
    </w:p>
    <w:p w14:paraId="29181323" w14:textId="4445A967" w:rsidR="00AD7CA9" w:rsidRDefault="00720AA8" w:rsidP="00FD46FD">
      <w:pPr>
        <w:rPr>
          <w:lang w:val="en-GB"/>
        </w:rPr>
      </w:pPr>
      <w:r>
        <w:rPr>
          <w:lang w:val="en-GB"/>
        </w:rPr>
        <w:t xml:space="preserve">  The joint probability test of the </w:t>
      </w:r>
      <w:r w:rsidR="00F37EED" w:rsidRPr="00DA1339">
        <w:rPr>
          <w:lang w:val="en-GB"/>
        </w:rPr>
        <w:t>significance of the government interventions to the share price of Tencent</w:t>
      </w:r>
      <w:r>
        <w:rPr>
          <w:lang w:val="en-GB"/>
        </w:rPr>
        <w:t xml:space="preserve"> and the market efficiency can be carried out by th</w:t>
      </w:r>
      <w:r w:rsidR="00F37EED" w:rsidRPr="00DA1339">
        <w:rPr>
          <w:lang w:val="en-GB"/>
        </w:rPr>
        <w:t xml:space="preserve">e statistical method of Event Study. An event study measures the impact of an event on the value of the firm. With the event study, the effect of the event can instantly be reflected on the share price by the abnormal return, the </w:t>
      </w:r>
      <w:r w:rsidR="00FD46FD">
        <w:rPr>
          <w:lang w:val="en-GB"/>
        </w:rPr>
        <w:t>difference of actual share price with the predicted share price where no new information was released</w:t>
      </w:r>
      <w:r w:rsidR="00F37EED" w:rsidRPr="00DA1339">
        <w:rPr>
          <w:lang w:val="en-GB"/>
        </w:rPr>
        <w:t xml:space="preserve">, given the rationality of market </w:t>
      </w:r>
      <w:sdt>
        <w:sdtPr>
          <w:rPr>
            <w:lang w:val="en-GB"/>
          </w:rPr>
          <w:id w:val="1113324654"/>
          <w:citation/>
        </w:sdtPr>
        <w:sdtEndPr/>
        <w:sdtContent>
          <w:r w:rsidR="00F37EED">
            <w:rPr>
              <w:lang w:val="en-GB"/>
            </w:rPr>
            <w:fldChar w:fldCharType="begin"/>
          </w:r>
          <w:r w:rsidR="00F37EED">
            <w:rPr>
              <w:lang w:val="en-GB"/>
            </w:rPr>
            <w:instrText xml:space="preserve"> CITATION MAC97 \l 2057 </w:instrText>
          </w:r>
          <w:r w:rsidR="00F37EED">
            <w:rPr>
              <w:lang w:val="en-GB"/>
            </w:rPr>
            <w:fldChar w:fldCharType="separate"/>
          </w:r>
          <w:r w:rsidR="00F37EED" w:rsidRPr="00DA1339">
            <w:rPr>
              <w:noProof/>
              <w:lang w:val="en-GB"/>
            </w:rPr>
            <w:t>(MACKINLAY, 1997)</w:t>
          </w:r>
          <w:r w:rsidR="00F37EED">
            <w:rPr>
              <w:lang w:val="en-GB"/>
            </w:rPr>
            <w:fldChar w:fldCharType="end"/>
          </w:r>
        </w:sdtContent>
      </w:sdt>
      <w:r w:rsidR="0090106B">
        <w:rPr>
          <w:lang w:val="en-GB"/>
        </w:rPr>
        <w:t xml:space="preserve">. </w:t>
      </w:r>
      <w:r w:rsidR="00027DA8">
        <w:rPr>
          <w:lang w:val="en-GB"/>
        </w:rPr>
        <w:t xml:space="preserve">It had been widely used in the academia for evaluating price changes. Throughout the decades, the methodology has improved by removing market return and confounding events. Methodology of modern event study is largely built on the foundation of the seminal studies by Ray Ball and Philip Brown in 1968 and Eugene </w:t>
      </w:r>
      <w:proofErr w:type="spellStart"/>
      <w:r w:rsidR="00027DA8">
        <w:rPr>
          <w:lang w:val="en-GB"/>
        </w:rPr>
        <w:t>Fama</w:t>
      </w:r>
      <w:proofErr w:type="spellEnd"/>
      <w:r w:rsidR="00027DA8">
        <w:rPr>
          <w:lang w:val="en-GB"/>
        </w:rPr>
        <w:t xml:space="preserve"> et al in 1969</w:t>
      </w:r>
      <w:r w:rsidR="004C4CD8">
        <w:rPr>
          <w:lang w:val="en-GB"/>
        </w:rPr>
        <w:t xml:space="preserve"> </w:t>
      </w:r>
      <w:sdt>
        <w:sdtPr>
          <w:rPr>
            <w:lang w:val="en-GB"/>
          </w:rPr>
          <w:id w:val="-1701312580"/>
          <w:citation/>
        </w:sdtPr>
        <w:sdtEndPr/>
        <w:sdtContent>
          <w:r w:rsidR="004C4CD8">
            <w:rPr>
              <w:lang w:val="en-GB"/>
            </w:rPr>
            <w:fldChar w:fldCharType="begin"/>
          </w:r>
          <w:r w:rsidR="004C4CD8">
            <w:rPr>
              <w:lang w:val="en-GB"/>
            </w:rPr>
            <w:instrText xml:space="preserve"> CITATION MAC97 \l 2057 </w:instrText>
          </w:r>
          <w:r w:rsidR="004C4CD8">
            <w:rPr>
              <w:lang w:val="en-GB"/>
            </w:rPr>
            <w:fldChar w:fldCharType="separate"/>
          </w:r>
          <w:r w:rsidR="004C4CD8">
            <w:rPr>
              <w:noProof/>
              <w:lang w:val="en-GB"/>
            </w:rPr>
            <w:t>(MACKINLAY, 1997)</w:t>
          </w:r>
          <w:r w:rsidR="004C4CD8">
            <w:rPr>
              <w:lang w:val="en-GB"/>
            </w:rPr>
            <w:fldChar w:fldCharType="end"/>
          </w:r>
        </w:sdtContent>
      </w:sdt>
      <w:r w:rsidR="00027DA8">
        <w:rPr>
          <w:lang w:val="en-GB"/>
        </w:rPr>
        <w:t>.</w:t>
      </w:r>
      <w:r w:rsidR="00CA5F93">
        <w:rPr>
          <w:lang w:val="en-GB"/>
        </w:rPr>
        <w:t xml:space="preserve"> </w:t>
      </w:r>
      <w:r w:rsidR="00AD7CA9" w:rsidRPr="00DA1339">
        <w:rPr>
          <w:lang w:val="en-GB"/>
        </w:rPr>
        <w:t>This analysis loosely follows the outline suggested by Event Studies in Economics and Finance by A. Craig MacKinlay (1997)</w:t>
      </w:r>
      <w:r w:rsidR="00CA5F93">
        <w:rPr>
          <w:lang w:val="en-GB"/>
        </w:rPr>
        <w:t>, which will be further discussed in the latter section</w:t>
      </w:r>
      <w:r w:rsidR="00AD7CA9" w:rsidRPr="00DA1339">
        <w:rPr>
          <w:lang w:val="en-GB"/>
        </w:rPr>
        <w:t>.</w:t>
      </w:r>
    </w:p>
    <w:p w14:paraId="12630CEC" w14:textId="575957BC" w:rsidR="000F483F" w:rsidRDefault="000F483F" w:rsidP="00FD46FD">
      <w:pPr>
        <w:rPr>
          <w:lang w:val="en-GB"/>
        </w:rPr>
      </w:pPr>
    </w:p>
    <w:p w14:paraId="1987B73E" w14:textId="1E347291" w:rsidR="000F483F" w:rsidRPr="00F37EED" w:rsidRDefault="000F483F" w:rsidP="000F483F">
      <w:pPr>
        <w:pStyle w:val="Subtitle"/>
        <w:rPr>
          <w:lang w:val="en-GB"/>
        </w:rPr>
      </w:pPr>
      <w:r>
        <w:rPr>
          <w:lang w:val="en-GB"/>
        </w:rPr>
        <w:t>Model Selection</w:t>
      </w:r>
    </w:p>
    <w:p w14:paraId="5836BC88" w14:textId="1F47DB40" w:rsidR="00C31211" w:rsidRPr="00706F57" w:rsidRDefault="00C31211" w:rsidP="001818E2">
      <w:pPr>
        <w:rPr>
          <w:rFonts w:cstheme="minorHAnsi"/>
          <w:lang w:val="en-GB"/>
        </w:rPr>
      </w:pPr>
      <w:r w:rsidRPr="00706F57">
        <w:rPr>
          <w:rFonts w:cstheme="minorHAnsi"/>
          <w:lang w:val="en-GB"/>
        </w:rPr>
        <w:t xml:space="preserve">  </w:t>
      </w:r>
      <w:r w:rsidR="00E84EB0">
        <w:rPr>
          <w:lang w:val="en-GB"/>
        </w:rPr>
        <w:t xml:space="preserve">The predicted stock price can be carried out by a model including the market model, which will be further discussed in the latter chapter. </w:t>
      </w:r>
      <w:r w:rsidRPr="00706F57">
        <w:rPr>
          <w:rFonts w:cstheme="minorHAnsi"/>
          <w:lang w:val="en-GB"/>
        </w:rPr>
        <w:t xml:space="preserve">Both constant mean model and the capital asset pricing model (CAPM) were considered </w:t>
      </w:r>
      <w:r w:rsidR="001818E2">
        <w:rPr>
          <w:rFonts w:cstheme="minorHAnsi"/>
          <w:lang w:val="en-GB"/>
        </w:rPr>
        <w:t>for the study</w:t>
      </w:r>
      <w:r w:rsidRPr="00706F57">
        <w:rPr>
          <w:rFonts w:cstheme="minorHAnsi"/>
          <w:lang w:val="en-GB"/>
        </w:rPr>
        <w:t xml:space="preserve">. Nevertheless, </w:t>
      </w:r>
      <w:r w:rsidR="001818E2">
        <w:t xml:space="preserve">CAPM </w:t>
      </w:r>
      <w:r w:rsidR="00CB2A1C">
        <w:t>outperforms</w:t>
      </w:r>
      <w:r w:rsidR="001818E2">
        <w:t xml:space="preserve"> </w:t>
      </w:r>
      <w:r w:rsidR="00FC1D56">
        <w:t>constant mean model</w:t>
      </w:r>
      <w:r w:rsidR="001818E2">
        <w:t xml:space="preserve"> and more complicated models perform similarly with simple models as none of the models can </w:t>
      </w:r>
      <w:r w:rsidRPr="00706F57">
        <w:rPr>
          <w:rFonts w:cstheme="minorHAnsi"/>
          <w:lang w:val="en-GB"/>
        </w:rPr>
        <w:t>effectively reduce the variance of the abnormal return</w:t>
      </w:r>
      <w:r w:rsidR="001818E2" w:rsidRPr="001818E2">
        <w:t xml:space="preserve"> </w:t>
      </w:r>
      <w:sdt>
        <w:sdtPr>
          <w:id w:val="-296920013"/>
          <w:citation/>
        </w:sdtPr>
        <w:sdtEndPr/>
        <w:sdtContent>
          <w:r w:rsidR="001818E2">
            <w:fldChar w:fldCharType="begin"/>
          </w:r>
          <w:r w:rsidR="001818E2">
            <w:rPr>
              <w:lang w:val="en-GB"/>
            </w:rPr>
            <w:instrText xml:space="preserve"> CITATION MAC97 \l 2057 </w:instrText>
          </w:r>
          <w:r w:rsidR="001818E2">
            <w:fldChar w:fldCharType="separate"/>
          </w:r>
          <w:r w:rsidR="001818E2">
            <w:rPr>
              <w:noProof/>
              <w:lang w:val="en-GB"/>
            </w:rPr>
            <w:t>(MACKINLAY, 1997)</w:t>
          </w:r>
          <w:r w:rsidR="001818E2">
            <w:fldChar w:fldCharType="end"/>
          </w:r>
        </w:sdtContent>
      </w:sdt>
      <w:r w:rsidRPr="00706F57">
        <w:rPr>
          <w:rFonts w:cstheme="minorHAnsi"/>
          <w:lang w:val="en-GB"/>
        </w:rPr>
        <w:t xml:space="preserve">. Having said that, the market model is more precise as it reduces the variance of the abnormal return by deducting the return of the stock generated from the fluctuation of the market. To that end, the market model is an improvement of the constant mean model which serves as a better model for event study </w:t>
      </w:r>
      <w:sdt>
        <w:sdtPr>
          <w:rPr>
            <w:rFonts w:cstheme="minorHAnsi"/>
            <w:lang w:val="en-GB"/>
          </w:rPr>
          <w:id w:val="-1977753600"/>
          <w:citation/>
        </w:sdtPr>
        <w:sdtEndPr/>
        <w:sdtContent>
          <w:r>
            <w:rPr>
              <w:rFonts w:cstheme="minorHAnsi"/>
              <w:lang w:val="en-GB"/>
            </w:rPr>
            <w:fldChar w:fldCharType="begin"/>
          </w:r>
          <w:r>
            <w:rPr>
              <w:rFonts w:cstheme="minorHAnsi"/>
              <w:lang w:val="en-GB"/>
            </w:rPr>
            <w:instrText xml:space="preserve"> CITATION MAC97 \l 2057 </w:instrText>
          </w:r>
          <w:r>
            <w:rPr>
              <w:rFonts w:cstheme="minorHAnsi"/>
              <w:lang w:val="en-GB"/>
            </w:rPr>
            <w:fldChar w:fldCharType="separate"/>
          </w:r>
          <w:r w:rsidRPr="00706F57">
            <w:rPr>
              <w:rFonts w:cstheme="minorHAnsi"/>
              <w:noProof/>
              <w:lang w:val="en-GB"/>
            </w:rPr>
            <w:t>(MACKINLAY, 1997)</w:t>
          </w:r>
          <w:r>
            <w:rPr>
              <w:rFonts w:cstheme="minorHAnsi"/>
              <w:lang w:val="en-GB"/>
            </w:rPr>
            <w:fldChar w:fldCharType="end"/>
          </w:r>
        </w:sdtContent>
      </w:sdt>
      <w:r>
        <w:rPr>
          <w:rFonts w:cstheme="minorHAnsi"/>
          <w:lang w:val="en-GB"/>
        </w:rPr>
        <w:t>.</w:t>
      </w:r>
    </w:p>
    <w:p w14:paraId="46EB9807" w14:textId="77777777" w:rsidR="00C31211" w:rsidRDefault="00C31211" w:rsidP="00C31211">
      <w:pPr>
        <w:rPr>
          <w:rFonts w:cstheme="minorHAnsi"/>
          <w:lang w:val="en-GB"/>
        </w:rPr>
      </w:pPr>
      <w:r w:rsidRPr="00706F57">
        <w:rPr>
          <w:rFonts w:cstheme="minorHAnsi"/>
          <w:lang w:val="en-GB"/>
        </w:rPr>
        <w:t xml:space="preserve">  CAPM demonstrates the relationship between the investment risk to the rate of return of an asset. Yet according to Mackinlay (1997), anomalies of CAPM cause the model to be sensitive under CAPM criterion. In comparison, such anomalies do not exist in the market model and thus the market model is preferred to deliver a more accurate resul</w:t>
      </w:r>
      <w:r>
        <w:rPr>
          <w:rFonts w:cstheme="minorHAnsi"/>
          <w:lang w:val="en-GB"/>
        </w:rPr>
        <w:t>t.</w:t>
      </w:r>
    </w:p>
    <w:p w14:paraId="57343097" w14:textId="77777777" w:rsidR="00C31211" w:rsidRDefault="00C31211" w:rsidP="00F1283F">
      <w:pPr>
        <w:pStyle w:val="Subtitle"/>
        <w:rPr>
          <w:lang w:val="en-GB"/>
        </w:rPr>
      </w:pPr>
    </w:p>
    <w:p w14:paraId="0838E7DA" w14:textId="77777777" w:rsidR="008C732F" w:rsidRPr="008C732F" w:rsidRDefault="008C732F" w:rsidP="008C732F">
      <w:pPr>
        <w:rPr>
          <w:lang w:val="en-GB"/>
        </w:rPr>
      </w:pPr>
    </w:p>
    <w:p w14:paraId="0A234541" w14:textId="77777777" w:rsidR="000307C9" w:rsidRDefault="00F1283F" w:rsidP="001E05E8">
      <w:pPr>
        <w:pStyle w:val="Heading1"/>
        <w:rPr>
          <w:lang w:val="en-GB"/>
        </w:rPr>
      </w:pPr>
      <w:r>
        <w:rPr>
          <w:lang w:val="en-GB"/>
        </w:rPr>
        <w:t>Method</w:t>
      </w:r>
    </w:p>
    <w:p w14:paraId="4206F95F" w14:textId="77777777" w:rsidR="00DA1339" w:rsidRPr="00DA1339" w:rsidRDefault="00DA1339" w:rsidP="00DA1339">
      <w:pPr>
        <w:pStyle w:val="Subtitle"/>
        <w:rPr>
          <w:color w:val="auto"/>
          <w:spacing w:val="0"/>
          <w:lang w:val="en-GB"/>
        </w:rPr>
      </w:pPr>
      <w:r w:rsidRPr="00DA1339">
        <w:rPr>
          <w:color w:val="auto"/>
          <w:spacing w:val="0"/>
          <w:lang w:val="en-GB"/>
        </w:rPr>
        <w:t xml:space="preserve">  To conduct an event study, the initial task is to identify the event and set up the event window. The event window is the period from the day the event occurs to a few days afterward. This allows the impact of the event to be captured after the stock market closed as well as the reaction of investors a few days after the event. Since Tencent is the largest stock listed in the Hang Seng Index by market capitalisation, it is assumed that it has a high information flow and investors can quickly react to the news toward Tencent. Thus, the event windows are set as 4 days from the events occurred. The reference index is introduced to the event study to deduct the returns generated from the </w:t>
      </w:r>
      <w:r w:rsidRPr="00DA1339">
        <w:rPr>
          <w:color w:val="auto"/>
          <w:spacing w:val="0"/>
          <w:lang w:val="en-GB"/>
        </w:rPr>
        <w:lastRenderedPageBreak/>
        <w:t xml:space="preserve">movement of the market. This enhances the ability to evaluate the impact as this captures the net impact of the events from the market variation. </w:t>
      </w:r>
    </w:p>
    <w:p w14:paraId="20999000" w14:textId="77777777" w:rsidR="00706F57" w:rsidRDefault="00706F57" w:rsidP="00F1283F">
      <w:pPr>
        <w:rPr>
          <w:lang w:val="en-GB"/>
        </w:rPr>
      </w:pPr>
      <w:r>
        <w:rPr>
          <w:noProof/>
          <w:lang w:val="en-GB"/>
        </w:rPr>
        <mc:AlternateContent>
          <mc:Choice Requires="wps">
            <w:drawing>
              <wp:anchor distT="0" distB="0" distL="114300" distR="114300" simplePos="0" relativeHeight="251677696" behindDoc="0" locked="0" layoutInCell="1" allowOverlap="1" wp14:anchorId="0C2DBD02" wp14:editId="51B89A4A">
                <wp:simplePos x="0" y="0"/>
                <wp:positionH relativeFrom="column">
                  <wp:posOffset>1155700</wp:posOffset>
                </wp:positionH>
                <wp:positionV relativeFrom="paragraph">
                  <wp:posOffset>974725</wp:posOffset>
                </wp:positionV>
                <wp:extent cx="787400" cy="393700"/>
                <wp:effectExtent l="0" t="0" r="12700" b="25400"/>
                <wp:wrapNone/>
                <wp:docPr id="10" name="Rectangle 10"/>
                <wp:cNvGraphicFramePr/>
                <a:graphic xmlns:a="http://schemas.openxmlformats.org/drawingml/2006/main">
                  <a:graphicData uri="http://schemas.microsoft.com/office/word/2010/wordprocessingShape">
                    <wps:wsp>
                      <wps:cNvSpPr/>
                      <wps:spPr>
                        <a:xfrm>
                          <a:off x="0" y="0"/>
                          <a:ext cx="787400" cy="393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5EB9B5" w14:textId="77777777" w:rsidR="00AD0A26" w:rsidRPr="008632CC" w:rsidRDefault="00AD0A26" w:rsidP="008632CC">
                            <w:pPr>
                              <w:jc w:val="center"/>
                              <w:rPr>
                                <w:color w:val="000000" w:themeColor="text1"/>
                                <w:sz w:val="20"/>
                                <w:szCs w:val="20"/>
                                <w:lang w:val="en-GB"/>
                              </w:rPr>
                            </w:pPr>
                            <w:r w:rsidRPr="008632CC">
                              <w:rPr>
                                <w:color w:val="000000" w:themeColor="text1"/>
                                <w:sz w:val="20"/>
                                <w:szCs w:val="20"/>
                                <w:lang w:val="en-GB"/>
                              </w:rPr>
                              <w:t>Estimation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DBD02" id="Rectangle 10" o:spid="_x0000_s1026" style="position:absolute;margin-left:91pt;margin-top:76.75pt;width:62pt;height: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" fillcolor="white [3212]" strokecolor="white [3212]" strokeweight="1pt">
                <v:textbox>
                  <w:txbxContent>
                    <w:p w14:paraId="4F5EB9B5" w14:textId="77777777" w:rsidR="00AD0A26" w:rsidRPr="008632CC" w:rsidRDefault="00AD0A26" w:rsidP="008632CC">
                      <w:pPr>
                        <w:jc w:val="center"/>
                        <w:rPr>
                          <w:color w:val="000000" w:themeColor="text1"/>
                          <w:sz w:val="20"/>
                          <w:szCs w:val="20"/>
                          <w:lang w:val="en-GB"/>
                        </w:rPr>
                      </w:pPr>
                      <w:r w:rsidRPr="008632CC">
                        <w:rPr>
                          <w:color w:val="000000" w:themeColor="text1"/>
                          <w:sz w:val="20"/>
                          <w:szCs w:val="20"/>
                          <w:lang w:val="en-GB"/>
                        </w:rPr>
                        <w:t xml:space="preserve">Estimation </w:t>
                      </w:r>
                      <w:proofErr w:type="spellStart"/>
                      <w:r w:rsidRPr="008632CC">
                        <w:rPr>
                          <w:color w:val="000000" w:themeColor="text1"/>
                          <w:sz w:val="20"/>
                          <w:szCs w:val="20"/>
                          <w:lang w:val="en-GB"/>
                        </w:rPr>
                        <w:t>WIndow</w:t>
                      </w:r>
                      <w:proofErr w:type="spellEnd"/>
                    </w:p>
                  </w:txbxContent>
                </v:textbox>
              </v:rect>
            </w:pict>
          </mc:Fallback>
        </mc:AlternateContent>
      </w:r>
      <w:r w:rsidR="00DA1339" w:rsidRPr="00DA1339">
        <w:rPr>
          <w:lang w:val="en-GB"/>
        </w:rPr>
        <w:t xml:space="preserve">  The estimation window is established to calculate the predicted return of the stock price. This is typically a 120 days period prior to the event to derive the relationship between the stock price and the reference index. However, in this analysis, the 30 days before the event is neglected to avoid the possibility of information leak. Therefore, the 120 days estimation window is created from 150 to 30 days before the events.</w:t>
      </w:r>
    </w:p>
    <w:p w14:paraId="3E360559" w14:textId="77777777" w:rsidR="00706F57" w:rsidRDefault="00706F57" w:rsidP="00F1283F">
      <w:pPr>
        <w:rPr>
          <w:lang w:val="en-GB"/>
        </w:rPr>
      </w:pPr>
      <w:r>
        <w:rPr>
          <w:noProof/>
          <w:lang w:val="en-GB"/>
        </w:rPr>
        <mc:AlternateContent>
          <mc:Choice Requires="wps">
            <w:drawing>
              <wp:anchor distT="0" distB="0" distL="114300" distR="114300" simplePos="0" relativeHeight="251679744" behindDoc="0" locked="0" layoutInCell="1" allowOverlap="1" wp14:anchorId="3203FB4D" wp14:editId="5DCC7A75">
                <wp:simplePos x="0" y="0"/>
                <wp:positionH relativeFrom="column">
                  <wp:posOffset>3543300</wp:posOffset>
                </wp:positionH>
                <wp:positionV relativeFrom="paragraph">
                  <wp:posOffset>8890</wp:posOffset>
                </wp:positionV>
                <wp:extent cx="723900" cy="400050"/>
                <wp:effectExtent l="0" t="0" r="19050" b="19050"/>
                <wp:wrapSquare wrapText="bothSides"/>
                <wp:docPr id="11" name="Rectangle 11"/>
                <wp:cNvGraphicFramePr/>
                <a:graphic xmlns:a="http://schemas.openxmlformats.org/drawingml/2006/main">
                  <a:graphicData uri="http://schemas.microsoft.com/office/word/2010/wordprocessingShape">
                    <wps:wsp>
                      <wps:cNvSpPr/>
                      <wps:spPr>
                        <a:xfrm>
                          <a:off x="0" y="0"/>
                          <a:ext cx="723900" cy="4000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49EAB" w14:textId="77777777" w:rsidR="00AD0A26" w:rsidRPr="008632CC" w:rsidRDefault="00AD0A26" w:rsidP="008632CC">
                            <w:pPr>
                              <w:jc w:val="center"/>
                              <w:rPr>
                                <w:color w:val="000000" w:themeColor="text1"/>
                                <w:sz w:val="20"/>
                                <w:szCs w:val="20"/>
                                <w:lang w:val="en-GB"/>
                              </w:rPr>
                            </w:pPr>
                            <w:r w:rsidRPr="008632CC">
                              <w:rPr>
                                <w:color w:val="000000" w:themeColor="text1"/>
                                <w:sz w:val="20"/>
                                <w:szCs w:val="20"/>
                                <w:lang w:val="en-GB"/>
                              </w:rPr>
                              <w:t>Event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03FB4D" id="Rectangle 11" o:spid="_x0000_s1027" style="position:absolute;margin-left:279pt;margin-top:.7pt;width:57pt;height:3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" fillcolor="white [3212]" strokecolor="white [3212]" strokeweight="1pt">
                <v:textbox>
                  <w:txbxContent>
                    <w:p w14:paraId="2D349EAB" w14:textId="77777777" w:rsidR="00AD0A26" w:rsidRPr="008632CC" w:rsidRDefault="00AD0A26" w:rsidP="008632CC">
                      <w:pPr>
                        <w:jc w:val="center"/>
                        <w:rPr>
                          <w:color w:val="000000" w:themeColor="text1"/>
                          <w:sz w:val="20"/>
                          <w:szCs w:val="20"/>
                          <w:lang w:val="en-GB"/>
                        </w:rPr>
                      </w:pPr>
                      <w:r w:rsidRPr="008632CC">
                        <w:rPr>
                          <w:color w:val="000000" w:themeColor="text1"/>
                          <w:sz w:val="20"/>
                          <w:szCs w:val="20"/>
                          <w:lang w:val="en-GB"/>
                        </w:rPr>
                        <w:t>Event Window</w:t>
                      </w:r>
                    </w:p>
                  </w:txbxContent>
                </v:textbox>
                <w10:wrap type="square"/>
              </v:rect>
            </w:pict>
          </mc:Fallback>
        </mc:AlternateContent>
      </w:r>
      <w:r>
        <w:rPr>
          <w:noProof/>
          <w:lang w:val="en-GB"/>
        </w:rPr>
        <mc:AlternateContent>
          <mc:Choice Requires="wps">
            <w:drawing>
              <wp:anchor distT="0" distB="0" distL="114300" distR="114300" simplePos="0" relativeHeight="251669504" behindDoc="0" locked="0" layoutInCell="1" allowOverlap="1" wp14:anchorId="0882D145" wp14:editId="1DA2F3B9">
                <wp:simplePos x="0" y="0"/>
                <wp:positionH relativeFrom="column">
                  <wp:posOffset>2311400</wp:posOffset>
                </wp:positionH>
                <wp:positionV relativeFrom="paragraph">
                  <wp:posOffset>34925</wp:posOffset>
                </wp:positionV>
                <wp:extent cx="889000" cy="2667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889000"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1B977" w14:textId="77777777" w:rsidR="00AD0A26" w:rsidRPr="008632CC" w:rsidRDefault="00AD0A26" w:rsidP="008632CC">
                            <w:pPr>
                              <w:jc w:val="center"/>
                              <w:rPr>
                                <w:color w:val="000000" w:themeColor="text1"/>
                                <w:lang w:val="en-GB"/>
                              </w:rPr>
                            </w:pPr>
                            <w:r>
                              <w:rPr>
                                <w:color w:val="000000" w:themeColor="text1"/>
                                <w:lang w:val="en-GB"/>
                              </w:rPr>
                              <w:t>(Neglected)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82D145" id="Rectangle 1" o:spid="_x0000_s1028" style="position:absolute;margin-left:182pt;margin-top:2.75pt;width:70pt;height:2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" fillcolor="white [3212]" strokecolor="white [3212]" strokeweight="1pt">
                <v:textbox>
                  <w:txbxContent>
                    <w:p w14:paraId="67A1B977" w14:textId="77777777" w:rsidR="00AD0A26" w:rsidRPr="008632CC" w:rsidRDefault="00AD0A26" w:rsidP="008632CC">
                      <w:pPr>
                        <w:jc w:val="center"/>
                        <w:rPr>
                          <w:color w:val="000000" w:themeColor="text1"/>
                          <w:lang w:val="en-GB"/>
                        </w:rPr>
                      </w:pPr>
                      <w:r>
                        <w:rPr>
                          <w:color w:val="000000" w:themeColor="text1"/>
                          <w:lang w:val="en-GB"/>
                        </w:rPr>
                        <w:t>(Neglected)</w:t>
                      </w:r>
                    </w:p>
                  </w:txbxContent>
                </v:textbox>
              </v:rect>
            </w:pict>
          </mc:Fallback>
        </mc:AlternateContent>
      </w:r>
    </w:p>
    <w:p w14:paraId="39780DC2" w14:textId="77777777" w:rsidR="00B55565" w:rsidRDefault="00393043" w:rsidP="00F1283F">
      <w:pPr>
        <w:rPr>
          <w:lang w:val="en-GB"/>
        </w:rPr>
      </w:pPr>
      <w:r>
        <w:rPr>
          <w:noProof/>
          <w:lang w:val="en-GB"/>
        </w:rPr>
        <mc:AlternateContent>
          <mc:Choice Requires="wps">
            <w:drawing>
              <wp:anchor distT="0" distB="0" distL="114300" distR="114300" simplePos="0" relativeHeight="251666432" behindDoc="0" locked="0" layoutInCell="1" allowOverlap="1" wp14:anchorId="0F6CC7C4" wp14:editId="5B386F96">
                <wp:simplePos x="0" y="0"/>
                <wp:positionH relativeFrom="column">
                  <wp:posOffset>4464050</wp:posOffset>
                </wp:positionH>
                <wp:positionV relativeFrom="paragraph">
                  <wp:posOffset>148590</wp:posOffset>
                </wp:positionV>
                <wp:extent cx="0" cy="222250"/>
                <wp:effectExtent l="0" t="0" r="38100" b="25400"/>
                <wp:wrapNone/>
                <wp:docPr id="6" name="Straight Connector 6"/>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5EE5EE"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51.5pt,11.7pt" to="351.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" strokecolor="black [3200]" strokeweight="1.5pt">
                <v:stroke joinstyle="miter"/>
              </v:line>
            </w:pict>
          </mc:Fallback>
        </mc:AlternateContent>
      </w:r>
      <w:r>
        <w:rPr>
          <w:noProof/>
          <w:lang w:val="en-GB"/>
        </w:rPr>
        <mc:AlternateContent>
          <mc:Choice Requires="wps">
            <w:drawing>
              <wp:anchor distT="0" distB="0" distL="114300" distR="114300" simplePos="0" relativeHeight="251664384" behindDoc="0" locked="0" layoutInCell="1" allowOverlap="1" wp14:anchorId="1F1DAEFA" wp14:editId="50CE6C5C">
                <wp:simplePos x="0" y="0"/>
                <wp:positionH relativeFrom="column">
                  <wp:posOffset>3327400</wp:posOffset>
                </wp:positionH>
                <wp:positionV relativeFrom="paragraph">
                  <wp:posOffset>154940</wp:posOffset>
                </wp:positionV>
                <wp:extent cx="0" cy="222250"/>
                <wp:effectExtent l="0" t="0" r="38100" b="25400"/>
                <wp:wrapNone/>
                <wp:docPr id="5" name="Straight Connector 5"/>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9E720B"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62pt,12.2pt" to="262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" strokecolor="black [3200]" strokeweight="1.5pt">
                <v:stroke joinstyle="miter"/>
              </v:line>
            </w:pict>
          </mc:Fallback>
        </mc:AlternateContent>
      </w:r>
      <w:r>
        <w:rPr>
          <w:noProof/>
          <w:lang w:val="en-GB"/>
        </w:rPr>
        <mc:AlternateContent>
          <mc:Choice Requires="wps">
            <w:drawing>
              <wp:anchor distT="0" distB="0" distL="114300" distR="114300" simplePos="0" relativeHeight="251659264" behindDoc="0" locked="0" layoutInCell="1" allowOverlap="1" wp14:anchorId="1A1FE076" wp14:editId="53F2DCF1">
                <wp:simplePos x="0" y="0"/>
                <wp:positionH relativeFrom="margin">
                  <wp:align>center</wp:align>
                </wp:positionH>
                <wp:positionV relativeFrom="paragraph">
                  <wp:posOffset>250190</wp:posOffset>
                </wp:positionV>
                <wp:extent cx="4635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635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8F7CAC"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9.7pt" to="36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" strokecolor="black [3200]" strokeweight="1.5pt">
                <v:stroke joinstyle="miter"/>
                <w10:wrap anchorx="margin"/>
              </v:line>
            </w:pict>
          </mc:Fallback>
        </mc:AlternateContent>
      </w:r>
      <w:r>
        <w:rPr>
          <w:noProof/>
          <w:lang w:val="en-GB"/>
        </w:rPr>
        <mc:AlternateContent>
          <mc:Choice Requires="wps">
            <w:drawing>
              <wp:anchor distT="0" distB="0" distL="114300" distR="114300" simplePos="0" relativeHeight="251662336" behindDoc="0" locked="0" layoutInCell="1" allowOverlap="1" wp14:anchorId="2712EDBB" wp14:editId="1C36F328">
                <wp:simplePos x="0" y="0"/>
                <wp:positionH relativeFrom="column">
                  <wp:posOffset>2127250</wp:posOffset>
                </wp:positionH>
                <wp:positionV relativeFrom="paragraph">
                  <wp:posOffset>154940</wp:posOffset>
                </wp:positionV>
                <wp:extent cx="0" cy="222250"/>
                <wp:effectExtent l="0" t="0" r="38100" b="25400"/>
                <wp:wrapNone/>
                <wp:docPr id="4" name="Straight Connector 4"/>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BFB8FA"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7.5pt,12.2pt" to="16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" strokecolor="black [3200]" strokeweight="1.5pt">
                <v:stroke joinstyle="miter"/>
              </v:line>
            </w:pict>
          </mc:Fallback>
        </mc:AlternateContent>
      </w:r>
      <w:r>
        <w:rPr>
          <w:noProof/>
          <w:lang w:val="en-GB"/>
        </w:rPr>
        <mc:AlternateContent>
          <mc:Choice Requires="wps">
            <w:drawing>
              <wp:anchor distT="0" distB="0" distL="114300" distR="114300" simplePos="0" relativeHeight="251660288" behindDoc="0" locked="0" layoutInCell="1" allowOverlap="1" wp14:anchorId="031AFF4E" wp14:editId="3DC10889">
                <wp:simplePos x="0" y="0"/>
                <wp:positionH relativeFrom="column">
                  <wp:posOffset>1028700</wp:posOffset>
                </wp:positionH>
                <wp:positionV relativeFrom="paragraph">
                  <wp:posOffset>148590</wp:posOffset>
                </wp:positionV>
                <wp:extent cx="0" cy="222250"/>
                <wp:effectExtent l="0" t="0" r="38100" b="25400"/>
                <wp:wrapNone/>
                <wp:docPr id="3" name="Straight Connector 3"/>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11CF12"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1pt,11.7pt" to="81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" strokecolor="black [3200]" strokeweight="1.5pt">
                <v:stroke joinstyle="miter"/>
              </v:line>
            </w:pict>
          </mc:Fallback>
        </mc:AlternateContent>
      </w:r>
    </w:p>
    <w:p w14:paraId="4DB4B0EE" w14:textId="77777777" w:rsidR="00B55565" w:rsidRDefault="00094F21" w:rsidP="00F1283F">
      <w:pPr>
        <w:rPr>
          <w:lang w:val="en-GB"/>
        </w:rPr>
      </w:pPr>
      <w:r>
        <w:rPr>
          <w:noProof/>
          <w:lang w:val="en-GB"/>
        </w:rPr>
        <mc:AlternateContent>
          <mc:Choice Requires="wps">
            <w:drawing>
              <wp:anchor distT="0" distB="0" distL="114300" distR="114300" simplePos="0" relativeHeight="251667456" behindDoc="0" locked="0" layoutInCell="1" allowOverlap="1" wp14:anchorId="31714843" wp14:editId="61EE10AC">
                <wp:simplePos x="0" y="0"/>
                <wp:positionH relativeFrom="column">
                  <wp:posOffset>666750</wp:posOffset>
                </wp:positionH>
                <wp:positionV relativeFrom="paragraph">
                  <wp:posOffset>116840</wp:posOffset>
                </wp:positionV>
                <wp:extent cx="723900" cy="2667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723900"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DD1D3D" w14:textId="77777777" w:rsidR="00AD0A26" w:rsidRPr="008632CC" w:rsidRDefault="00AD0A26" w:rsidP="008632CC">
                            <w:pPr>
                              <w:jc w:val="center"/>
                              <w:rPr>
                                <w:color w:val="000000" w:themeColor="text1"/>
                                <w:sz w:val="20"/>
                                <w:szCs w:val="20"/>
                                <w:lang w:val="en-GB"/>
                              </w:rPr>
                            </w:pPr>
                            <w:r>
                              <w:rPr>
                                <w:color w:val="000000" w:themeColor="text1"/>
                                <w:lang w:val="en-GB"/>
                              </w:rPr>
                              <w:t>-</w:t>
                            </w:r>
                            <w:r w:rsidRPr="008632CC">
                              <w:rPr>
                                <w:color w:val="000000" w:themeColor="text1"/>
                                <w:lang w:val="en-GB"/>
                              </w:rPr>
                              <w:t>150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714843" id="Rectangle 36" o:spid="_x0000_s1029" style="position:absolute;margin-left:52.5pt;margin-top:9.2pt;width:57pt;height:2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" fillcolor="white [3212]" strokecolor="white [3212]" strokeweight="1pt">
                <v:textbox>
                  <w:txbxContent>
                    <w:p w14:paraId="52DD1D3D" w14:textId="77777777" w:rsidR="00AD0A26" w:rsidRPr="008632CC" w:rsidRDefault="00AD0A26" w:rsidP="008632CC">
                      <w:pPr>
                        <w:jc w:val="center"/>
                        <w:rPr>
                          <w:color w:val="000000" w:themeColor="text1"/>
                          <w:sz w:val="20"/>
                          <w:szCs w:val="20"/>
                          <w:lang w:val="en-GB"/>
                        </w:rPr>
                      </w:pPr>
                      <w:r>
                        <w:rPr>
                          <w:color w:val="000000" w:themeColor="text1"/>
                          <w:lang w:val="en-GB"/>
                        </w:rPr>
                        <w:t>-</w:t>
                      </w:r>
                      <w:r w:rsidRPr="008632CC">
                        <w:rPr>
                          <w:color w:val="000000" w:themeColor="text1"/>
                          <w:lang w:val="en-GB"/>
                        </w:rPr>
                        <w:t>150</w:t>
                      </w:r>
                    </w:p>
                  </w:txbxContent>
                </v:textbox>
              </v:rect>
            </w:pict>
          </mc:Fallback>
        </mc:AlternateContent>
      </w:r>
      <w:r>
        <w:rPr>
          <w:noProof/>
          <w:lang w:val="en-GB"/>
        </w:rPr>
        <mc:AlternateContent>
          <mc:Choice Requires="wps">
            <w:drawing>
              <wp:anchor distT="0" distB="0" distL="114300" distR="114300" simplePos="0" relativeHeight="251671552" behindDoc="0" locked="0" layoutInCell="1" allowOverlap="1" wp14:anchorId="05028AA1" wp14:editId="4D8CE46E">
                <wp:simplePos x="0" y="0"/>
                <wp:positionH relativeFrom="column">
                  <wp:posOffset>4108450</wp:posOffset>
                </wp:positionH>
                <wp:positionV relativeFrom="paragraph">
                  <wp:posOffset>116840</wp:posOffset>
                </wp:positionV>
                <wp:extent cx="723900" cy="2667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723900"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C89C6A" w14:textId="77777777" w:rsidR="00AD0A26" w:rsidRPr="008632CC" w:rsidRDefault="00AD0A26" w:rsidP="008632CC">
                            <w:pPr>
                              <w:jc w:val="center"/>
                              <w:rPr>
                                <w:color w:val="000000" w:themeColor="text1"/>
                                <w:lang w:val="en-GB"/>
                              </w:rPr>
                            </w:pPr>
                            <w:r>
                              <w:rPr>
                                <w:color w:val="000000" w:themeColor="text1"/>
                                <w:lang w:val="en-G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28AA1" id="Rectangle 7" o:spid="_x0000_s1030" style="position:absolute;margin-left:323.5pt;margin-top:9.2pt;width:57pt;height:2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" fillcolor="white [3212]" strokecolor="white [3212]" strokeweight="1pt">
                <v:textbox>
                  <w:txbxContent>
                    <w:p w14:paraId="26C89C6A" w14:textId="77777777" w:rsidR="00AD0A26" w:rsidRPr="008632CC" w:rsidRDefault="00AD0A26" w:rsidP="008632CC">
                      <w:pPr>
                        <w:jc w:val="center"/>
                        <w:rPr>
                          <w:color w:val="000000" w:themeColor="text1"/>
                          <w:lang w:val="en-GB"/>
                        </w:rPr>
                      </w:pPr>
                      <w:r>
                        <w:rPr>
                          <w:color w:val="000000" w:themeColor="text1"/>
                          <w:lang w:val="en-GB"/>
                        </w:rPr>
                        <w:t>5</w:t>
                      </w:r>
                    </w:p>
                  </w:txbxContent>
                </v:textbox>
              </v:rect>
            </w:pict>
          </mc:Fallback>
        </mc:AlternateContent>
      </w:r>
      <w:r>
        <w:rPr>
          <w:noProof/>
          <w:lang w:val="en-GB"/>
        </w:rPr>
        <mc:AlternateContent>
          <mc:Choice Requires="wps">
            <w:drawing>
              <wp:anchor distT="0" distB="0" distL="114300" distR="114300" simplePos="0" relativeHeight="251673600" behindDoc="0" locked="0" layoutInCell="1" allowOverlap="1" wp14:anchorId="312434AA" wp14:editId="55053C64">
                <wp:simplePos x="0" y="0"/>
                <wp:positionH relativeFrom="column">
                  <wp:posOffset>2978150</wp:posOffset>
                </wp:positionH>
                <wp:positionV relativeFrom="paragraph">
                  <wp:posOffset>116840</wp:posOffset>
                </wp:positionV>
                <wp:extent cx="723900" cy="2667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723900"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D37F02" w14:textId="77777777" w:rsidR="00AD0A26" w:rsidRPr="008632CC" w:rsidRDefault="00AD0A26" w:rsidP="008632CC">
                            <w:pPr>
                              <w:jc w:val="center"/>
                              <w:rPr>
                                <w:color w:val="000000" w:themeColor="text1"/>
                                <w:lang w:val="en-GB"/>
                              </w:rPr>
                            </w:pPr>
                            <w:r>
                              <w:rPr>
                                <w:color w:val="000000" w:themeColor="text1"/>
                                <w:lang w:val="en-GB"/>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434AA" id="Rectangle 8" o:spid="_x0000_s1031" style="position:absolute;margin-left:234.5pt;margin-top:9.2pt;width:57pt;height:2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" fillcolor="white [3212]" strokecolor="white [3212]" strokeweight="1pt">
                <v:textbox>
                  <w:txbxContent>
                    <w:p w14:paraId="29D37F02" w14:textId="77777777" w:rsidR="00AD0A26" w:rsidRPr="008632CC" w:rsidRDefault="00AD0A26" w:rsidP="008632CC">
                      <w:pPr>
                        <w:jc w:val="center"/>
                        <w:rPr>
                          <w:color w:val="000000" w:themeColor="text1"/>
                          <w:lang w:val="en-GB"/>
                        </w:rPr>
                      </w:pPr>
                      <w:r>
                        <w:rPr>
                          <w:color w:val="000000" w:themeColor="text1"/>
                          <w:lang w:val="en-GB"/>
                        </w:rPr>
                        <w:t>0</w:t>
                      </w:r>
                    </w:p>
                  </w:txbxContent>
                </v:textbox>
              </v:rect>
            </w:pict>
          </mc:Fallback>
        </mc:AlternateContent>
      </w:r>
      <w:r>
        <w:rPr>
          <w:noProof/>
          <w:lang w:val="en-GB"/>
        </w:rPr>
        <mc:AlternateContent>
          <mc:Choice Requires="wps">
            <w:drawing>
              <wp:anchor distT="0" distB="0" distL="114300" distR="114300" simplePos="0" relativeHeight="251675648" behindDoc="0" locked="0" layoutInCell="1" allowOverlap="1" wp14:anchorId="44EAB1FA" wp14:editId="7ABAA200">
                <wp:simplePos x="0" y="0"/>
                <wp:positionH relativeFrom="column">
                  <wp:posOffset>1758950</wp:posOffset>
                </wp:positionH>
                <wp:positionV relativeFrom="paragraph">
                  <wp:posOffset>123190</wp:posOffset>
                </wp:positionV>
                <wp:extent cx="723900" cy="2667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723900"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3A3590" w14:textId="77777777" w:rsidR="00AD0A26" w:rsidRPr="008632CC" w:rsidRDefault="00AD0A26" w:rsidP="008632CC">
                            <w:pPr>
                              <w:jc w:val="center"/>
                              <w:rPr>
                                <w:color w:val="000000" w:themeColor="text1"/>
                                <w:lang w:val="en-GB"/>
                              </w:rPr>
                            </w:pPr>
                            <w:r w:rsidRPr="0051720A">
                              <w:rPr>
                                <w:color w:val="000000" w:themeColor="text1"/>
                                <w:lang w:val="en-GB"/>
                              </w:rPr>
                              <w:t>-</w:t>
                            </w:r>
                            <w:r>
                              <w:rPr>
                                <w:color w:val="000000" w:themeColor="text1"/>
                                <w:lang w:val="en-GB"/>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AB1FA" id="Rectangle 9" o:spid="_x0000_s1032" style="position:absolute;margin-left:138.5pt;margin-top:9.7pt;width:57pt;height:2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" fillcolor="white [3212]" strokecolor="white [3212]" strokeweight="1pt">
                <v:textbox>
                  <w:txbxContent>
                    <w:p w14:paraId="1C3A3590" w14:textId="77777777" w:rsidR="00AD0A26" w:rsidRPr="008632CC" w:rsidRDefault="00AD0A26" w:rsidP="008632CC">
                      <w:pPr>
                        <w:jc w:val="center"/>
                        <w:rPr>
                          <w:color w:val="000000" w:themeColor="text1"/>
                          <w:lang w:val="en-GB"/>
                        </w:rPr>
                      </w:pPr>
                      <w:r w:rsidRPr="0051720A">
                        <w:rPr>
                          <w:color w:val="000000" w:themeColor="text1"/>
                          <w:lang w:val="en-GB"/>
                        </w:rPr>
                        <w:t>-</w:t>
                      </w:r>
                      <w:r>
                        <w:rPr>
                          <w:color w:val="000000" w:themeColor="text1"/>
                          <w:lang w:val="en-GB"/>
                        </w:rPr>
                        <w:t>50</w:t>
                      </w:r>
                    </w:p>
                  </w:txbxContent>
                </v:textbox>
              </v:rect>
            </w:pict>
          </mc:Fallback>
        </mc:AlternateContent>
      </w:r>
    </w:p>
    <w:p w14:paraId="475C23A1" w14:textId="77777777" w:rsidR="0090106B" w:rsidRDefault="0090106B" w:rsidP="00F1283F">
      <w:pPr>
        <w:rPr>
          <w:lang w:val="en-GB"/>
        </w:rPr>
      </w:pPr>
    </w:p>
    <w:p w14:paraId="27F4720E" w14:textId="2CFC0162" w:rsidR="00FB2F5D" w:rsidRDefault="00377D33" w:rsidP="00F1283F">
      <w:pPr>
        <w:rPr>
          <w:lang w:val="en-GB"/>
        </w:rPr>
      </w:pPr>
      <w:r>
        <w:rPr>
          <w:lang w:val="en-GB"/>
        </w:rPr>
        <w:t xml:space="preserve"> </w:t>
      </w:r>
      <w:r w:rsidR="002D012C">
        <w:rPr>
          <w:lang w:val="en-GB"/>
        </w:rPr>
        <w:t xml:space="preserve"> However</w:t>
      </w:r>
      <w:r w:rsidR="00F434D1">
        <w:rPr>
          <w:lang w:val="en-GB"/>
        </w:rPr>
        <w:t>,</w:t>
      </w:r>
      <w:r w:rsidR="002D012C">
        <w:rPr>
          <w:lang w:val="en-GB"/>
        </w:rPr>
        <w:t xml:space="preserve"> for this event studies, as the interval between all the events were short, only one estimation window is needed for all the events</w:t>
      </w:r>
      <w:r w:rsidR="00A37EC7">
        <w:rPr>
          <w:lang w:val="en-GB"/>
        </w:rPr>
        <w:t xml:space="preserve"> without</w:t>
      </w:r>
      <w:r w:rsidR="00653877">
        <w:rPr>
          <w:lang w:val="en-GB"/>
        </w:rPr>
        <w:t xml:space="preserve"> </w:t>
      </w:r>
      <w:r w:rsidR="00F434D1">
        <w:rPr>
          <w:lang w:val="en-GB"/>
        </w:rPr>
        <w:t xml:space="preserve">statistical </w:t>
      </w:r>
      <w:r w:rsidR="00653877">
        <w:rPr>
          <w:lang w:val="en-GB"/>
        </w:rPr>
        <w:t>bias</w:t>
      </w:r>
      <w:r w:rsidR="002D012C">
        <w:rPr>
          <w:lang w:val="en-GB"/>
        </w:rPr>
        <w:t>.</w:t>
      </w:r>
    </w:p>
    <w:p w14:paraId="67C84386" w14:textId="77777777" w:rsidR="00945A90" w:rsidRDefault="00706F57" w:rsidP="00F1283F">
      <w:pPr>
        <w:rPr>
          <w:lang w:val="en-GB"/>
        </w:rPr>
      </w:pPr>
      <w:r>
        <w:rPr>
          <w:lang w:val="en-GB"/>
        </w:rPr>
        <w:t xml:space="preserve">  </w:t>
      </w:r>
      <w:r w:rsidRPr="00706F57">
        <w:rPr>
          <w:lang w:val="en-GB"/>
        </w:rPr>
        <w:t xml:space="preserve">Log return can be calculated by deducting the natural logged adjusted closing price of a day with the previous day. The predicted return can now be obtained with the market model through regression of the return of stock and market in the estimation window. The market model is a statistical model that assumes the relationship between stock price and the market index are linear correlated. The market model equation for stock </w:t>
      </w:r>
      <w:proofErr w:type="spellStart"/>
      <w:r w:rsidRPr="00706F57">
        <w:rPr>
          <w:lang w:val="en-GB"/>
        </w:rPr>
        <w:t>i</w:t>
      </w:r>
      <w:proofErr w:type="spellEnd"/>
      <w:r w:rsidRPr="00706F57">
        <w:rPr>
          <w:lang w:val="en-GB"/>
        </w:rPr>
        <w:t xml:space="preserve"> is as shown:</w:t>
      </w:r>
    </w:p>
    <w:p w14:paraId="08D34D9D" w14:textId="77777777" w:rsidR="008001B2" w:rsidRDefault="00A11209" w:rsidP="00940BDA">
      <w:pPr>
        <w:jc w:val="center"/>
        <w:rPr>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r>
            <w:rPr>
              <w:rFonts w:ascii="Cambria Math" w:hAnsi="Cambria Math"/>
              <w:lang w:val="en-GB"/>
            </w:rPr>
            <m:t>= α+ β</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m</m:t>
              </m:r>
            </m:sub>
          </m:sSub>
          <m:r>
            <w:rPr>
              <w:rFonts w:ascii="Cambria Math" w:hAnsi="Cambria Math"/>
              <w:lang w:val="en-GB"/>
            </w:rPr>
            <m:t>+ ε</m:t>
          </m:r>
        </m:oMath>
      </m:oMathPara>
    </w:p>
    <w:p w14:paraId="2D554306" w14:textId="77777777" w:rsidR="00206789" w:rsidRDefault="00797647" w:rsidP="00F1283F">
      <w:pPr>
        <w:rPr>
          <w:rFonts w:cstheme="minorHAnsi"/>
          <w:lang w:val="en-GB"/>
        </w:rPr>
      </w:pPr>
      <w:r>
        <w:rPr>
          <w:rFonts w:cstheme="minorHAnsi"/>
          <w:lang w:val="en-GB"/>
        </w:rPr>
        <w:t xml:space="preserve">where </w:t>
      </w:r>
      <w:r>
        <w:rPr>
          <w:lang w:val="en-GB"/>
        </w:rPr>
        <w:t>R</w:t>
      </w:r>
      <w:r>
        <w:rPr>
          <w:vertAlign w:val="subscript"/>
          <w:lang w:val="en-GB"/>
        </w:rPr>
        <w:t>i,</w:t>
      </w:r>
      <w:r>
        <w:rPr>
          <w:lang w:val="en-GB"/>
        </w:rPr>
        <w:t xml:space="preserve"> R</w:t>
      </w:r>
      <w:r>
        <w:rPr>
          <w:vertAlign w:val="subscript"/>
          <w:lang w:val="en-GB"/>
        </w:rPr>
        <w:t>m</w:t>
      </w:r>
      <w:r>
        <w:rPr>
          <w:lang w:val="en-GB"/>
        </w:rPr>
        <w:t xml:space="preserve"> indicate the return of the stock </w:t>
      </w:r>
      <w:proofErr w:type="spellStart"/>
      <w:r w:rsidR="00206789">
        <w:rPr>
          <w:lang w:val="en-GB"/>
        </w:rPr>
        <w:t>i</w:t>
      </w:r>
      <w:proofErr w:type="spellEnd"/>
      <w:r w:rsidR="00206789">
        <w:rPr>
          <w:lang w:val="en-GB"/>
        </w:rPr>
        <w:t xml:space="preserve"> </w:t>
      </w:r>
      <w:r>
        <w:rPr>
          <w:lang w:val="en-GB"/>
        </w:rPr>
        <w:t xml:space="preserve">and the market respectively, </w:t>
      </w:r>
      <w:r>
        <w:rPr>
          <w:rFonts w:cstheme="minorHAnsi"/>
          <w:lang w:val="en-GB"/>
        </w:rPr>
        <w:t>α, β are both parameters and ε is a zero-mean disturbance.</w:t>
      </w:r>
      <w:r w:rsidR="00DA359E">
        <w:rPr>
          <w:rFonts w:cstheme="minorHAnsi"/>
          <w:lang w:val="en-GB"/>
        </w:rPr>
        <w:t xml:space="preserve"> </w:t>
      </w:r>
      <w:r w:rsidR="00726CAA">
        <w:rPr>
          <w:rFonts w:cstheme="minorHAnsi"/>
          <w:lang w:val="en-GB"/>
        </w:rPr>
        <w:t xml:space="preserve">Inserting the market return from the event window to </w:t>
      </w:r>
      <w:r w:rsidR="0021258D">
        <w:rPr>
          <w:rFonts w:cstheme="minorHAnsi"/>
          <w:lang w:val="en-GB"/>
        </w:rPr>
        <w:t>the</w:t>
      </w:r>
      <w:r w:rsidR="00726CAA">
        <w:rPr>
          <w:rFonts w:cstheme="minorHAnsi"/>
          <w:lang w:val="en-GB"/>
        </w:rPr>
        <w:t xml:space="preserve"> regressions’ coefficient</w:t>
      </w:r>
      <w:r w:rsidR="0021258D">
        <w:rPr>
          <w:rFonts w:cstheme="minorHAnsi"/>
          <w:lang w:val="en-GB"/>
        </w:rPr>
        <w:t xml:space="preserve">s create the predicted return of stock price on each day of the event window. </w:t>
      </w:r>
      <w:r w:rsidR="001F45A6">
        <w:rPr>
          <w:rFonts w:cstheme="minorHAnsi"/>
          <w:lang w:val="en-GB"/>
        </w:rPr>
        <w:t xml:space="preserve">Hence the abnormal return </w:t>
      </w:r>
      <w:r w:rsidR="00F27A5D">
        <w:rPr>
          <w:rFonts w:cstheme="minorHAnsi"/>
          <w:lang w:val="en-GB"/>
        </w:rPr>
        <w:t xml:space="preserve">(AR) </w:t>
      </w:r>
      <w:r w:rsidR="001F45A6">
        <w:rPr>
          <w:rFonts w:cstheme="minorHAnsi"/>
          <w:lang w:val="en-GB"/>
        </w:rPr>
        <w:t>can now be computed by deducting the predicted return from the actual return</w:t>
      </w:r>
      <w:r w:rsidR="00186F7F">
        <w:rPr>
          <w:rFonts w:cstheme="minorHAnsi"/>
          <w:lang w:val="en-GB"/>
        </w:rPr>
        <w:t>,</w:t>
      </w:r>
    </w:p>
    <w:p w14:paraId="3AF8FF7E" w14:textId="77777777" w:rsidR="00186F7F" w:rsidRDefault="00A11209" w:rsidP="00F1283F">
      <w:pPr>
        <w:rPr>
          <w:rFonts w:cstheme="minorHAnsi"/>
          <w:lang w:val="en-GB"/>
        </w:rPr>
      </w:pPr>
      <m:oMathPara>
        <m:oMath>
          <m:sSub>
            <m:sSubPr>
              <m:ctrlPr>
                <w:rPr>
                  <w:rFonts w:ascii="Cambria Math" w:hAnsi="Cambria Math" w:cstheme="minorHAnsi"/>
                  <w:i/>
                  <w:lang w:val="en-GB"/>
                </w:rPr>
              </m:ctrlPr>
            </m:sSubPr>
            <m:e>
              <m:acc>
                <m:accPr>
                  <m:ctrlPr>
                    <w:rPr>
                      <w:rFonts w:ascii="Cambria Math" w:hAnsi="Cambria Math" w:cstheme="minorHAnsi"/>
                      <w:i/>
                      <w:lang w:val="en-GB"/>
                    </w:rPr>
                  </m:ctrlPr>
                </m:accPr>
                <m:e>
                  <m:r>
                    <w:rPr>
                      <w:rFonts w:ascii="Cambria Math" w:hAnsi="Cambria Math" w:cstheme="minorHAnsi"/>
                      <w:lang w:val="en-GB"/>
                    </w:rPr>
                    <m:t>AR</m:t>
                  </m:r>
                </m:e>
              </m:acc>
            </m:e>
            <m:sub>
              <m:r>
                <w:rPr>
                  <w:rFonts w:ascii="Cambria Math" w:hAnsi="Cambria Math" w:cstheme="minorHAnsi"/>
                  <w:lang w:val="en-GB"/>
                </w:rPr>
                <m:t>iτ</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iτ</m:t>
              </m:r>
            </m:sub>
          </m:sSub>
          <m:r>
            <w:rPr>
              <w:rFonts w:ascii="Cambria Math" w:hAnsi="Cambria Math" w:cstheme="minorHAnsi"/>
              <w:lang w:val="en-GB"/>
            </w:rPr>
            <m:t xml:space="preserve">- </m:t>
          </m:r>
          <m:sSub>
            <m:sSubPr>
              <m:ctrlPr>
                <w:rPr>
                  <w:rFonts w:ascii="Cambria Math" w:hAnsi="Cambria Math" w:cstheme="minorHAnsi"/>
                  <w:i/>
                  <w:lang w:val="en-GB"/>
                </w:rPr>
              </m:ctrlPr>
            </m:sSubPr>
            <m:e>
              <m:acc>
                <m:accPr>
                  <m:ctrlPr>
                    <w:rPr>
                      <w:rFonts w:ascii="Cambria Math" w:hAnsi="Cambria Math" w:cstheme="minorHAnsi"/>
                      <w:i/>
                      <w:lang w:val="en-GB"/>
                    </w:rPr>
                  </m:ctrlPr>
                </m:accPr>
                <m:e>
                  <m:r>
                    <w:rPr>
                      <w:rFonts w:ascii="Cambria Math" w:hAnsi="Cambria Math" w:cstheme="minorHAnsi"/>
                      <w:lang w:val="en-GB"/>
                    </w:rPr>
                    <m:t>α</m:t>
                  </m:r>
                </m:e>
              </m:acc>
            </m:e>
            <m:sub>
              <m:r>
                <w:rPr>
                  <w:rFonts w:ascii="Cambria Math" w:hAnsi="Cambria Math" w:cstheme="minorHAnsi"/>
                  <w:lang w:val="en-GB"/>
                </w:rPr>
                <m:t>i</m:t>
              </m:r>
            </m:sub>
          </m:sSub>
          <m:r>
            <w:rPr>
              <w:rFonts w:ascii="Cambria Math" w:hAnsi="Cambria Math" w:cstheme="minorHAnsi"/>
              <w:lang w:val="en-GB"/>
            </w:rPr>
            <m:t>-</m:t>
          </m:r>
          <m:sSub>
            <m:sSubPr>
              <m:ctrlPr>
                <w:rPr>
                  <w:rFonts w:ascii="Cambria Math" w:hAnsi="Cambria Math" w:cstheme="minorHAnsi"/>
                  <w:i/>
                  <w:lang w:val="en-GB"/>
                </w:rPr>
              </m:ctrlPr>
            </m:sSubPr>
            <m:e>
              <m:acc>
                <m:accPr>
                  <m:ctrlPr>
                    <w:rPr>
                      <w:rFonts w:ascii="Cambria Math" w:hAnsi="Cambria Math" w:cstheme="minorHAnsi"/>
                      <w:i/>
                      <w:lang w:val="en-GB"/>
                    </w:rPr>
                  </m:ctrlPr>
                </m:accPr>
                <m:e>
                  <m:r>
                    <w:rPr>
                      <w:rFonts w:ascii="Cambria Math" w:hAnsi="Cambria Math" w:cstheme="minorHAnsi"/>
                      <w:lang w:val="en-GB"/>
                    </w:rPr>
                    <m:t>β</m:t>
                  </m:r>
                </m:e>
              </m:acc>
            </m:e>
            <m:sub>
              <m:r>
                <w:rPr>
                  <w:rFonts w:ascii="Cambria Math" w:hAnsi="Cambria Math" w:cstheme="minorHAnsi"/>
                  <w:lang w:val="en-GB"/>
                </w:rPr>
                <m:t>i</m:t>
              </m:r>
            </m:sub>
          </m:sSub>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mτ</m:t>
              </m:r>
            </m:sub>
          </m:sSub>
        </m:oMath>
      </m:oMathPara>
    </w:p>
    <w:p w14:paraId="7D6E5518" w14:textId="77777777" w:rsidR="00186F7F" w:rsidRDefault="00A11209" w:rsidP="00F1283F">
      <w:pPr>
        <w:rPr>
          <w:rFonts w:cstheme="minorHAnsi"/>
          <w:lang w:val="en-GB"/>
        </w:rPr>
      </w:pPr>
      <m:oMath>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iτ</m:t>
            </m:r>
          </m:sub>
        </m:sSub>
      </m:oMath>
      <w:r w:rsidR="00186F7F">
        <w:rPr>
          <w:rFonts w:cstheme="minorHAnsi"/>
          <w:lang w:val="en-GB"/>
        </w:rPr>
        <w:t xml:space="preserve"> and  </w:t>
      </w:r>
      <m:oMath>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mτ</m:t>
            </m:r>
          </m:sub>
        </m:sSub>
      </m:oMath>
      <w:r w:rsidR="00186F7F">
        <w:rPr>
          <w:rFonts w:cstheme="minorHAnsi"/>
          <w:lang w:val="en-GB"/>
        </w:rPr>
        <w:t xml:space="preserve"> are the actual return of stock </w:t>
      </w:r>
      <w:proofErr w:type="spellStart"/>
      <w:r w:rsidR="00186F7F">
        <w:rPr>
          <w:rFonts w:cstheme="minorHAnsi"/>
          <w:lang w:val="en-GB"/>
        </w:rPr>
        <w:t>i</w:t>
      </w:r>
      <w:proofErr w:type="spellEnd"/>
      <w:r w:rsidR="00186F7F">
        <w:rPr>
          <w:rFonts w:cstheme="minorHAnsi"/>
          <w:lang w:val="en-GB"/>
        </w:rPr>
        <w:t xml:space="preserve"> and the market on a </w:t>
      </w:r>
      <w:r w:rsidR="00FE41FB">
        <w:rPr>
          <w:rFonts w:cstheme="minorHAnsi"/>
          <w:lang w:val="en-GB"/>
        </w:rPr>
        <w:t xml:space="preserve">specific </w:t>
      </w:r>
      <w:r w:rsidR="00186F7F">
        <w:rPr>
          <w:rFonts w:cstheme="minorHAnsi"/>
          <w:lang w:val="en-GB"/>
        </w:rPr>
        <w:t xml:space="preserve">day τ in the event window, while </w:t>
      </w:r>
      <m:oMath>
        <m:sSub>
          <m:sSubPr>
            <m:ctrlPr>
              <w:rPr>
                <w:rFonts w:ascii="Cambria Math" w:hAnsi="Cambria Math" w:cstheme="minorHAnsi"/>
                <w:i/>
                <w:lang w:val="en-GB"/>
              </w:rPr>
            </m:ctrlPr>
          </m:sSubPr>
          <m:e>
            <m:acc>
              <m:accPr>
                <m:ctrlPr>
                  <w:rPr>
                    <w:rFonts w:ascii="Cambria Math" w:hAnsi="Cambria Math" w:cstheme="minorHAnsi"/>
                    <w:i/>
                    <w:lang w:val="en-GB"/>
                  </w:rPr>
                </m:ctrlPr>
              </m:accPr>
              <m:e>
                <m:r>
                  <w:rPr>
                    <w:rFonts w:ascii="Cambria Math" w:hAnsi="Cambria Math" w:cstheme="minorHAnsi"/>
                    <w:lang w:val="en-GB"/>
                  </w:rPr>
                  <m:t>α</m:t>
                </m:r>
              </m:e>
            </m:acc>
          </m:e>
          <m:sub>
            <m:r>
              <w:rPr>
                <w:rFonts w:ascii="Cambria Math" w:hAnsi="Cambria Math" w:cstheme="minorHAnsi"/>
                <w:lang w:val="en-GB"/>
              </w:rPr>
              <m:t>i</m:t>
            </m:r>
          </m:sub>
        </m:sSub>
      </m:oMath>
      <w:r w:rsidR="00186F7F">
        <w:rPr>
          <w:rFonts w:cstheme="minorHAnsi"/>
          <w:lang w:val="en-GB"/>
        </w:rPr>
        <w:t xml:space="preserve"> and </w:t>
      </w:r>
      <m:oMath>
        <m:sSub>
          <m:sSubPr>
            <m:ctrlPr>
              <w:rPr>
                <w:rFonts w:ascii="Cambria Math" w:hAnsi="Cambria Math" w:cstheme="minorHAnsi"/>
                <w:i/>
                <w:lang w:val="en-GB"/>
              </w:rPr>
            </m:ctrlPr>
          </m:sSubPr>
          <m:e>
            <m:acc>
              <m:accPr>
                <m:ctrlPr>
                  <w:rPr>
                    <w:rFonts w:ascii="Cambria Math" w:hAnsi="Cambria Math" w:cstheme="minorHAnsi"/>
                    <w:i/>
                    <w:lang w:val="en-GB"/>
                  </w:rPr>
                </m:ctrlPr>
              </m:accPr>
              <m:e>
                <m:r>
                  <w:rPr>
                    <w:rFonts w:ascii="Cambria Math" w:hAnsi="Cambria Math" w:cstheme="minorHAnsi"/>
                    <w:lang w:val="en-GB"/>
                  </w:rPr>
                  <m:t>β</m:t>
                </m:r>
              </m:e>
            </m:acc>
          </m:e>
          <m:sub>
            <m:r>
              <w:rPr>
                <w:rFonts w:ascii="Cambria Math" w:hAnsi="Cambria Math" w:cstheme="minorHAnsi"/>
                <w:lang w:val="en-GB"/>
              </w:rPr>
              <m:t>i</m:t>
            </m:r>
          </m:sub>
        </m:sSub>
        <m:r>
          <w:rPr>
            <w:rFonts w:ascii="Cambria Math" w:hAnsi="Cambria Math" w:cstheme="minorHAnsi"/>
            <w:lang w:val="en-GB"/>
          </w:rPr>
          <m:t xml:space="preserve"> </m:t>
        </m:r>
      </m:oMath>
      <w:r w:rsidR="00186F7F">
        <w:rPr>
          <w:rFonts w:cstheme="minorHAnsi"/>
          <w:lang w:val="en-GB"/>
        </w:rPr>
        <w:t>are parameters from previous regressions.</w:t>
      </w:r>
      <w:r w:rsidR="00206789">
        <w:rPr>
          <w:rFonts w:cstheme="minorHAnsi"/>
          <w:lang w:val="en-GB"/>
        </w:rPr>
        <w:t xml:space="preserve"> </w:t>
      </w:r>
      <w:r w:rsidR="00794EA4">
        <w:rPr>
          <w:rFonts w:cstheme="minorHAnsi"/>
          <w:lang w:val="en-GB"/>
        </w:rPr>
        <w:t xml:space="preserve">Average abnormal return </w:t>
      </w:r>
      <w:r w:rsidR="0038244D">
        <w:rPr>
          <w:rFonts w:cstheme="minorHAnsi"/>
          <w:lang w:val="en-GB"/>
        </w:rPr>
        <w:t>(</w:t>
      </w:r>
      <m:oMath>
        <m:sSub>
          <m:sSubPr>
            <m:ctrlPr>
              <w:rPr>
                <w:rFonts w:ascii="Cambria Math" w:hAnsi="Cambria Math" w:cstheme="minorHAnsi"/>
                <w:i/>
                <w:lang w:val="en-GB"/>
              </w:rPr>
            </m:ctrlPr>
          </m:sSubPr>
          <m:e>
            <m:acc>
              <m:accPr>
                <m:chr m:val="̅"/>
                <m:ctrlPr>
                  <w:rPr>
                    <w:rFonts w:ascii="Cambria Math" w:hAnsi="Cambria Math" w:cstheme="minorHAnsi"/>
                    <w:i/>
                    <w:lang w:val="en-GB"/>
                  </w:rPr>
                </m:ctrlPr>
              </m:accPr>
              <m:e>
                <m:r>
                  <w:rPr>
                    <w:rFonts w:ascii="Cambria Math" w:hAnsi="Cambria Math" w:cstheme="minorHAnsi"/>
                    <w:lang w:val="en-GB"/>
                  </w:rPr>
                  <m:t>AR</m:t>
                </m:r>
              </m:e>
            </m:acc>
          </m:e>
          <m:sub>
            <m:r>
              <w:rPr>
                <w:rFonts w:ascii="Cambria Math" w:hAnsi="Cambria Math" w:cstheme="minorHAnsi"/>
                <w:lang w:val="en-GB"/>
              </w:rPr>
              <m:t>τ</m:t>
            </m:r>
          </m:sub>
        </m:sSub>
      </m:oMath>
      <w:r w:rsidR="0038244D">
        <w:rPr>
          <w:rFonts w:cstheme="minorHAnsi"/>
          <w:lang w:val="en-GB"/>
        </w:rPr>
        <w:t xml:space="preserve">) </w:t>
      </w:r>
      <w:r w:rsidR="00794EA4">
        <w:rPr>
          <w:rFonts w:cstheme="minorHAnsi"/>
          <w:lang w:val="en-GB"/>
        </w:rPr>
        <w:t>can also be computed by summing up all abnormal return on a day and divide it by the number of events</w:t>
      </w:r>
      <w:r w:rsidR="00474BDE">
        <w:rPr>
          <w:rFonts w:cstheme="minorHAnsi"/>
          <w:lang w:val="en-GB"/>
        </w:rPr>
        <w:t xml:space="preserve"> N</w:t>
      </w:r>
      <w:r w:rsidR="00794EA4">
        <w:rPr>
          <w:rFonts w:cstheme="minorHAnsi"/>
          <w:lang w:val="en-GB"/>
        </w:rPr>
        <w:t>.</w:t>
      </w:r>
    </w:p>
    <w:p w14:paraId="0CC36F23" w14:textId="77777777" w:rsidR="00186F7F" w:rsidRDefault="00A11209" w:rsidP="00F1283F">
      <w:pPr>
        <w:rPr>
          <w:rFonts w:cstheme="minorHAnsi"/>
          <w:lang w:val="en-GB"/>
        </w:rPr>
      </w:pPr>
      <m:oMathPara>
        <m:oMath>
          <m:sSub>
            <m:sSubPr>
              <m:ctrlPr>
                <w:rPr>
                  <w:rFonts w:ascii="Cambria Math" w:hAnsi="Cambria Math" w:cstheme="minorHAnsi"/>
                  <w:i/>
                  <w:lang w:val="en-GB"/>
                </w:rPr>
              </m:ctrlPr>
            </m:sSubPr>
            <m:e>
              <m:acc>
                <m:accPr>
                  <m:chr m:val="̅"/>
                  <m:ctrlPr>
                    <w:rPr>
                      <w:rFonts w:ascii="Cambria Math" w:hAnsi="Cambria Math" w:cstheme="minorHAnsi"/>
                      <w:i/>
                      <w:lang w:val="en-GB"/>
                    </w:rPr>
                  </m:ctrlPr>
                </m:accPr>
                <m:e>
                  <m:r>
                    <w:rPr>
                      <w:rFonts w:ascii="Cambria Math" w:hAnsi="Cambria Math" w:cstheme="minorHAnsi"/>
                      <w:lang w:val="en-GB"/>
                    </w:rPr>
                    <m:t>AR</m:t>
                  </m:r>
                </m:e>
              </m:acc>
            </m:e>
            <m:sub>
              <m:r>
                <w:rPr>
                  <w:rFonts w:ascii="Cambria Math" w:hAnsi="Cambria Math" w:cstheme="minorHAnsi"/>
                  <w:lang w:val="en-GB"/>
                </w:rPr>
                <m:t>τ</m:t>
              </m:r>
            </m:sub>
          </m:sSub>
          <m:r>
            <w:rPr>
              <w:rFonts w:ascii="Cambria Math" w:hAnsi="Cambria Math" w:cstheme="minorHAnsi"/>
              <w:lang w:val="en-GB"/>
            </w:rPr>
            <m:t xml:space="preserve">= </m:t>
          </m:r>
          <m:f>
            <m:fPr>
              <m:ctrlPr>
                <w:rPr>
                  <w:rFonts w:ascii="Cambria Math" w:hAnsi="Cambria Math" w:cstheme="minorHAnsi"/>
                  <w:i/>
                  <w:lang w:val="en-GB"/>
                </w:rPr>
              </m:ctrlPr>
            </m:fPr>
            <m:num>
              <m:r>
                <w:rPr>
                  <w:rFonts w:ascii="Cambria Math" w:hAnsi="Cambria Math" w:cstheme="minorHAnsi"/>
                  <w:lang w:val="en-GB"/>
                </w:rPr>
                <m:t>1</m:t>
              </m:r>
            </m:num>
            <m:den>
              <m:r>
                <w:rPr>
                  <w:rFonts w:ascii="Cambria Math" w:hAnsi="Cambria Math" w:cstheme="minorHAnsi"/>
                  <w:lang w:val="en-GB"/>
                </w:rPr>
                <m:t>N</m:t>
              </m:r>
            </m:den>
          </m:f>
          <m:nary>
            <m:naryPr>
              <m:chr m:val="∑"/>
              <m:limLoc m:val="undOvr"/>
              <m:ctrlPr>
                <w:rPr>
                  <w:rFonts w:ascii="Cambria Math" w:hAnsi="Cambria Math" w:cstheme="minorHAnsi"/>
                  <w:i/>
                  <w:lang w:val="en-GB"/>
                </w:rPr>
              </m:ctrlPr>
            </m:naryPr>
            <m:sub>
              <m:r>
                <w:rPr>
                  <w:rFonts w:ascii="Cambria Math" w:hAnsi="Cambria Math" w:cstheme="minorHAnsi"/>
                  <w:lang w:val="en-GB"/>
                </w:rPr>
                <m:t>i=1</m:t>
              </m:r>
            </m:sub>
            <m:sup>
              <m:r>
                <w:rPr>
                  <w:rFonts w:ascii="Cambria Math" w:hAnsi="Cambria Math" w:cstheme="minorHAnsi"/>
                  <w:lang w:val="en-GB"/>
                </w:rPr>
                <m:t>N</m:t>
              </m:r>
            </m:sup>
            <m:e>
              <m:sSub>
                <m:sSubPr>
                  <m:ctrlPr>
                    <w:rPr>
                      <w:rFonts w:ascii="Cambria Math" w:hAnsi="Cambria Math" w:cstheme="minorHAnsi"/>
                      <w:i/>
                      <w:lang w:val="en-GB"/>
                    </w:rPr>
                  </m:ctrlPr>
                </m:sSubPr>
                <m:e>
                  <m:acc>
                    <m:accPr>
                      <m:ctrlPr>
                        <w:rPr>
                          <w:rFonts w:ascii="Cambria Math" w:hAnsi="Cambria Math" w:cstheme="minorHAnsi"/>
                          <w:i/>
                          <w:lang w:val="en-GB"/>
                        </w:rPr>
                      </m:ctrlPr>
                    </m:accPr>
                    <m:e>
                      <m:r>
                        <w:rPr>
                          <w:rFonts w:ascii="Cambria Math" w:hAnsi="Cambria Math" w:cstheme="minorHAnsi"/>
                          <w:lang w:val="en-GB"/>
                        </w:rPr>
                        <m:t>AR</m:t>
                      </m:r>
                    </m:e>
                  </m:acc>
                </m:e>
                <m:sub>
                  <m:r>
                    <w:rPr>
                      <w:rFonts w:ascii="Cambria Math" w:hAnsi="Cambria Math" w:cstheme="minorHAnsi"/>
                      <w:lang w:val="en-GB"/>
                    </w:rPr>
                    <m:t>iτ</m:t>
                  </m:r>
                </m:sub>
              </m:sSub>
            </m:e>
          </m:nary>
        </m:oMath>
      </m:oMathPara>
    </w:p>
    <w:p w14:paraId="408B371B" w14:textId="5ACDD19C" w:rsidR="00DF3BC9" w:rsidRDefault="00794EA4" w:rsidP="00F1283F">
      <w:r>
        <w:rPr>
          <w:rFonts w:cstheme="minorHAnsi"/>
          <w:lang w:val="en-GB"/>
        </w:rPr>
        <w:t xml:space="preserve"> </w:t>
      </w:r>
      <w:r w:rsidR="00377D33">
        <w:rPr>
          <w:rFonts w:cstheme="minorHAnsi"/>
          <w:lang w:val="en-GB"/>
        </w:rPr>
        <w:t xml:space="preserve"> </w:t>
      </w:r>
      <w:r>
        <w:rPr>
          <w:rFonts w:cstheme="minorHAnsi"/>
          <w:lang w:val="en-GB"/>
        </w:rPr>
        <w:t xml:space="preserve">On the other hand, </w:t>
      </w:r>
      <w:r w:rsidR="0038244D">
        <w:rPr>
          <w:rFonts w:cstheme="minorHAnsi"/>
          <w:lang w:val="en-GB"/>
        </w:rPr>
        <w:t>c</w:t>
      </w:r>
      <w:r>
        <w:rPr>
          <w:rFonts w:cstheme="minorHAnsi"/>
          <w:lang w:val="en-GB"/>
        </w:rPr>
        <w:t xml:space="preserve">umulative abnormal return </w:t>
      </w:r>
      <w:r w:rsidR="0038244D">
        <w:rPr>
          <w:rFonts w:cstheme="minorHAnsi"/>
          <w:lang w:val="en-GB"/>
        </w:rPr>
        <w:t xml:space="preserve">(CAR) </w:t>
      </w:r>
      <w:r>
        <w:rPr>
          <w:rFonts w:cstheme="minorHAnsi"/>
          <w:lang w:val="en-GB"/>
        </w:rPr>
        <w:t xml:space="preserve">is the </w:t>
      </w:r>
      <w:r w:rsidR="0038244D">
        <w:rPr>
          <w:rFonts w:cstheme="minorHAnsi"/>
          <w:lang w:val="en-GB"/>
        </w:rPr>
        <w:t xml:space="preserve">sum </w:t>
      </w:r>
      <w:r w:rsidR="00E74C5B">
        <w:rPr>
          <w:rFonts w:cstheme="minorHAnsi"/>
          <w:lang w:val="en-GB"/>
        </w:rPr>
        <w:t xml:space="preserve">of </w:t>
      </w:r>
      <w:r w:rsidR="00917421">
        <w:rPr>
          <w:rFonts w:cstheme="minorHAnsi"/>
          <w:lang w:val="en-GB"/>
        </w:rPr>
        <w:t>included</w:t>
      </w:r>
      <w:r w:rsidR="00E74C5B">
        <w:rPr>
          <w:rFonts w:cstheme="minorHAnsi"/>
          <w:lang w:val="en-GB"/>
        </w:rPr>
        <w:t xml:space="preserve"> </w:t>
      </w:r>
      <w:r w:rsidR="00E700B4">
        <w:rPr>
          <w:rFonts w:cstheme="minorHAnsi"/>
          <w:lang w:val="en-GB"/>
        </w:rPr>
        <w:t>abnormal return</w:t>
      </w:r>
      <w:r w:rsidR="0038244D">
        <w:rPr>
          <w:rFonts w:cstheme="minorHAnsi"/>
          <w:lang w:val="en-GB"/>
        </w:rPr>
        <w:t xml:space="preserve">s in the </w:t>
      </w:r>
      <w:r w:rsidR="00917421">
        <w:rPr>
          <w:rFonts w:cstheme="minorHAnsi"/>
          <w:lang w:val="en-GB"/>
        </w:rPr>
        <w:t>period τ</w:t>
      </w:r>
      <w:r w:rsidR="00917421">
        <w:rPr>
          <w:rFonts w:cstheme="minorHAnsi"/>
          <w:vertAlign w:val="subscript"/>
          <w:lang w:val="en-GB"/>
        </w:rPr>
        <w:t>1</w:t>
      </w:r>
      <w:r w:rsidR="0038244D">
        <w:rPr>
          <w:rFonts w:cstheme="minorHAnsi"/>
          <w:lang w:val="en-GB"/>
        </w:rPr>
        <w:t xml:space="preserve"> </w:t>
      </w:r>
      <w:r w:rsidR="00917421">
        <w:rPr>
          <w:rFonts w:cstheme="minorHAnsi"/>
          <w:lang w:val="en-GB"/>
        </w:rPr>
        <w:t>to τ</w:t>
      </w:r>
      <w:r w:rsidR="00917421">
        <w:rPr>
          <w:rFonts w:cstheme="minorHAnsi"/>
          <w:vertAlign w:val="subscript"/>
          <w:lang w:val="en-GB"/>
        </w:rPr>
        <w:t>2</w:t>
      </w:r>
      <w:r w:rsidR="00917421">
        <w:rPr>
          <w:rFonts w:cstheme="minorHAnsi"/>
          <w:lang w:val="en-GB"/>
        </w:rPr>
        <w:t xml:space="preserve">, where </w:t>
      </w:r>
      <w:r w:rsidR="00917421">
        <w:t>T</w:t>
      </w:r>
      <w:r w:rsidR="00917421">
        <w:rPr>
          <w:vertAlign w:val="subscript"/>
        </w:rPr>
        <w:t>1</w:t>
      </w:r>
      <w:r w:rsidR="00917421">
        <w:t xml:space="preserve"> &lt; τ</w:t>
      </w:r>
      <w:r w:rsidR="00917421">
        <w:rPr>
          <w:vertAlign w:val="subscript"/>
        </w:rPr>
        <w:t>1</w:t>
      </w:r>
      <w:r w:rsidR="00917421">
        <w:t xml:space="preserve"> ≤ τ</w:t>
      </w:r>
      <w:r w:rsidR="00FE41FB">
        <w:rPr>
          <w:vertAlign w:val="subscript"/>
        </w:rPr>
        <w:t xml:space="preserve">2 </w:t>
      </w:r>
      <w:r w:rsidR="00FE41FB">
        <w:t>≤</w:t>
      </w:r>
      <w:r w:rsidR="00917421">
        <w:t xml:space="preserve"> T</w:t>
      </w:r>
      <w:r w:rsidR="00917421">
        <w:rPr>
          <w:vertAlign w:val="subscript"/>
        </w:rPr>
        <w:t>2</w:t>
      </w:r>
      <w:r w:rsidR="00D81E6A">
        <w:t xml:space="preserve">. </w:t>
      </w:r>
    </w:p>
    <w:p w14:paraId="37CDD2C9" w14:textId="77777777" w:rsidR="00DF3BC9" w:rsidRDefault="00A11209" w:rsidP="00F1283F">
      <m:oMathPara>
        <m:oMath>
          <m:acc>
            <m:accPr>
              <m:ctrlPr>
                <w:rPr>
                  <w:rFonts w:ascii="Cambria Math" w:hAnsi="Cambria Math" w:cstheme="minorHAnsi"/>
                  <w:i/>
                  <w:lang w:val="en-GB"/>
                </w:rPr>
              </m:ctrlPr>
            </m:accPr>
            <m:e>
              <m:r>
                <w:rPr>
                  <w:rFonts w:ascii="Cambria Math" w:hAnsi="Cambria Math" w:cstheme="minorHAnsi"/>
                  <w:lang w:val="en-GB"/>
                </w:rPr>
                <m:t>CAR</m:t>
              </m:r>
            </m:e>
          </m:acc>
          <m:r>
            <w:rPr>
              <w:rFonts w:ascii="Cambria Math" w:hAnsi="Cambria Math" w:cstheme="minorHAnsi"/>
              <w:lang w:val="en-GB"/>
            </w:rPr>
            <m:t>(</m:t>
          </m:r>
          <m:sSub>
            <m:sSubPr>
              <m:ctrlPr>
                <w:rPr>
                  <w:rFonts w:ascii="Cambria Math" w:hAnsi="Cambria Math"/>
                </w:rPr>
              </m:ctrlPr>
            </m:sSubPr>
            <m:e>
              <m:r>
                <m:rPr>
                  <m:sty m:val="p"/>
                </m:rPr>
                <w:rPr>
                  <w:rFonts w:ascii="Cambria Math" w:hAnsi="Cambria Math"/>
                </w:rPr>
                <m:t>τ</m:t>
              </m:r>
            </m:e>
            <m:sub>
              <m:r>
                <w:rPr>
                  <w:rFonts w:ascii="Cambria Math" w:hAnsi="Cambria Math"/>
                </w:rPr>
                <m:t>1</m:t>
              </m:r>
            </m:sub>
          </m:sSub>
          <m:sSub>
            <m:sSubPr>
              <m:ctrlPr>
                <w:rPr>
                  <w:rFonts w:ascii="Cambria Math" w:hAnsi="Cambria Math"/>
                </w:rPr>
              </m:ctrlPr>
            </m:sSubPr>
            <m:e>
              <m:r>
                <m:rPr>
                  <m:sty m:val="p"/>
                </m:rPr>
                <w:rPr>
                  <w:rFonts w:ascii="Cambria Math" w:hAnsi="Cambria Math"/>
                </w:rPr>
                <m:t>,τ</m:t>
              </m:r>
            </m:e>
            <m:sub>
              <m:r>
                <w:rPr>
                  <w:rFonts w:ascii="Cambria Math" w:hAnsi="Cambria Math"/>
                </w:rPr>
                <m:t>2</m:t>
              </m:r>
            </m:sub>
          </m:sSub>
          <m:r>
            <w:rPr>
              <w:rFonts w:ascii="Cambria Math" w:hAnsi="Cambria Math" w:cstheme="minorHAnsi"/>
              <w:lang w:val="en-GB"/>
            </w:rPr>
            <m:t>)=</m:t>
          </m:r>
          <m:nary>
            <m:naryPr>
              <m:chr m:val="∑"/>
              <m:limLoc m:val="undOvr"/>
              <m:ctrlPr>
                <w:rPr>
                  <w:rFonts w:ascii="Cambria Math" w:hAnsi="Cambria Math" w:cstheme="minorHAnsi"/>
                  <w:i/>
                  <w:lang w:val="en-GB"/>
                </w:rPr>
              </m:ctrlPr>
            </m:naryPr>
            <m:sub>
              <m:sSub>
                <m:sSubPr>
                  <m:ctrlPr>
                    <w:rPr>
                      <w:rFonts w:ascii="Cambria Math" w:hAnsi="Cambria Math"/>
                    </w:rPr>
                  </m:ctrlPr>
                </m:sSubPr>
                <m:e>
                  <m:r>
                    <m:rPr>
                      <m:sty m:val="p"/>
                    </m:rPr>
                    <w:rPr>
                      <w:rFonts w:ascii="Cambria Math" w:hAnsi="Cambria Math"/>
                    </w:rPr>
                    <m:t>τ=τ</m:t>
                  </m:r>
                </m:e>
                <m:sub>
                  <m:r>
                    <w:rPr>
                      <w:rFonts w:ascii="Cambria Math" w:hAnsi="Cambria Math"/>
                    </w:rPr>
                    <m:t>1</m:t>
                  </m:r>
                </m:sub>
              </m:sSub>
              <m:r>
                <m:rPr>
                  <m:sty m:val="p"/>
                </m:rPr>
                <w:rPr>
                  <w:rFonts w:ascii="Cambria Math" w:hAnsi="Cambria Math"/>
                  <w:vertAlign w:val="subscript"/>
                </w:rPr>
                <m:t xml:space="preserve"> </m:t>
              </m:r>
            </m:sub>
            <m:sup>
              <m:sSub>
                <m:sSubPr>
                  <m:ctrlPr>
                    <w:rPr>
                      <w:rFonts w:ascii="Cambria Math" w:hAnsi="Cambria Math"/>
                    </w:rPr>
                  </m:ctrlPr>
                </m:sSubPr>
                <m:e>
                  <m:r>
                    <m:rPr>
                      <m:sty m:val="p"/>
                    </m:rPr>
                    <w:rPr>
                      <w:rFonts w:ascii="Cambria Math" w:hAnsi="Cambria Math"/>
                    </w:rPr>
                    <m:t>τ</m:t>
                  </m:r>
                </m:e>
                <m:sub>
                  <m:r>
                    <w:rPr>
                      <w:rFonts w:ascii="Cambria Math" w:hAnsi="Cambria Math"/>
                    </w:rPr>
                    <m:t>2</m:t>
                  </m:r>
                </m:sub>
              </m:sSub>
              <m:r>
                <m:rPr>
                  <m:sty m:val="p"/>
                </m:rPr>
                <w:rPr>
                  <w:rFonts w:ascii="Cambria Math" w:hAnsi="Cambria Math"/>
                  <w:vertAlign w:val="subscript"/>
                </w:rPr>
                <m:t xml:space="preserve"> </m:t>
              </m:r>
            </m:sup>
            <m:e>
              <m:sSub>
                <m:sSubPr>
                  <m:ctrlPr>
                    <w:rPr>
                      <w:rFonts w:ascii="Cambria Math" w:hAnsi="Cambria Math" w:cstheme="minorHAnsi"/>
                      <w:i/>
                      <w:lang w:val="en-GB"/>
                    </w:rPr>
                  </m:ctrlPr>
                </m:sSubPr>
                <m:e>
                  <m:acc>
                    <m:accPr>
                      <m:ctrlPr>
                        <w:rPr>
                          <w:rFonts w:ascii="Cambria Math" w:hAnsi="Cambria Math" w:cstheme="minorHAnsi"/>
                          <w:i/>
                          <w:lang w:val="en-GB"/>
                        </w:rPr>
                      </m:ctrlPr>
                    </m:accPr>
                    <m:e>
                      <m:r>
                        <w:rPr>
                          <w:rFonts w:ascii="Cambria Math" w:hAnsi="Cambria Math" w:cstheme="minorHAnsi"/>
                          <w:lang w:val="en-GB"/>
                        </w:rPr>
                        <m:t>AR</m:t>
                      </m:r>
                    </m:e>
                  </m:acc>
                </m:e>
                <m:sub>
                  <m:r>
                    <w:rPr>
                      <w:rFonts w:ascii="Cambria Math" w:hAnsi="Cambria Math" w:cstheme="minorHAnsi"/>
                      <w:lang w:val="en-GB"/>
                    </w:rPr>
                    <m:t>iτ</m:t>
                  </m:r>
                </m:sub>
              </m:sSub>
            </m:e>
          </m:nary>
        </m:oMath>
      </m:oMathPara>
    </w:p>
    <w:p w14:paraId="6E1C49E6" w14:textId="77777777" w:rsidR="00E80927" w:rsidRDefault="00D81E6A" w:rsidP="00F1283F">
      <w:pPr>
        <w:rPr>
          <w:rFonts w:cstheme="minorHAnsi"/>
          <w:lang w:val="en-GB"/>
        </w:rPr>
      </w:pPr>
      <w:r>
        <w:rPr>
          <w:rFonts w:cstheme="minorHAnsi"/>
          <w:lang w:val="en-GB"/>
        </w:rPr>
        <w:t>C</w:t>
      </w:r>
      <w:r w:rsidR="0038244D">
        <w:rPr>
          <w:rFonts w:cstheme="minorHAnsi"/>
          <w:lang w:val="en-GB"/>
        </w:rPr>
        <w:t xml:space="preserve">umulative average abnormal return </w:t>
      </w:r>
      <w:r w:rsidR="00A17AE2">
        <w:rPr>
          <w:rFonts w:cstheme="minorHAnsi"/>
          <w:lang w:val="en-GB"/>
        </w:rPr>
        <w:t>(</w:t>
      </w:r>
      <m:oMath>
        <m:acc>
          <m:accPr>
            <m:chr m:val="̅"/>
            <m:ctrlPr>
              <w:rPr>
                <w:rFonts w:ascii="Cambria Math" w:hAnsi="Cambria Math" w:cstheme="minorHAnsi"/>
                <w:i/>
                <w:lang w:val="en-GB"/>
              </w:rPr>
            </m:ctrlPr>
          </m:accPr>
          <m:e>
            <m:r>
              <w:rPr>
                <w:rFonts w:ascii="Cambria Math" w:hAnsi="Cambria Math" w:cstheme="minorHAnsi"/>
                <w:lang w:val="en-GB"/>
              </w:rPr>
              <m:t>CAR</m:t>
            </m:r>
          </m:e>
        </m:acc>
        <m:r>
          <w:rPr>
            <w:rFonts w:ascii="Cambria Math" w:hAnsi="Cambria Math" w:cstheme="minorHAnsi"/>
            <w:lang w:val="en-GB"/>
          </w:rPr>
          <m:t>)</m:t>
        </m:r>
      </m:oMath>
      <w:r w:rsidR="00A17AE2">
        <w:rPr>
          <w:rFonts w:cstheme="minorHAnsi"/>
          <w:lang w:val="en-GB"/>
        </w:rPr>
        <w:t xml:space="preserve"> </w:t>
      </w:r>
      <w:r w:rsidR="0038244D">
        <w:rPr>
          <w:rFonts w:cstheme="minorHAnsi"/>
          <w:lang w:val="en-GB"/>
        </w:rPr>
        <w:t>is the</w:t>
      </w:r>
      <w:r w:rsidR="00EE416A">
        <w:rPr>
          <w:rFonts w:cstheme="minorHAnsi"/>
          <w:lang w:val="en-GB"/>
        </w:rPr>
        <w:t xml:space="preserve"> sum</w:t>
      </w:r>
      <w:r w:rsidR="0038244D">
        <w:rPr>
          <w:rFonts w:cstheme="minorHAnsi"/>
          <w:lang w:val="en-GB"/>
        </w:rPr>
        <w:t xml:space="preserve"> of all </w:t>
      </w:r>
      <w:r w:rsidR="00EE416A">
        <w:rPr>
          <w:rFonts w:cstheme="minorHAnsi"/>
          <w:lang w:val="en-GB"/>
        </w:rPr>
        <w:t>included AAR</w:t>
      </w:r>
      <w:r w:rsidR="0038244D">
        <w:rPr>
          <w:rFonts w:cstheme="minorHAnsi"/>
          <w:lang w:val="en-GB"/>
        </w:rPr>
        <w:t xml:space="preserve"> </w:t>
      </w:r>
      <w:r w:rsidR="00EE416A">
        <w:rPr>
          <w:rFonts w:cstheme="minorHAnsi"/>
          <w:lang w:val="en-GB"/>
        </w:rPr>
        <w:t>in period τ</w:t>
      </w:r>
      <w:r w:rsidR="00EE416A">
        <w:rPr>
          <w:rFonts w:cstheme="minorHAnsi"/>
          <w:vertAlign w:val="subscript"/>
          <w:lang w:val="en-GB"/>
        </w:rPr>
        <w:t>1</w:t>
      </w:r>
      <w:r w:rsidR="00EE416A">
        <w:rPr>
          <w:rFonts w:cstheme="minorHAnsi"/>
          <w:lang w:val="en-GB"/>
        </w:rPr>
        <w:t xml:space="preserve"> to τ</w:t>
      </w:r>
      <w:r w:rsidR="00EE416A">
        <w:rPr>
          <w:rFonts w:cstheme="minorHAnsi"/>
          <w:vertAlign w:val="subscript"/>
          <w:lang w:val="en-GB"/>
        </w:rPr>
        <w:t>2</w:t>
      </w:r>
      <w:r w:rsidR="0038244D">
        <w:rPr>
          <w:rFonts w:cstheme="minorHAnsi"/>
          <w:lang w:val="en-GB"/>
        </w:rPr>
        <w:t>.</w:t>
      </w:r>
    </w:p>
    <w:p w14:paraId="4E4BF770" w14:textId="77777777" w:rsidR="00E80927" w:rsidRDefault="00A11209" w:rsidP="00F1283F">
      <w:pPr>
        <w:rPr>
          <w:rFonts w:cstheme="minorHAnsi"/>
          <w:lang w:val="en-GB"/>
        </w:rPr>
      </w:pPr>
      <m:oMathPara>
        <m:oMath>
          <m:acc>
            <m:accPr>
              <m:chr m:val="̅"/>
              <m:ctrlPr>
                <w:rPr>
                  <w:rFonts w:ascii="Cambria Math" w:hAnsi="Cambria Math" w:cstheme="minorHAnsi"/>
                  <w:i/>
                  <w:lang w:val="en-GB"/>
                </w:rPr>
              </m:ctrlPr>
            </m:accPr>
            <m:e>
              <m:r>
                <w:rPr>
                  <w:rFonts w:ascii="Cambria Math" w:hAnsi="Cambria Math" w:cstheme="minorHAnsi"/>
                  <w:lang w:val="en-GB"/>
                </w:rPr>
                <m:t>CAR</m:t>
              </m:r>
            </m:e>
          </m:acc>
          <m:r>
            <w:rPr>
              <w:rFonts w:ascii="Cambria Math" w:hAnsi="Cambria Math" w:cstheme="minorHAnsi"/>
              <w:lang w:val="en-GB"/>
            </w:rPr>
            <m:t>(</m:t>
          </m:r>
          <m:sSub>
            <m:sSubPr>
              <m:ctrlPr>
                <w:rPr>
                  <w:rFonts w:ascii="Cambria Math" w:hAnsi="Cambria Math"/>
                </w:rPr>
              </m:ctrlPr>
            </m:sSubPr>
            <m:e>
              <m:r>
                <m:rPr>
                  <m:sty m:val="p"/>
                </m:rPr>
                <w:rPr>
                  <w:rFonts w:ascii="Cambria Math" w:hAnsi="Cambria Math"/>
                </w:rPr>
                <m:t>τ</m:t>
              </m:r>
            </m:e>
            <m:sub>
              <m:r>
                <w:rPr>
                  <w:rFonts w:ascii="Cambria Math" w:hAnsi="Cambria Math"/>
                </w:rPr>
                <m:t>1</m:t>
              </m:r>
            </m:sub>
          </m:sSub>
          <m:sSub>
            <m:sSubPr>
              <m:ctrlPr>
                <w:rPr>
                  <w:rFonts w:ascii="Cambria Math" w:hAnsi="Cambria Math"/>
                </w:rPr>
              </m:ctrlPr>
            </m:sSubPr>
            <m:e>
              <m:r>
                <m:rPr>
                  <m:sty m:val="p"/>
                </m:rPr>
                <w:rPr>
                  <w:rFonts w:ascii="Cambria Math" w:hAnsi="Cambria Math"/>
                </w:rPr>
                <m:t>,τ</m:t>
              </m:r>
            </m:e>
            <m:sub>
              <m:r>
                <w:rPr>
                  <w:rFonts w:ascii="Cambria Math" w:hAnsi="Cambria Math"/>
                </w:rPr>
                <m:t>2</m:t>
              </m:r>
            </m:sub>
          </m:sSub>
          <m:r>
            <w:rPr>
              <w:rFonts w:ascii="Cambria Math" w:hAnsi="Cambria Math" w:cstheme="minorHAnsi"/>
              <w:lang w:val="en-GB"/>
            </w:rPr>
            <m:t>)=</m:t>
          </m:r>
          <m:nary>
            <m:naryPr>
              <m:chr m:val="∑"/>
              <m:limLoc m:val="undOvr"/>
              <m:ctrlPr>
                <w:rPr>
                  <w:rFonts w:ascii="Cambria Math" w:hAnsi="Cambria Math" w:cstheme="minorHAnsi"/>
                  <w:i/>
                  <w:lang w:val="en-GB"/>
                </w:rPr>
              </m:ctrlPr>
            </m:naryPr>
            <m:sub>
              <m:sSub>
                <m:sSubPr>
                  <m:ctrlPr>
                    <w:rPr>
                      <w:rFonts w:ascii="Cambria Math" w:hAnsi="Cambria Math"/>
                    </w:rPr>
                  </m:ctrlPr>
                </m:sSubPr>
                <m:e>
                  <m:r>
                    <m:rPr>
                      <m:sty m:val="p"/>
                    </m:rPr>
                    <w:rPr>
                      <w:rFonts w:ascii="Cambria Math" w:hAnsi="Cambria Math"/>
                    </w:rPr>
                    <m:t>τ=τ</m:t>
                  </m:r>
                </m:e>
                <m:sub>
                  <m:r>
                    <w:rPr>
                      <w:rFonts w:ascii="Cambria Math" w:hAnsi="Cambria Math"/>
                    </w:rPr>
                    <m:t>1</m:t>
                  </m:r>
                </m:sub>
              </m:sSub>
              <m:r>
                <m:rPr>
                  <m:sty m:val="p"/>
                </m:rPr>
                <w:rPr>
                  <w:rFonts w:ascii="Cambria Math" w:hAnsi="Cambria Math"/>
                  <w:vertAlign w:val="subscript"/>
                </w:rPr>
                <m:t xml:space="preserve"> </m:t>
              </m:r>
            </m:sub>
            <m:sup>
              <m:sSub>
                <m:sSubPr>
                  <m:ctrlPr>
                    <w:rPr>
                      <w:rFonts w:ascii="Cambria Math" w:hAnsi="Cambria Math"/>
                    </w:rPr>
                  </m:ctrlPr>
                </m:sSubPr>
                <m:e>
                  <m:r>
                    <m:rPr>
                      <m:sty m:val="p"/>
                    </m:rPr>
                    <w:rPr>
                      <w:rFonts w:ascii="Cambria Math" w:hAnsi="Cambria Math"/>
                    </w:rPr>
                    <m:t>τ</m:t>
                  </m:r>
                </m:e>
                <m:sub>
                  <m:r>
                    <w:rPr>
                      <w:rFonts w:ascii="Cambria Math" w:hAnsi="Cambria Math"/>
                    </w:rPr>
                    <m:t>2</m:t>
                  </m:r>
                </m:sub>
              </m:sSub>
              <m:r>
                <m:rPr>
                  <m:sty m:val="p"/>
                </m:rPr>
                <w:rPr>
                  <w:rFonts w:ascii="Cambria Math" w:hAnsi="Cambria Math"/>
                  <w:vertAlign w:val="subscript"/>
                </w:rPr>
                <m:t xml:space="preserve"> </m:t>
              </m:r>
            </m:sup>
            <m:e>
              <m:sSub>
                <m:sSubPr>
                  <m:ctrlPr>
                    <w:rPr>
                      <w:rFonts w:ascii="Cambria Math" w:hAnsi="Cambria Math" w:cstheme="minorHAnsi"/>
                      <w:i/>
                      <w:lang w:val="en-GB"/>
                    </w:rPr>
                  </m:ctrlPr>
                </m:sSubPr>
                <m:e>
                  <m:acc>
                    <m:accPr>
                      <m:chr m:val="̅"/>
                      <m:ctrlPr>
                        <w:rPr>
                          <w:rFonts w:ascii="Cambria Math" w:hAnsi="Cambria Math" w:cstheme="minorHAnsi"/>
                          <w:i/>
                          <w:lang w:val="en-GB"/>
                        </w:rPr>
                      </m:ctrlPr>
                    </m:accPr>
                    <m:e>
                      <m:r>
                        <w:rPr>
                          <w:rFonts w:ascii="Cambria Math" w:hAnsi="Cambria Math" w:cstheme="minorHAnsi"/>
                          <w:lang w:val="en-GB"/>
                        </w:rPr>
                        <m:t>AR</m:t>
                      </m:r>
                    </m:e>
                  </m:acc>
                </m:e>
                <m:sub>
                  <m:r>
                    <w:rPr>
                      <w:rFonts w:ascii="Cambria Math" w:hAnsi="Cambria Math" w:cstheme="minorHAnsi"/>
                      <w:lang w:val="en-GB"/>
                    </w:rPr>
                    <m:t>iτ</m:t>
                  </m:r>
                </m:sub>
              </m:sSub>
            </m:e>
          </m:nary>
        </m:oMath>
      </m:oMathPara>
    </w:p>
    <w:p w14:paraId="53605954" w14:textId="77777777" w:rsidR="00B5231E" w:rsidRDefault="00706F57" w:rsidP="00F1283F">
      <w:pPr>
        <w:rPr>
          <w:rFonts w:cstheme="minorHAnsi"/>
          <w:lang w:val="en-GB"/>
        </w:rPr>
      </w:pPr>
      <w:r>
        <w:rPr>
          <w:rFonts w:cstheme="minorHAnsi"/>
          <w:lang w:val="en-GB"/>
        </w:rPr>
        <w:lastRenderedPageBreak/>
        <w:t xml:space="preserve">  </w:t>
      </w:r>
      <w:r w:rsidRPr="00706F57">
        <w:rPr>
          <w:rFonts w:cstheme="minorHAnsi"/>
          <w:lang w:val="en-GB"/>
        </w:rPr>
        <w:t>With the null hypothesis of the abnormal returns equals zero, a Student T-test can be implemented to test the significance of the null hypothesises. The t-stat can be composed by dividing the abnormal return by the root mean square error of the regression. By contrast, CAR can be tested by dividing the CAR of the last day in the event window by the product of mean square error and the square root of the length of the event window. For instances, the t-stat of testing the CAAR can be calculated by the following equation.</w:t>
      </w:r>
    </w:p>
    <w:p w14:paraId="324FDCF5" w14:textId="40B157B7" w:rsidR="00B5231E" w:rsidRPr="003826FA" w:rsidRDefault="00B5231E" w:rsidP="00F1283F">
      <w:pPr>
        <w:rPr>
          <w:rFonts w:cstheme="minorHAnsi"/>
          <w:lang w:val="en-GB"/>
        </w:rPr>
      </w:pPr>
      <m:oMathPara>
        <m:oMath>
          <m:r>
            <w:rPr>
              <w:rFonts w:ascii="Cambria Math" w:hAnsi="Cambria Math" w:cstheme="minorHAnsi"/>
              <w:lang w:val="en-GB"/>
            </w:rPr>
            <m:t>θ=</m:t>
          </m:r>
          <m:f>
            <m:fPr>
              <m:ctrlPr>
                <w:rPr>
                  <w:rFonts w:ascii="Cambria Math" w:hAnsi="Cambria Math" w:cstheme="minorHAnsi"/>
                  <w:i/>
                  <w:lang w:val="en-GB"/>
                </w:rPr>
              </m:ctrlPr>
            </m:fPr>
            <m:num>
              <m:acc>
                <m:accPr>
                  <m:chr m:val="̅"/>
                  <m:ctrlPr>
                    <w:rPr>
                      <w:rFonts w:ascii="Cambria Math" w:hAnsi="Cambria Math" w:cstheme="minorHAnsi"/>
                      <w:i/>
                      <w:lang w:val="en-GB"/>
                    </w:rPr>
                  </m:ctrlPr>
                </m:accPr>
                <m:e>
                  <m:r>
                    <w:rPr>
                      <w:rFonts w:ascii="Cambria Math" w:hAnsi="Cambria Math" w:cstheme="minorHAnsi"/>
                      <w:lang w:val="en-GB"/>
                    </w:rPr>
                    <m:t>CAR</m:t>
                  </m:r>
                </m:e>
              </m:acc>
              <m:r>
                <w:rPr>
                  <w:rFonts w:ascii="Cambria Math" w:hAnsi="Cambria Math" w:cstheme="minorHAnsi"/>
                  <w:lang w:val="en-GB"/>
                </w:rPr>
                <m:t>(</m:t>
              </m:r>
              <m:sSub>
                <m:sSubPr>
                  <m:ctrlPr>
                    <w:rPr>
                      <w:rFonts w:ascii="Cambria Math" w:hAnsi="Cambria Math"/>
                    </w:rPr>
                  </m:ctrlPr>
                </m:sSubPr>
                <m:e>
                  <m:r>
                    <m:rPr>
                      <m:sty m:val="p"/>
                    </m:rPr>
                    <w:rPr>
                      <w:rFonts w:ascii="Cambria Math" w:hAnsi="Cambria Math"/>
                    </w:rPr>
                    <m:t>τ</m:t>
                  </m:r>
                </m:e>
                <m:sub>
                  <m:r>
                    <w:rPr>
                      <w:rFonts w:ascii="Cambria Math" w:hAnsi="Cambria Math"/>
                    </w:rPr>
                    <m:t>1</m:t>
                  </m:r>
                </m:sub>
              </m:sSub>
              <m:sSub>
                <m:sSubPr>
                  <m:ctrlPr>
                    <w:rPr>
                      <w:rFonts w:ascii="Cambria Math" w:hAnsi="Cambria Math"/>
                    </w:rPr>
                  </m:ctrlPr>
                </m:sSubPr>
                <m:e>
                  <m:r>
                    <m:rPr>
                      <m:sty m:val="p"/>
                    </m:rPr>
                    <w:rPr>
                      <w:rFonts w:ascii="Cambria Math" w:hAnsi="Cambria Math"/>
                    </w:rPr>
                    <m:t>,τ</m:t>
                  </m:r>
                </m:e>
                <m:sub>
                  <m:r>
                    <w:rPr>
                      <w:rFonts w:ascii="Cambria Math" w:hAnsi="Cambria Math"/>
                    </w:rPr>
                    <m:t>2</m:t>
                  </m:r>
                </m:sub>
              </m:sSub>
              <m:r>
                <w:rPr>
                  <w:rFonts w:ascii="Cambria Math" w:hAnsi="Cambria Math" w:cstheme="minorHAnsi"/>
                  <w:lang w:val="en-GB"/>
                </w:rPr>
                <m:t>)</m:t>
              </m:r>
            </m:num>
            <m:den>
              <m:sSup>
                <m:sSupPr>
                  <m:ctrlPr>
                    <w:rPr>
                      <w:rFonts w:ascii="Cambria Math" w:hAnsi="Cambria Math" w:cstheme="minorHAnsi"/>
                      <w:i/>
                      <w:lang w:val="en-GB"/>
                    </w:rPr>
                  </m:ctrlPr>
                </m:sSupPr>
                <m:e>
                  <m:r>
                    <w:rPr>
                      <w:rFonts w:ascii="Cambria Math" w:hAnsi="Cambria Math" w:cstheme="minorHAnsi"/>
                      <w:lang w:val="en-GB"/>
                    </w:rPr>
                    <m:t>var(</m:t>
                  </m:r>
                  <m:acc>
                    <m:accPr>
                      <m:chr m:val="̅"/>
                      <m:ctrlPr>
                        <w:rPr>
                          <w:rFonts w:ascii="Cambria Math" w:hAnsi="Cambria Math" w:cstheme="minorHAnsi"/>
                          <w:i/>
                          <w:lang w:val="en-GB"/>
                        </w:rPr>
                      </m:ctrlPr>
                    </m:accPr>
                    <m:e>
                      <m:r>
                        <w:rPr>
                          <w:rFonts w:ascii="Cambria Math" w:hAnsi="Cambria Math" w:cstheme="minorHAnsi"/>
                          <w:lang w:val="en-GB"/>
                        </w:rPr>
                        <m:t>CAR</m:t>
                      </m:r>
                    </m:e>
                  </m:acc>
                  <m:r>
                    <w:rPr>
                      <w:rFonts w:ascii="Cambria Math" w:hAnsi="Cambria Math" w:cstheme="minorHAnsi"/>
                      <w:lang w:val="en-GB"/>
                    </w:rPr>
                    <m:t>(</m:t>
                  </m:r>
                  <m:sSub>
                    <m:sSubPr>
                      <m:ctrlPr>
                        <w:rPr>
                          <w:rFonts w:ascii="Cambria Math" w:hAnsi="Cambria Math"/>
                        </w:rPr>
                      </m:ctrlPr>
                    </m:sSubPr>
                    <m:e>
                      <m:r>
                        <m:rPr>
                          <m:sty m:val="p"/>
                        </m:rPr>
                        <w:rPr>
                          <w:rFonts w:ascii="Cambria Math" w:hAnsi="Cambria Math"/>
                        </w:rPr>
                        <m:t>τ</m:t>
                      </m:r>
                    </m:e>
                    <m:sub>
                      <m:r>
                        <w:rPr>
                          <w:rFonts w:ascii="Cambria Math" w:hAnsi="Cambria Math"/>
                        </w:rPr>
                        <m:t>1</m:t>
                      </m:r>
                    </m:sub>
                  </m:sSub>
                  <m:sSub>
                    <m:sSubPr>
                      <m:ctrlPr>
                        <w:rPr>
                          <w:rFonts w:ascii="Cambria Math" w:hAnsi="Cambria Math"/>
                        </w:rPr>
                      </m:ctrlPr>
                    </m:sSubPr>
                    <m:e>
                      <m:r>
                        <m:rPr>
                          <m:sty m:val="p"/>
                        </m:rPr>
                        <w:rPr>
                          <w:rFonts w:ascii="Cambria Math" w:hAnsi="Cambria Math"/>
                        </w:rPr>
                        <m:t>,τ</m:t>
                      </m:r>
                    </m:e>
                    <m:sub>
                      <m:r>
                        <w:rPr>
                          <w:rFonts w:ascii="Cambria Math" w:hAnsi="Cambria Math"/>
                        </w:rPr>
                        <m:t>2</m:t>
                      </m:r>
                    </m:sub>
                  </m:sSub>
                  <m:r>
                    <w:rPr>
                      <w:rFonts w:ascii="Cambria Math" w:hAnsi="Cambria Math" w:cstheme="minorHAnsi"/>
                      <w:lang w:val="en-GB"/>
                    </w:rPr>
                    <m:t>))</m:t>
                  </m:r>
                </m:e>
                <m:sup>
                  <m:r>
                    <w:rPr>
                      <w:rFonts w:ascii="Cambria Math" w:hAnsi="Cambria Math" w:cstheme="minorHAnsi"/>
                      <w:lang w:val="en-GB"/>
                    </w:rPr>
                    <m:t>1/2</m:t>
                  </m:r>
                </m:sup>
              </m:sSup>
            </m:den>
          </m:f>
          <m:r>
            <w:rPr>
              <w:rFonts w:ascii="Cambria Math" w:hAnsi="Cambria Math" w:cstheme="minorHAnsi"/>
              <w:lang w:val="en-GB"/>
            </w:rPr>
            <m:t xml:space="preserve"> ~N(0,1)</m:t>
          </m:r>
        </m:oMath>
      </m:oMathPara>
    </w:p>
    <w:p w14:paraId="6E7EE4C4" w14:textId="77777777" w:rsidR="003826FA" w:rsidRDefault="003826FA" w:rsidP="00F1283F">
      <w:pPr>
        <w:rPr>
          <w:rFonts w:cstheme="minorHAnsi"/>
          <w:lang w:val="en-GB"/>
        </w:rPr>
      </w:pPr>
    </w:p>
    <w:p w14:paraId="3CDC7CFE" w14:textId="77777777" w:rsidR="00A53928" w:rsidRDefault="00F95A99" w:rsidP="00972FCC">
      <w:pPr>
        <w:pStyle w:val="Heading1"/>
        <w:rPr>
          <w:lang w:val="en-GB"/>
        </w:rPr>
      </w:pPr>
      <w:r>
        <w:rPr>
          <w:lang w:val="en-GB"/>
        </w:rPr>
        <w:t>General atmosphere and data description</w:t>
      </w:r>
    </w:p>
    <w:p w14:paraId="71B3FBE1" w14:textId="77777777" w:rsidR="008F27B9" w:rsidRPr="008F27B9" w:rsidRDefault="00F95A99" w:rsidP="008F27B9">
      <w:pPr>
        <w:rPr>
          <w:lang w:val="en-GB"/>
        </w:rPr>
      </w:pPr>
      <w:r>
        <w:rPr>
          <w:lang w:val="en-GB"/>
        </w:rPr>
        <w:t xml:space="preserve">  </w:t>
      </w:r>
      <w:r w:rsidR="008F27B9" w:rsidRPr="008F27B9">
        <w:rPr>
          <w:lang w:val="en-GB"/>
        </w:rPr>
        <w:t xml:space="preserve">  Notwithstanding the 3 events chosen for this analysis, investors had been pessimistic towards Tencent and the gaming sector in 2018. Tencent's share price ended its 14 years surge in January and had shown a downward trend since March 2018, after major shareholder Naspers sold 2% stock of Tencent, accounted for $9.8 billion USD. Along with the redemption, Tencent was not able to monetise from one of their biggest hits, </w:t>
      </w:r>
      <w:proofErr w:type="spellStart"/>
      <w:r w:rsidR="008F27B9" w:rsidRPr="008F27B9">
        <w:rPr>
          <w:lang w:val="en-GB"/>
        </w:rPr>
        <w:t>PlayerUnknown's</w:t>
      </w:r>
      <w:proofErr w:type="spellEnd"/>
      <w:r w:rsidR="008F27B9" w:rsidRPr="008F27B9">
        <w:rPr>
          <w:lang w:val="en-GB"/>
        </w:rPr>
        <w:t xml:space="preserve"> </w:t>
      </w:r>
      <w:proofErr w:type="spellStart"/>
      <w:r w:rsidR="008F27B9" w:rsidRPr="008F27B9">
        <w:rPr>
          <w:lang w:val="en-GB"/>
        </w:rPr>
        <w:t>BattleGround</w:t>
      </w:r>
      <w:proofErr w:type="spellEnd"/>
      <w:r w:rsidR="008F27B9" w:rsidRPr="008F27B9">
        <w:rPr>
          <w:lang w:val="en-GB"/>
        </w:rPr>
        <w:t xml:space="preserve"> (PUBG), despite having a massive player base. Mobile games profit largely relies on purchasing in-game currency and selling in-game items, including PUBG, where the game is free for download. However, the license for activating in-game sale was held by Chinese regulators for months after the announcement of the game in 2017's November and Tencent were uncertain when they would get the approval </w:t>
      </w:r>
      <w:sdt>
        <w:sdtPr>
          <w:rPr>
            <w:lang w:val="en-GB"/>
          </w:rPr>
          <w:id w:val="1373349210"/>
          <w:citation/>
        </w:sdtPr>
        <w:sdtEndPr/>
        <w:sdtContent>
          <w:r w:rsidR="008F27B9">
            <w:rPr>
              <w:lang w:val="en-GB"/>
            </w:rPr>
            <w:fldChar w:fldCharType="begin"/>
          </w:r>
          <w:r w:rsidR="008F27B9">
            <w:rPr>
              <w:lang w:val="en-GB"/>
            </w:rPr>
            <w:instrText xml:space="preserve"> CITATION MaW18 \l 2057 </w:instrText>
          </w:r>
          <w:r w:rsidR="008F27B9">
            <w:rPr>
              <w:lang w:val="en-GB"/>
            </w:rPr>
            <w:fldChar w:fldCharType="separate"/>
          </w:r>
          <w:r w:rsidR="008F27B9">
            <w:rPr>
              <w:noProof/>
              <w:lang w:val="en-GB"/>
            </w:rPr>
            <w:t>(Ma, 2018)</w:t>
          </w:r>
          <w:r w:rsidR="008F27B9">
            <w:rPr>
              <w:lang w:val="en-GB"/>
            </w:rPr>
            <w:fldChar w:fldCharType="end"/>
          </w:r>
        </w:sdtContent>
      </w:sdt>
      <w:r w:rsidR="008F27B9">
        <w:rPr>
          <w:lang w:val="en-GB"/>
        </w:rPr>
        <w:t xml:space="preserve">. </w:t>
      </w:r>
      <w:r w:rsidR="008F27B9" w:rsidRPr="008F27B9">
        <w:rPr>
          <w:lang w:val="en-GB"/>
        </w:rPr>
        <w:t xml:space="preserve">Simultaneously, no new game license was issued by the Chinese regulators since March after the restructuring of the license agencies. In China, a game cannot be published until a gaming license is issued from the regulators, and a suspension of gaming license approval implies drastic hinder the revenue of new game launches. Tencent's struggles were reflected in the second quarter report in 2018, revealing a missing in profit target and fall in profit growth for the first time in a decade </w:t>
      </w:r>
      <w:sdt>
        <w:sdtPr>
          <w:rPr>
            <w:lang w:val="en-GB"/>
          </w:rPr>
          <w:id w:val="287715239"/>
          <w:citation/>
        </w:sdtPr>
        <w:sdtEndPr/>
        <w:sdtContent>
          <w:r w:rsidR="008F27B9">
            <w:rPr>
              <w:lang w:val="en-GB"/>
            </w:rPr>
            <w:fldChar w:fldCharType="begin"/>
          </w:r>
          <w:r w:rsidR="008F27B9">
            <w:rPr>
              <w:lang w:val="en-GB"/>
            </w:rPr>
            <w:instrText xml:space="preserve"> CITATION Moz18 \l 2057 </w:instrText>
          </w:r>
          <w:r w:rsidR="008F27B9">
            <w:rPr>
              <w:lang w:val="en-GB"/>
            </w:rPr>
            <w:fldChar w:fldCharType="separate"/>
          </w:r>
          <w:r w:rsidR="008F27B9">
            <w:rPr>
              <w:noProof/>
              <w:lang w:val="en-GB"/>
            </w:rPr>
            <w:t>(Mozur, 2018)</w:t>
          </w:r>
          <w:r w:rsidR="008F27B9">
            <w:rPr>
              <w:lang w:val="en-GB"/>
            </w:rPr>
            <w:fldChar w:fldCharType="end"/>
          </w:r>
        </w:sdtContent>
      </w:sdt>
      <w:r w:rsidR="008F27B9" w:rsidRPr="008F27B9">
        <w:rPr>
          <w:lang w:val="en-GB"/>
        </w:rPr>
        <w:t>.</w:t>
      </w:r>
    </w:p>
    <w:p w14:paraId="20D2DE40" w14:textId="70E622DB" w:rsidR="008F27B9" w:rsidRDefault="008F27B9" w:rsidP="008F27B9">
      <w:pPr>
        <w:rPr>
          <w:lang w:val="en-GB"/>
        </w:rPr>
      </w:pPr>
      <w:r w:rsidRPr="008F27B9">
        <w:rPr>
          <w:lang w:val="en-GB"/>
        </w:rPr>
        <w:t xml:space="preserve">  Having said that, 3 key events were directly targeted to Tencent and the gaming sector in 2018. </w:t>
      </w:r>
    </w:p>
    <w:p w14:paraId="5D774BB9" w14:textId="77777777" w:rsidR="00AE4894" w:rsidRDefault="00AE4894" w:rsidP="008F27B9">
      <w:pPr>
        <w:rPr>
          <w:noProof/>
        </w:rPr>
      </w:pPr>
    </w:p>
    <w:p w14:paraId="4A9E82BD" w14:textId="4A7B8E1B" w:rsidR="00DC13AF" w:rsidRDefault="00AD0A26" w:rsidP="008F27B9">
      <w:pPr>
        <w:rPr>
          <w:lang w:val="en-GB"/>
        </w:rPr>
      </w:pPr>
      <w:r>
        <w:rPr>
          <w:noProof/>
        </w:rPr>
        <w:drawing>
          <wp:inline distT="0" distB="0" distL="0" distR="0" wp14:anchorId="1B79ADC4" wp14:editId="20CBEE24">
            <wp:extent cx="5731510" cy="2185035"/>
            <wp:effectExtent l="0" t="0" r="2540" b="5715"/>
            <wp:docPr id="21" name="Picture 2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731510" cy="2185035"/>
                    </a:xfrm>
                    <a:prstGeom prst="rect">
                      <a:avLst/>
                    </a:prstGeom>
                  </pic:spPr>
                </pic:pic>
              </a:graphicData>
            </a:graphic>
          </wp:inline>
        </w:drawing>
      </w:r>
    </w:p>
    <w:p w14:paraId="44D89D5B" w14:textId="77777777" w:rsidR="00DC13AF" w:rsidRPr="008F27B9" w:rsidRDefault="00DC13AF" w:rsidP="008F27B9">
      <w:pPr>
        <w:rPr>
          <w:lang w:val="en-GB"/>
        </w:rPr>
      </w:pPr>
    </w:p>
    <w:p w14:paraId="54A50C4C" w14:textId="77777777" w:rsidR="008F27B9" w:rsidRPr="008F27B9" w:rsidRDefault="008F27B9" w:rsidP="008F27B9">
      <w:pPr>
        <w:rPr>
          <w:lang w:val="en-GB"/>
        </w:rPr>
      </w:pPr>
      <w:r w:rsidRPr="008F27B9">
        <w:rPr>
          <w:lang w:val="en-GB"/>
        </w:rPr>
        <w:t xml:space="preserve">  The first event consists of the major hit of Tencent, Monster Hunter. On 13th August, the highly anticipated game with 1 million pre-orders was forced to pull down days after its release by Chinese regulators. The share price dropped 3.71% on the next day of the announcement, wiping out $15 </w:t>
      </w:r>
      <w:r w:rsidRPr="008F27B9">
        <w:rPr>
          <w:lang w:val="en-GB"/>
        </w:rPr>
        <w:lastRenderedPageBreak/>
        <w:t xml:space="preserve">billion USD. Originate from Japanese developer Capcom, the game, which allows the player to battle fearsome fantasy beasts, was meant to be the flagship of Tencent's distribution platform </w:t>
      </w:r>
      <w:proofErr w:type="spellStart"/>
      <w:r w:rsidRPr="008F27B9">
        <w:rPr>
          <w:lang w:val="en-GB"/>
        </w:rPr>
        <w:t>WeGames</w:t>
      </w:r>
      <w:proofErr w:type="spellEnd"/>
      <w:r w:rsidRPr="008F27B9">
        <w:rPr>
          <w:lang w:val="en-GB"/>
        </w:rPr>
        <w:t>. Users who paid for the game were fully refunded "without a condition</w:t>
      </w:r>
      <w:sdt>
        <w:sdtPr>
          <w:rPr>
            <w:lang w:val="en-GB"/>
          </w:rPr>
          <w:id w:val="-472911797"/>
          <w:citation/>
        </w:sdtPr>
        <w:sdtEndPr/>
        <w:sdtContent>
          <w:r>
            <w:rPr>
              <w:lang w:val="en-GB"/>
            </w:rPr>
            <w:fldChar w:fldCharType="begin"/>
          </w:r>
          <w:r>
            <w:rPr>
              <w:lang w:val="en-GB"/>
            </w:rPr>
            <w:instrText xml:space="preserve"> CITATION Han18 \l 2057 </w:instrText>
          </w:r>
          <w:r>
            <w:rPr>
              <w:lang w:val="en-GB"/>
            </w:rPr>
            <w:fldChar w:fldCharType="separate"/>
          </w:r>
          <w:r>
            <w:rPr>
              <w:noProof/>
              <w:lang w:val="en-GB"/>
            </w:rPr>
            <w:t xml:space="preserve"> (Hancock, 2018)</w:t>
          </w:r>
          <w:r>
            <w:rPr>
              <w:lang w:val="en-GB"/>
            </w:rPr>
            <w:fldChar w:fldCharType="end"/>
          </w:r>
        </w:sdtContent>
      </w:sdt>
      <w:r w:rsidRPr="008F27B9">
        <w:rPr>
          <w:lang w:val="en-GB"/>
        </w:rPr>
        <w:t xml:space="preserve">. That said, the operating license was cancelled at the request of authority as it failed to "fully comply with regulatory and policy requirement" and a flood of complaints was sent to the regulators </w:t>
      </w:r>
      <w:sdt>
        <w:sdtPr>
          <w:rPr>
            <w:lang w:val="en-GB"/>
          </w:rPr>
          <w:id w:val="820708844"/>
          <w:citation/>
        </w:sdtPr>
        <w:sdtEndPr/>
        <w:sdtContent>
          <w:r>
            <w:rPr>
              <w:lang w:val="en-GB"/>
            </w:rPr>
            <w:fldChar w:fldCharType="begin"/>
          </w:r>
          <w:r>
            <w:rPr>
              <w:lang w:val="en-GB"/>
            </w:rPr>
            <w:instrText xml:space="preserve"> CITATION WeG18 \l 2057 </w:instrText>
          </w:r>
          <w:r>
            <w:rPr>
              <w:lang w:val="en-GB"/>
            </w:rPr>
            <w:fldChar w:fldCharType="separate"/>
          </w:r>
          <w:r>
            <w:rPr>
              <w:noProof/>
              <w:lang w:val="en-GB"/>
            </w:rPr>
            <w:t>(WeGames, 2018)</w:t>
          </w:r>
          <w:r>
            <w:rPr>
              <w:lang w:val="en-GB"/>
            </w:rPr>
            <w:fldChar w:fldCharType="end"/>
          </w:r>
        </w:sdtContent>
      </w:sdt>
      <w:r w:rsidRPr="008F27B9">
        <w:rPr>
          <w:lang w:val="en-GB"/>
        </w:rPr>
        <w:t xml:space="preserve">. The game contains blood and violence, and the Chinese government often ban games with sensitive content including excessive violence, usage of drugs and sex. In spite of that, it is extremely rare for games to be banned after permitted </w:t>
      </w:r>
      <w:sdt>
        <w:sdtPr>
          <w:rPr>
            <w:lang w:val="en-GB"/>
          </w:rPr>
          <w:id w:val="1593208240"/>
          <w:citation/>
        </w:sdtPr>
        <w:sdtEndPr/>
        <w:sdtContent>
          <w:r>
            <w:rPr>
              <w:lang w:val="en-GB"/>
            </w:rPr>
            <w:fldChar w:fldCharType="begin"/>
          </w:r>
          <w:r>
            <w:rPr>
              <w:lang w:val="en-GB"/>
            </w:rPr>
            <w:instrText xml:space="preserve"> CITATION BBC18 \l 2057 </w:instrText>
          </w:r>
          <w:r>
            <w:rPr>
              <w:lang w:val="en-GB"/>
            </w:rPr>
            <w:fldChar w:fldCharType="separate"/>
          </w:r>
          <w:r>
            <w:rPr>
              <w:noProof/>
              <w:lang w:val="en-GB"/>
            </w:rPr>
            <w:t>(BBC, 2018)</w:t>
          </w:r>
          <w:r>
            <w:rPr>
              <w:lang w:val="en-GB"/>
            </w:rPr>
            <w:fldChar w:fldCharType="end"/>
          </w:r>
        </w:sdtContent>
      </w:sdt>
      <w:r w:rsidRPr="008F27B9">
        <w:rPr>
          <w:lang w:val="en-GB"/>
        </w:rPr>
        <w:t xml:space="preserve">. The game as well does not contain any sort of obviously sensitive content </w:t>
      </w:r>
      <w:sdt>
        <w:sdtPr>
          <w:rPr>
            <w:lang w:val="en-GB"/>
          </w:rPr>
          <w:id w:val="-1721272787"/>
          <w:citation/>
        </w:sdtPr>
        <w:sdtEndPr/>
        <w:sdtContent>
          <w:r>
            <w:rPr>
              <w:lang w:val="en-GB"/>
            </w:rPr>
            <w:fldChar w:fldCharType="begin"/>
          </w:r>
          <w:r>
            <w:rPr>
              <w:lang w:val="en-GB"/>
            </w:rPr>
            <w:instrText xml:space="preserve"> CITATION Han18 \l 2057 </w:instrText>
          </w:r>
          <w:r>
            <w:rPr>
              <w:lang w:val="en-GB"/>
            </w:rPr>
            <w:fldChar w:fldCharType="separate"/>
          </w:r>
          <w:r>
            <w:rPr>
              <w:noProof/>
              <w:lang w:val="en-GB"/>
            </w:rPr>
            <w:t>(Hancock, 2018)</w:t>
          </w:r>
          <w:r>
            <w:rPr>
              <w:lang w:val="en-GB"/>
            </w:rPr>
            <w:fldChar w:fldCharType="end"/>
          </w:r>
        </w:sdtContent>
      </w:sdt>
      <w:r w:rsidRPr="008F27B9">
        <w:rPr>
          <w:lang w:val="en-GB"/>
        </w:rPr>
        <w:t xml:space="preserve">, which leaves the true motive of the banning to remain uncertain. The event alludes the abrupt and haphazard regulatory measure of the government and their influences where they can singlehandedly affect the profitability of Tencent, even after the games passing the censor. Furthermore, the halt of sales cast a long shadow towards the future prosperity of Tencent. Monster Hunter was the key to boost sales of </w:t>
      </w:r>
      <w:proofErr w:type="spellStart"/>
      <w:r w:rsidRPr="008F27B9">
        <w:rPr>
          <w:lang w:val="en-GB"/>
        </w:rPr>
        <w:t>WeGame</w:t>
      </w:r>
      <w:proofErr w:type="spellEnd"/>
      <w:r w:rsidRPr="008F27B9">
        <w:rPr>
          <w:lang w:val="en-GB"/>
        </w:rPr>
        <w:t xml:space="preserve"> in order to compete with its rival gaming platform, Steam </w:t>
      </w:r>
      <w:sdt>
        <w:sdtPr>
          <w:rPr>
            <w:lang w:val="en-GB"/>
          </w:rPr>
          <w:id w:val="800738340"/>
          <w:citation/>
        </w:sdtPr>
        <w:sdtEndPr/>
        <w:sdtContent>
          <w:r>
            <w:rPr>
              <w:lang w:val="en-GB"/>
            </w:rPr>
            <w:fldChar w:fldCharType="begin"/>
          </w:r>
          <w:r>
            <w:rPr>
              <w:lang w:val="en-GB"/>
            </w:rPr>
            <w:instrText xml:space="preserve"> CITATION Hua18 \l 2057 </w:instrText>
          </w:r>
          <w:r>
            <w:rPr>
              <w:lang w:val="en-GB"/>
            </w:rPr>
            <w:fldChar w:fldCharType="separate"/>
          </w:r>
          <w:r>
            <w:rPr>
              <w:noProof/>
              <w:lang w:val="en-GB"/>
            </w:rPr>
            <w:t>(Huang, 2018)</w:t>
          </w:r>
          <w:r>
            <w:rPr>
              <w:lang w:val="en-GB"/>
            </w:rPr>
            <w:fldChar w:fldCharType="end"/>
          </w:r>
        </w:sdtContent>
      </w:sdt>
      <w:r w:rsidRPr="008F27B9">
        <w:rPr>
          <w:lang w:val="en-GB"/>
        </w:rPr>
        <w:t xml:space="preserve">. Yet putting off the game implies Tencent has lost their best chance to compete with Steam. </w:t>
      </w:r>
    </w:p>
    <w:p w14:paraId="5AD5B1A6" w14:textId="77777777" w:rsidR="008F27B9" w:rsidRPr="008F27B9" w:rsidRDefault="008F27B9" w:rsidP="008F27B9">
      <w:pPr>
        <w:rPr>
          <w:lang w:val="en-GB"/>
        </w:rPr>
      </w:pPr>
      <w:r w:rsidRPr="008F27B9">
        <w:rPr>
          <w:lang w:val="en-GB"/>
        </w:rPr>
        <w:t xml:space="preserve">  On 31st August, Chinese regulators blamed mobile games as the major reason for worsening rate of myopia and suggested multiple measures to curb on the issue. Tencent's share fell for more than 5% on the next day</w:t>
      </w:r>
      <w:sdt>
        <w:sdtPr>
          <w:rPr>
            <w:lang w:val="en-GB"/>
          </w:rPr>
          <w:id w:val="1540167363"/>
          <w:citation/>
        </w:sdtPr>
        <w:sdtEndPr/>
        <w:sdtContent>
          <w:r>
            <w:rPr>
              <w:lang w:val="en-GB"/>
            </w:rPr>
            <w:fldChar w:fldCharType="begin"/>
          </w:r>
          <w:r>
            <w:rPr>
              <w:lang w:val="en-GB"/>
            </w:rPr>
            <w:instrText xml:space="preserve"> CITATION Woo18 \l 2057 </w:instrText>
          </w:r>
          <w:r>
            <w:rPr>
              <w:lang w:val="en-GB"/>
            </w:rPr>
            <w:fldChar w:fldCharType="separate"/>
          </w:r>
          <w:r>
            <w:rPr>
              <w:noProof/>
              <w:lang w:val="en-GB"/>
            </w:rPr>
            <w:t xml:space="preserve"> (Woodhouse, 2018)</w:t>
          </w:r>
          <w:r>
            <w:rPr>
              <w:lang w:val="en-GB"/>
            </w:rPr>
            <w:fldChar w:fldCharType="end"/>
          </w:r>
        </w:sdtContent>
      </w:sdt>
      <w:r w:rsidRPr="008F27B9">
        <w:rPr>
          <w:lang w:val="en-GB"/>
        </w:rPr>
        <w:t xml:space="preserve">. In the pronouncement from Ministry of Education, policy plans for limiting the number of online games and the game time for young people were established, as well as developing an age-appropriate system for mobile games </w:t>
      </w:r>
      <w:sdt>
        <w:sdtPr>
          <w:rPr>
            <w:lang w:val="en-GB"/>
          </w:rPr>
          <w:id w:val="1736663654"/>
          <w:citation/>
        </w:sdtPr>
        <w:sdtEndPr/>
        <w:sdtContent>
          <w:r>
            <w:rPr>
              <w:lang w:val="en-GB"/>
            </w:rPr>
            <w:fldChar w:fldCharType="begin"/>
          </w:r>
          <w:r>
            <w:rPr>
              <w:lang w:val="en-GB"/>
            </w:rPr>
            <w:instrText xml:space="preserve"> CITATION Min18 \l 2057 </w:instrText>
          </w:r>
          <w:r>
            <w:rPr>
              <w:lang w:val="en-GB"/>
            </w:rPr>
            <w:fldChar w:fldCharType="separate"/>
          </w:r>
          <w:r>
            <w:rPr>
              <w:noProof/>
              <w:lang w:val="en-GB"/>
            </w:rPr>
            <w:t>(Ministry of Education, 2018)</w:t>
          </w:r>
          <w:r>
            <w:rPr>
              <w:lang w:val="en-GB"/>
            </w:rPr>
            <w:fldChar w:fldCharType="end"/>
          </w:r>
        </w:sdtContent>
      </w:sdt>
      <w:r w:rsidRPr="008F27B9">
        <w:rPr>
          <w:lang w:val="en-GB"/>
        </w:rPr>
        <w:t xml:space="preserve">. It suggested "the use of electric product for non-learning purposes should not exceed 15 minutes and should not be more than one hour per day" </w:t>
      </w:r>
      <w:sdt>
        <w:sdtPr>
          <w:rPr>
            <w:lang w:val="en-GB"/>
          </w:rPr>
          <w:id w:val="1058746609"/>
          <w:citation/>
        </w:sdtPr>
        <w:sdtEndPr/>
        <w:sdtContent>
          <w:r>
            <w:rPr>
              <w:lang w:val="en-GB"/>
            </w:rPr>
            <w:fldChar w:fldCharType="begin"/>
          </w:r>
          <w:r>
            <w:rPr>
              <w:lang w:val="en-GB"/>
            </w:rPr>
            <w:instrText xml:space="preserve"> CITATION Nak18 \l 2057 </w:instrText>
          </w:r>
          <w:r>
            <w:rPr>
              <w:lang w:val="en-GB"/>
            </w:rPr>
            <w:fldChar w:fldCharType="separate"/>
          </w:r>
          <w:r>
            <w:rPr>
              <w:noProof/>
              <w:lang w:val="en-GB"/>
            </w:rPr>
            <w:t>(Nakamura, 2018)</w:t>
          </w:r>
          <w:r>
            <w:rPr>
              <w:lang w:val="en-GB"/>
            </w:rPr>
            <w:fldChar w:fldCharType="end"/>
          </w:r>
        </w:sdtContent>
      </w:sdt>
      <w:r w:rsidRPr="008F27B9">
        <w:rPr>
          <w:lang w:val="en-GB"/>
        </w:rPr>
        <w:t>. Despite the pronouncement seemingly subject to improv</w:t>
      </w:r>
      <w:r w:rsidR="006F61C6">
        <w:rPr>
          <w:lang w:val="en-GB"/>
        </w:rPr>
        <w:t>s</w:t>
      </w:r>
      <w:r w:rsidRPr="008F27B9">
        <w:rPr>
          <w:lang w:val="en-GB"/>
        </w:rPr>
        <w:t xml:space="preserve"> the rate of myopia and the wellbeing of the children, the timing of the pronouncement </w:t>
      </w:r>
      <w:r w:rsidR="00085FB5">
        <w:rPr>
          <w:lang w:val="en-GB"/>
        </w:rPr>
        <w:t>drives</w:t>
      </w:r>
      <w:r w:rsidRPr="008F27B9">
        <w:rPr>
          <w:lang w:val="en-GB"/>
        </w:rPr>
        <w:t xml:space="preserve"> the investors pinpoint on the measure for the gaming sectors. The government did not provide any explanation of the gaming freeze since March, investors started to question whether the freeze is merely a regulatory reshuffle, or the regulators were planning on a bigger campaign on cracking down the gaming industry </w:t>
      </w:r>
      <w:sdt>
        <w:sdtPr>
          <w:rPr>
            <w:lang w:val="en-GB"/>
          </w:rPr>
          <w:id w:val="479045258"/>
          <w:citation/>
        </w:sdtPr>
        <w:sdtEndPr/>
        <w:sdtContent>
          <w:r>
            <w:rPr>
              <w:lang w:val="en-GB"/>
            </w:rPr>
            <w:fldChar w:fldCharType="begin"/>
          </w:r>
          <w:r>
            <w:rPr>
              <w:lang w:val="en-GB"/>
            </w:rPr>
            <w:instrText xml:space="preserve"> CITATION Nak18 \l 2057 </w:instrText>
          </w:r>
          <w:r>
            <w:rPr>
              <w:lang w:val="en-GB"/>
            </w:rPr>
            <w:fldChar w:fldCharType="separate"/>
          </w:r>
          <w:r>
            <w:rPr>
              <w:noProof/>
              <w:lang w:val="en-GB"/>
            </w:rPr>
            <w:t>(Nakamura, 2018)</w:t>
          </w:r>
          <w:r>
            <w:rPr>
              <w:lang w:val="en-GB"/>
            </w:rPr>
            <w:fldChar w:fldCharType="end"/>
          </w:r>
        </w:sdtContent>
      </w:sdt>
      <w:r w:rsidRPr="008F27B9">
        <w:rPr>
          <w:lang w:val="en-GB"/>
        </w:rPr>
        <w:t xml:space="preserve">. </w:t>
      </w:r>
      <w:r w:rsidR="00085FB5">
        <w:rPr>
          <w:lang w:val="en-GB"/>
        </w:rPr>
        <w:t>In order words</w:t>
      </w:r>
      <w:r w:rsidRPr="008F27B9">
        <w:rPr>
          <w:lang w:val="en-GB"/>
        </w:rPr>
        <w:t xml:space="preserve">, the pronouncement does not </w:t>
      </w:r>
      <w:r w:rsidR="00085FB5">
        <w:rPr>
          <w:lang w:val="en-GB"/>
        </w:rPr>
        <w:t>merely</w:t>
      </w:r>
      <w:r w:rsidRPr="008F27B9">
        <w:rPr>
          <w:lang w:val="en-GB"/>
        </w:rPr>
        <w:t xml:space="preserve"> imply the regulatory risk is heightened, but it created speculation</w:t>
      </w:r>
      <w:r w:rsidR="00085FB5">
        <w:rPr>
          <w:lang w:val="en-GB"/>
        </w:rPr>
        <w:t>s</w:t>
      </w:r>
      <w:r w:rsidRPr="008F27B9">
        <w:rPr>
          <w:lang w:val="en-GB"/>
        </w:rPr>
        <w:t xml:space="preserve"> of the government attitude towards the gaming sector would gradually become more adverse in the future.</w:t>
      </w:r>
    </w:p>
    <w:p w14:paraId="530D18AD" w14:textId="0E3AE913" w:rsidR="001C003C" w:rsidRDefault="008F27B9" w:rsidP="008F27B9">
      <w:pPr>
        <w:rPr>
          <w:lang w:val="en-GB"/>
        </w:rPr>
      </w:pPr>
      <w:r w:rsidRPr="008F27B9">
        <w:rPr>
          <w:lang w:val="en-GB"/>
        </w:rPr>
        <w:t xml:space="preserve">  On 5th September, Tencent responded to the pronouncement by setting up a real name verification for new players in their biggest hits "Honours of Kings", which is linked to the Public Secretary database to restrict game time. "The strictest verification system" named by Tencent was going to be implemented on 15</w:t>
      </w:r>
      <w:r w:rsidR="003B7AF8" w:rsidRPr="003B7AF8">
        <w:rPr>
          <w:vertAlign w:val="superscript"/>
          <w:lang w:val="en-GB"/>
        </w:rPr>
        <w:t>th</w:t>
      </w:r>
      <w:r w:rsidRPr="008F27B9">
        <w:rPr>
          <w:lang w:val="en-GB"/>
        </w:rPr>
        <w:t xml:space="preserve"> September. The announcement caused a 3.7% fall in Tencent's share price on the next day </w:t>
      </w:r>
      <w:sdt>
        <w:sdtPr>
          <w:rPr>
            <w:lang w:val="en-GB"/>
          </w:rPr>
          <w:id w:val="-520012557"/>
          <w:citation/>
        </w:sdtPr>
        <w:sdtEndPr/>
        <w:sdtContent>
          <w:r w:rsidR="00301C9D">
            <w:rPr>
              <w:lang w:val="en-GB"/>
            </w:rPr>
            <w:fldChar w:fldCharType="begin"/>
          </w:r>
          <w:r w:rsidR="00301C9D">
            <w:rPr>
              <w:lang w:val="en-GB"/>
            </w:rPr>
            <w:instrText xml:space="preserve"> CITATION Loc18 \l 2057 </w:instrText>
          </w:r>
          <w:r w:rsidR="00301C9D">
            <w:rPr>
              <w:lang w:val="en-GB"/>
            </w:rPr>
            <w:fldChar w:fldCharType="separate"/>
          </w:r>
          <w:r w:rsidR="00301C9D">
            <w:rPr>
              <w:noProof/>
              <w:lang w:val="en-GB"/>
            </w:rPr>
            <w:t>(Lockett, 2018)</w:t>
          </w:r>
          <w:r w:rsidR="00301C9D">
            <w:rPr>
              <w:lang w:val="en-GB"/>
            </w:rPr>
            <w:fldChar w:fldCharType="end"/>
          </w:r>
        </w:sdtContent>
      </w:sdt>
      <w:r w:rsidRPr="008F27B9">
        <w:rPr>
          <w:lang w:val="en-GB"/>
        </w:rPr>
        <w:t xml:space="preserve">. New users' identity would be linked to data from the public secretary authority during the time of registration and the system would able to detect whether the new users were minors. Newly registered minors would then be included in the "anti- addition system" and their game time would be limited </w:t>
      </w:r>
      <w:sdt>
        <w:sdtPr>
          <w:rPr>
            <w:lang w:val="en-GB"/>
          </w:rPr>
          <w:id w:val="1371337103"/>
          <w:citation/>
        </w:sdtPr>
        <w:sdtEndPr/>
        <w:sdtContent>
          <w:r w:rsidR="00301C9D">
            <w:rPr>
              <w:lang w:val="en-GB"/>
            </w:rPr>
            <w:fldChar w:fldCharType="begin"/>
          </w:r>
          <w:r w:rsidR="00301C9D">
            <w:rPr>
              <w:lang w:val="en-GB"/>
            </w:rPr>
            <w:instrText xml:space="preserve"> CITATION Sta18 \l 2057 </w:instrText>
          </w:r>
          <w:r w:rsidR="00301C9D">
            <w:rPr>
              <w:lang w:val="en-GB"/>
            </w:rPr>
            <w:fldChar w:fldCharType="separate"/>
          </w:r>
          <w:r w:rsidR="00301C9D">
            <w:rPr>
              <w:noProof/>
              <w:lang w:val="en-GB"/>
            </w:rPr>
            <w:t>(Stand News, 2018)</w:t>
          </w:r>
          <w:r w:rsidR="00301C9D">
            <w:rPr>
              <w:lang w:val="en-GB"/>
            </w:rPr>
            <w:fldChar w:fldCharType="end"/>
          </w:r>
        </w:sdtContent>
      </w:sdt>
      <w:r w:rsidRPr="008F27B9">
        <w:rPr>
          <w:lang w:val="en-GB"/>
        </w:rPr>
        <w:t>.</w:t>
      </w:r>
      <w:r w:rsidR="00E3149A">
        <w:rPr>
          <w:lang w:val="en-GB"/>
        </w:rPr>
        <w:t xml:space="preserve"> </w:t>
      </w:r>
      <w:r w:rsidR="00E3149A">
        <w:rPr>
          <w:rFonts w:hint="eastAsia"/>
          <w:lang w:val="en-GB"/>
        </w:rPr>
        <w:t>De</w:t>
      </w:r>
      <w:r w:rsidR="00E3149A">
        <w:rPr>
          <w:lang w:val="en-GB"/>
        </w:rPr>
        <w:t>spite</w:t>
      </w:r>
      <w:r w:rsidRPr="008F27B9">
        <w:rPr>
          <w:lang w:val="en-GB"/>
        </w:rPr>
        <w:t xml:space="preserve"> it was not mentioned how or whether current users will be affected by the new system </w:t>
      </w:r>
      <w:sdt>
        <w:sdtPr>
          <w:rPr>
            <w:lang w:val="en-GB"/>
          </w:rPr>
          <w:id w:val="-1726207304"/>
          <w:citation/>
        </w:sdtPr>
        <w:sdtEndPr/>
        <w:sdtContent>
          <w:r w:rsidR="00301C9D">
            <w:rPr>
              <w:lang w:val="en-GB"/>
            </w:rPr>
            <w:fldChar w:fldCharType="begin"/>
          </w:r>
          <w:r w:rsidR="00301C9D">
            <w:rPr>
              <w:lang w:val="en-GB"/>
            </w:rPr>
            <w:instrText xml:space="preserve"> CITATION Loc18 \l 2057 </w:instrText>
          </w:r>
          <w:r w:rsidR="00301C9D">
            <w:rPr>
              <w:lang w:val="en-GB"/>
            </w:rPr>
            <w:fldChar w:fldCharType="separate"/>
          </w:r>
          <w:r w:rsidR="00301C9D">
            <w:rPr>
              <w:noProof/>
              <w:lang w:val="en-GB"/>
            </w:rPr>
            <w:t>(Lockett, 2018)</w:t>
          </w:r>
          <w:r w:rsidR="00301C9D">
            <w:rPr>
              <w:lang w:val="en-GB"/>
            </w:rPr>
            <w:fldChar w:fldCharType="end"/>
          </w:r>
        </w:sdtContent>
      </w:sdt>
      <w:r w:rsidR="00E3149A">
        <w:rPr>
          <w:lang w:val="en-GB"/>
        </w:rPr>
        <w:t xml:space="preserve">, the implementation of the real name verification system discourage new players by increasing the barrier, which in turns reduce the potential growth </w:t>
      </w:r>
      <w:r w:rsidR="00CC2CB4">
        <w:rPr>
          <w:lang w:val="en-GB"/>
        </w:rPr>
        <w:t>of profit</w:t>
      </w:r>
      <w:r w:rsidRPr="008F27B9">
        <w:rPr>
          <w:lang w:val="en-GB"/>
        </w:rPr>
        <w:t xml:space="preserve">. This is the first real name verification with public secretary database </w:t>
      </w:r>
      <w:r w:rsidR="003826FA">
        <w:rPr>
          <w:lang w:val="en-GB"/>
        </w:rPr>
        <w:t>to be</w:t>
      </w:r>
      <w:r w:rsidRPr="008F27B9">
        <w:rPr>
          <w:lang w:val="en-GB"/>
        </w:rPr>
        <w:t xml:space="preserve"> implemented in the gaming industry but </w:t>
      </w:r>
      <w:r w:rsidR="003B7AF8">
        <w:rPr>
          <w:lang w:val="en-GB"/>
        </w:rPr>
        <w:t>Tencent</w:t>
      </w:r>
      <w:r w:rsidRPr="008F27B9">
        <w:rPr>
          <w:lang w:val="en-GB"/>
        </w:rPr>
        <w:t xml:space="preserve"> would gradually expand </w:t>
      </w:r>
      <w:r w:rsidR="003B7AF8">
        <w:rPr>
          <w:lang w:val="en-GB"/>
        </w:rPr>
        <w:t xml:space="preserve">the </w:t>
      </w:r>
      <w:r w:rsidR="00464C9D">
        <w:rPr>
          <w:lang w:val="en-GB"/>
        </w:rPr>
        <w:t>verification</w:t>
      </w:r>
      <w:r w:rsidR="003B7AF8">
        <w:rPr>
          <w:lang w:val="en-GB"/>
        </w:rPr>
        <w:t xml:space="preserve"> </w:t>
      </w:r>
      <w:r w:rsidRPr="008F27B9">
        <w:rPr>
          <w:lang w:val="en-GB"/>
        </w:rPr>
        <w:t xml:space="preserve">to other Tencent games once it succeeded in "Honours of Kings" </w:t>
      </w:r>
      <w:sdt>
        <w:sdtPr>
          <w:rPr>
            <w:lang w:val="en-GB"/>
          </w:rPr>
          <w:id w:val="-2043738476"/>
          <w:citation/>
        </w:sdtPr>
        <w:sdtEndPr/>
        <w:sdtContent>
          <w:r w:rsidR="00301C9D">
            <w:rPr>
              <w:lang w:val="en-GB"/>
            </w:rPr>
            <w:fldChar w:fldCharType="begin"/>
          </w:r>
          <w:r w:rsidR="00301C9D">
            <w:rPr>
              <w:lang w:val="en-GB"/>
            </w:rPr>
            <w:instrText xml:space="preserve"> CITATION Den18 \l 2057 </w:instrText>
          </w:r>
          <w:r w:rsidR="00301C9D">
            <w:rPr>
              <w:lang w:val="en-GB"/>
            </w:rPr>
            <w:fldChar w:fldCharType="separate"/>
          </w:r>
          <w:r w:rsidR="00301C9D">
            <w:rPr>
              <w:noProof/>
              <w:lang w:val="en-GB"/>
            </w:rPr>
            <w:t>(Deng , 2018)</w:t>
          </w:r>
          <w:r w:rsidR="00301C9D">
            <w:rPr>
              <w:lang w:val="en-GB"/>
            </w:rPr>
            <w:fldChar w:fldCharType="end"/>
          </w:r>
        </w:sdtContent>
      </w:sdt>
      <w:r w:rsidRPr="008F27B9">
        <w:rPr>
          <w:lang w:val="en-GB"/>
        </w:rPr>
        <w:t>.</w:t>
      </w:r>
    </w:p>
    <w:p w14:paraId="387889DA" w14:textId="77777777" w:rsidR="00301C9D" w:rsidRDefault="00301C9D" w:rsidP="008F27B9">
      <w:pPr>
        <w:rPr>
          <w:rFonts w:asciiTheme="minorEastAsia" w:hAnsiTheme="minorEastAsia"/>
          <w:lang w:val="en-GB"/>
        </w:rPr>
      </w:pPr>
    </w:p>
    <w:p w14:paraId="034D4458" w14:textId="77777777" w:rsidR="00301C9D" w:rsidRDefault="00301C9D" w:rsidP="008F27B9">
      <w:pPr>
        <w:rPr>
          <w:rFonts w:asciiTheme="minorEastAsia" w:hAnsiTheme="minorEastAsia"/>
          <w:lang w:val="en-GB"/>
        </w:rPr>
      </w:pPr>
    </w:p>
    <w:p w14:paraId="464396C5" w14:textId="77777777" w:rsidR="008F485F" w:rsidRDefault="008F485F" w:rsidP="00972FCC">
      <w:pPr>
        <w:pStyle w:val="Heading1"/>
        <w:rPr>
          <w:lang w:val="en-GB" w:eastAsia="ja-JP"/>
        </w:rPr>
      </w:pPr>
      <w:r>
        <w:rPr>
          <w:lang w:val="en-GB" w:eastAsia="ja-JP"/>
        </w:rPr>
        <w:t xml:space="preserve">Model Estimation and </w:t>
      </w:r>
      <w:r w:rsidR="00821382">
        <w:rPr>
          <w:lang w:val="en-GB" w:eastAsia="ja-JP"/>
        </w:rPr>
        <w:t>hypothesis testing</w:t>
      </w:r>
    </w:p>
    <w:p w14:paraId="29FBE341" w14:textId="77777777" w:rsidR="000D0C4B" w:rsidRPr="000D0C4B" w:rsidRDefault="000D0C4B" w:rsidP="000D0C4B">
      <w:pPr>
        <w:pStyle w:val="Subtitle"/>
        <w:rPr>
          <w:lang w:val="en-GB" w:eastAsia="ja-JP"/>
        </w:rPr>
      </w:pPr>
      <w:r>
        <w:rPr>
          <w:lang w:val="en-GB" w:eastAsia="ja-JP"/>
        </w:rPr>
        <w:t>First event</w:t>
      </w:r>
    </w:p>
    <w:p w14:paraId="097B3AE2" w14:textId="737A2C6D" w:rsidR="00D20FB9" w:rsidRDefault="00187BEE" w:rsidP="00821382">
      <w:pPr>
        <w:rPr>
          <w:lang w:val="en-GB"/>
        </w:rPr>
      </w:pPr>
      <w:r>
        <w:rPr>
          <w:lang w:val="en-GB" w:eastAsia="ja-JP"/>
        </w:rPr>
        <w:t xml:space="preserve">  The first event consists of a</w:t>
      </w:r>
      <w:r w:rsidR="00EF5304">
        <w:rPr>
          <w:lang w:val="en-GB" w:eastAsia="ja-JP"/>
        </w:rPr>
        <w:t>n</w:t>
      </w:r>
      <w:r>
        <w:rPr>
          <w:lang w:val="en-GB" w:eastAsia="ja-JP"/>
        </w:rPr>
        <w:t xml:space="preserve"> event window of 13</w:t>
      </w:r>
      <w:r w:rsidRPr="00187BEE">
        <w:rPr>
          <w:vertAlign w:val="superscript"/>
          <w:lang w:val="en-GB" w:eastAsia="ja-JP"/>
        </w:rPr>
        <w:t>th</w:t>
      </w:r>
      <w:r>
        <w:rPr>
          <w:lang w:val="en-GB" w:eastAsia="ja-JP"/>
        </w:rPr>
        <w:t xml:space="preserve"> August to 16</w:t>
      </w:r>
      <w:r w:rsidRPr="00187BEE">
        <w:rPr>
          <w:vertAlign w:val="superscript"/>
          <w:lang w:val="en-GB" w:eastAsia="ja-JP"/>
        </w:rPr>
        <w:t>th</w:t>
      </w:r>
      <w:r>
        <w:rPr>
          <w:lang w:val="en-GB" w:eastAsia="ja-JP"/>
        </w:rPr>
        <w:t xml:space="preserve"> August and a</w:t>
      </w:r>
      <w:r w:rsidR="00EF5304">
        <w:rPr>
          <w:lang w:val="en-GB" w:eastAsia="ja-JP"/>
        </w:rPr>
        <w:t>n</w:t>
      </w:r>
      <w:r>
        <w:rPr>
          <w:lang w:val="en-GB" w:eastAsia="ja-JP"/>
        </w:rPr>
        <w:t xml:space="preserve"> estimation window from 12</w:t>
      </w:r>
      <w:r w:rsidRPr="00187BEE">
        <w:rPr>
          <w:vertAlign w:val="superscript"/>
          <w:lang w:val="en-GB" w:eastAsia="ja-JP"/>
        </w:rPr>
        <w:t>th</w:t>
      </w:r>
      <w:r>
        <w:rPr>
          <w:lang w:val="en-GB" w:eastAsia="ja-JP"/>
        </w:rPr>
        <w:t xml:space="preserve"> March to 12</w:t>
      </w:r>
      <w:r w:rsidRPr="00187BEE">
        <w:rPr>
          <w:vertAlign w:val="superscript"/>
          <w:lang w:val="en-GB" w:eastAsia="ja-JP"/>
        </w:rPr>
        <w:t>th</w:t>
      </w:r>
      <w:r>
        <w:rPr>
          <w:lang w:val="en-GB" w:eastAsia="ja-JP"/>
        </w:rPr>
        <w:t xml:space="preserve"> </w:t>
      </w:r>
      <w:r w:rsidR="000E3077">
        <w:rPr>
          <w:lang w:val="en-GB" w:eastAsia="ja-JP"/>
        </w:rPr>
        <w:t>July</w:t>
      </w:r>
      <w:r>
        <w:rPr>
          <w:lang w:val="en-GB" w:eastAsia="ja-JP"/>
        </w:rPr>
        <w:t xml:space="preserve"> 2018. </w:t>
      </w:r>
      <w:r w:rsidR="00DA1339" w:rsidRPr="00DA1339">
        <w:rPr>
          <w:lang w:eastAsia="ja-JP"/>
        </w:rPr>
        <w:t>The relationship between return of Tencent and the return of the market, Hang Seng Index in the estimation window of the first event is shown from the result. The abnormal equation for the first event can be set as follow</w:t>
      </w:r>
      <w:r w:rsidR="00622001">
        <w:rPr>
          <w:lang w:val="en-GB"/>
        </w:rPr>
        <w:t>:</w:t>
      </w:r>
    </w:p>
    <w:p w14:paraId="578EB5A2" w14:textId="77777777" w:rsidR="00CD5D55" w:rsidRDefault="00A11209" w:rsidP="00821382">
      <w:pPr>
        <w:rPr>
          <w:lang w:val="en-GB"/>
        </w:rPr>
      </w:pPr>
      <m:oMathPara>
        <m:oMath>
          <m:sSub>
            <m:sSubPr>
              <m:ctrlPr>
                <w:rPr>
                  <w:rFonts w:ascii="Cambria Math" w:hAnsi="Cambria Math" w:cstheme="minorHAnsi"/>
                  <w:i/>
                  <w:lang w:val="en-GB"/>
                </w:rPr>
              </m:ctrlPr>
            </m:sSubPr>
            <m:e>
              <m:acc>
                <m:accPr>
                  <m:ctrlPr>
                    <w:rPr>
                      <w:rFonts w:ascii="Cambria Math" w:hAnsi="Cambria Math" w:cstheme="minorHAnsi"/>
                      <w:i/>
                      <w:lang w:val="en-GB"/>
                    </w:rPr>
                  </m:ctrlPr>
                </m:accPr>
                <m:e>
                  <m:r>
                    <w:rPr>
                      <w:rFonts w:ascii="Cambria Math" w:hAnsi="Cambria Math" w:cstheme="minorHAnsi"/>
                      <w:lang w:val="en-GB"/>
                    </w:rPr>
                    <m:t>AR</m:t>
                  </m:r>
                </m:e>
              </m:acc>
            </m:e>
            <m:sub>
              <m:r>
                <w:rPr>
                  <w:rFonts w:ascii="Cambria Math" w:hAnsi="Cambria Math" w:cstheme="minorHAnsi"/>
                  <w:lang w:val="en-GB"/>
                </w:rPr>
                <m:t>iτ</m:t>
              </m:r>
            </m:sub>
          </m:sSub>
          <m:r>
            <w:rPr>
              <w:rFonts w:ascii="Cambria Math" w:hAnsi="Cambria Math" w:cstheme="minorHAnsi"/>
              <w:lang w:val="en-GB"/>
            </w:rPr>
            <m:t>=</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iτ</m:t>
              </m:r>
            </m:sub>
          </m:sSub>
          <m:r>
            <w:rPr>
              <w:rFonts w:ascii="Cambria Math" w:hAnsi="Cambria Math" w:cstheme="minorHAnsi"/>
              <w:lang w:val="en-GB"/>
            </w:rPr>
            <m:t>+ 0.0007-1.3114×</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mτ</m:t>
              </m:r>
            </m:sub>
          </m:sSub>
        </m:oMath>
      </m:oMathPara>
    </w:p>
    <w:p w14:paraId="18DAF746" w14:textId="77777777" w:rsidR="00094F21" w:rsidRDefault="00C70DE8" w:rsidP="00821382">
      <w:pPr>
        <w:rPr>
          <w:lang w:val="en-GB"/>
        </w:rPr>
      </w:pPr>
      <w:r>
        <w:rPr>
          <w:lang w:val="en-GB"/>
        </w:rPr>
        <w:t xml:space="preserve">  </w:t>
      </w:r>
      <w:r w:rsidR="00DA1339" w:rsidRPr="00DA1339">
        <w:rPr>
          <w:lang w:val="en-GB"/>
        </w:rPr>
        <w:t xml:space="preserve">By inserting the return of Tencent and market return on each day of the event window to the equation, the </w:t>
      </w:r>
      <w:r w:rsidR="00BB39B5">
        <w:rPr>
          <w:lang w:val="en-GB"/>
        </w:rPr>
        <w:t>AR and CAR</w:t>
      </w:r>
      <w:r w:rsidR="00DA1339" w:rsidRPr="00DA1339">
        <w:rPr>
          <w:lang w:val="en-GB"/>
        </w:rPr>
        <w:t xml:space="preserve"> can be calculated. The result is as shown in the following table.</w:t>
      </w:r>
    </w:p>
    <w:p w14:paraId="234CEFBB" w14:textId="0BF94A5D" w:rsidR="00094F21" w:rsidRDefault="00094F21" w:rsidP="00821382">
      <w:pPr>
        <w:rPr>
          <w:lang w:val="en-GB"/>
        </w:rPr>
      </w:pPr>
    </w:p>
    <w:p w14:paraId="75A68ED9" w14:textId="77777777" w:rsidR="00DC13AF" w:rsidRDefault="00DC13AF" w:rsidP="00821382">
      <w:pPr>
        <w:rPr>
          <w:lang w:val="en-GB"/>
        </w:rPr>
      </w:pPr>
    </w:p>
    <w:tbl>
      <w:tblPr>
        <w:tblStyle w:val="TableGridLight"/>
        <w:tblW w:w="8126" w:type="dxa"/>
        <w:jc w:val="center"/>
        <w:tblLook w:val="04A0" w:firstRow="1" w:lastRow="0" w:firstColumn="1" w:lastColumn="0" w:noHBand="0" w:noVBand="1"/>
      </w:tblPr>
      <w:tblGrid>
        <w:gridCol w:w="1388"/>
        <w:gridCol w:w="1118"/>
        <w:gridCol w:w="1118"/>
        <w:gridCol w:w="1118"/>
        <w:gridCol w:w="1118"/>
        <w:gridCol w:w="1118"/>
        <w:gridCol w:w="1148"/>
      </w:tblGrid>
      <w:tr w:rsidR="006C56E8" w14:paraId="16615FA8" w14:textId="77777777" w:rsidTr="006C56E8">
        <w:trPr>
          <w:trHeight w:val="288"/>
          <w:jc w:val="center"/>
        </w:trPr>
        <w:tc>
          <w:tcPr>
            <w:tcW w:w="1388" w:type="dxa"/>
            <w:noWrap/>
            <w:hideMark/>
          </w:tcPr>
          <w:p w14:paraId="3644F4F8" w14:textId="77777777" w:rsidR="006C56E8" w:rsidRDefault="006C56E8" w:rsidP="006C56E8">
            <w:pPr>
              <w:jc w:val="center"/>
              <w:rPr>
                <w:rFonts w:ascii="Calibri" w:hAnsi="Calibri" w:cs="Calibri"/>
                <w:color w:val="000000"/>
              </w:rPr>
            </w:pPr>
            <w:r>
              <w:rPr>
                <w:rFonts w:ascii="Calibri" w:hAnsi="Calibri" w:cs="Calibri"/>
                <w:color w:val="000000"/>
              </w:rPr>
              <w:t>Date</w:t>
            </w:r>
          </w:p>
        </w:tc>
        <w:tc>
          <w:tcPr>
            <w:tcW w:w="1118" w:type="dxa"/>
            <w:noWrap/>
            <w:hideMark/>
          </w:tcPr>
          <w:p w14:paraId="0E76A098" w14:textId="77777777" w:rsidR="006C56E8" w:rsidRDefault="006C56E8" w:rsidP="006C56E8">
            <w:pPr>
              <w:jc w:val="center"/>
              <w:rPr>
                <w:rFonts w:ascii="Calibri" w:hAnsi="Calibri" w:cs="Calibri"/>
                <w:color w:val="000000"/>
              </w:rPr>
            </w:pPr>
            <w:proofErr w:type="spellStart"/>
            <w:r>
              <w:rPr>
                <w:rFonts w:ascii="Calibri" w:hAnsi="Calibri" w:cs="Calibri"/>
                <w:color w:val="000000"/>
              </w:rPr>
              <w:t>ln_ret</w:t>
            </w:r>
            <w:proofErr w:type="spellEnd"/>
          </w:p>
        </w:tc>
        <w:tc>
          <w:tcPr>
            <w:tcW w:w="1118" w:type="dxa"/>
            <w:noWrap/>
            <w:hideMark/>
          </w:tcPr>
          <w:p w14:paraId="77FB9A2B" w14:textId="77777777" w:rsidR="006C56E8" w:rsidRDefault="006C56E8" w:rsidP="006C56E8">
            <w:pPr>
              <w:jc w:val="center"/>
              <w:rPr>
                <w:rFonts w:ascii="Calibri" w:hAnsi="Calibri" w:cs="Calibri"/>
                <w:color w:val="000000"/>
              </w:rPr>
            </w:pPr>
            <w:r>
              <w:rPr>
                <w:rFonts w:ascii="Calibri" w:hAnsi="Calibri" w:cs="Calibri"/>
                <w:color w:val="000000"/>
              </w:rPr>
              <w:t>ER</w:t>
            </w:r>
          </w:p>
        </w:tc>
        <w:tc>
          <w:tcPr>
            <w:tcW w:w="1118" w:type="dxa"/>
            <w:noWrap/>
            <w:hideMark/>
          </w:tcPr>
          <w:p w14:paraId="0A56513F" w14:textId="77777777" w:rsidR="006C56E8" w:rsidRDefault="006C56E8" w:rsidP="006C56E8">
            <w:pPr>
              <w:jc w:val="center"/>
              <w:rPr>
                <w:rFonts w:ascii="Calibri" w:hAnsi="Calibri" w:cs="Calibri"/>
                <w:color w:val="000000"/>
              </w:rPr>
            </w:pPr>
            <w:r>
              <w:rPr>
                <w:rFonts w:ascii="Calibri" w:hAnsi="Calibri" w:cs="Calibri"/>
                <w:color w:val="000000"/>
              </w:rPr>
              <w:t>AR</w:t>
            </w:r>
          </w:p>
        </w:tc>
        <w:tc>
          <w:tcPr>
            <w:tcW w:w="1118" w:type="dxa"/>
            <w:noWrap/>
            <w:hideMark/>
          </w:tcPr>
          <w:p w14:paraId="2C778779" w14:textId="77777777" w:rsidR="006C56E8" w:rsidRDefault="006C56E8" w:rsidP="006C56E8">
            <w:pPr>
              <w:jc w:val="center"/>
              <w:rPr>
                <w:rFonts w:ascii="Calibri" w:hAnsi="Calibri" w:cs="Calibri"/>
                <w:color w:val="000000"/>
              </w:rPr>
            </w:pPr>
            <w:r>
              <w:rPr>
                <w:rFonts w:ascii="Calibri" w:hAnsi="Calibri" w:cs="Calibri"/>
                <w:color w:val="000000"/>
              </w:rPr>
              <w:t>AR Beta</w:t>
            </w:r>
          </w:p>
        </w:tc>
        <w:tc>
          <w:tcPr>
            <w:tcW w:w="1118" w:type="dxa"/>
            <w:noWrap/>
            <w:hideMark/>
          </w:tcPr>
          <w:p w14:paraId="0094FF88" w14:textId="77777777" w:rsidR="006C56E8" w:rsidRDefault="006C56E8" w:rsidP="006C56E8">
            <w:pPr>
              <w:jc w:val="center"/>
              <w:rPr>
                <w:rFonts w:ascii="Calibri" w:hAnsi="Calibri" w:cs="Calibri"/>
                <w:color w:val="000000"/>
              </w:rPr>
            </w:pPr>
            <w:r>
              <w:rPr>
                <w:rFonts w:ascii="Calibri" w:hAnsi="Calibri" w:cs="Calibri"/>
                <w:color w:val="000000"/>
              </w:rPr>
              <w:t>CAR</w:t>
            </w:r>
          </w:p>
        </w:tc>
        <w:tc>
          <w:tcPr>
            <w:tcW w:w="1148" w:type="dxa"/>
            <w:noWrap/>
            <w:hideMark/>
          </w:tcPr>
          <w:p w14:paraId="6F1BBE53" w14:textId="77777777" w:rsidR="006C56E8" w:rsidRDefault="006C56E8" w:rsidP="006C56E8">
            <w:pPr>
              <w:jc w:val="center"/>
              <w:rPr>
                <w:rFonts w:ascii="Calibri" w:hAnsi="Calibri" w:cs="Calibri"/>
                <w:color w:val="000000"/>
              </w:rPr>
            </w:pPr>
            <w:r>
              <w:rPr>
                <w:rFonts w:ascii="Calibri" w:hAnsi="Calibri" w:cs="Calibri"/>
                <w:color w:val="000000"/>
              </w:rPr>
              <w:t>CAR Beta</w:t>
            </w:r>
          </w:p>
        </w:tc>
      </w:tr>
      <w:tr w:rsidR="006C56E8" w14:paraId="3FF0E7E7" w14:textId="77777777" w:rsidTr="006C56E8">
        <w:trPr>
          <w:trHeight w:val="288"/>
          <w:jc w:val="center"/>
        </w:trPr>
        <w:tc>
          <w:tcPr>
            <w:tcW w:w="1388" w:type="dxa"/>
            <w:noWrap/>
            <w:hideMark/>
          </w:tcPr>
          <w:p w14:paraId="309F6575" w14:textId="77777777" w:rsidR="006C56E8" w:rsidRDefault="006C56E8" w:rsidP="006C56E8">
            <w:pPr>
              <w:jc w:val="center"/>
              <w:rPr>
                <w:rFonts w:ascii="Calibri" w:hAnsi="Calibri" w:cs="Calibri"/>
                <w:color w:val="000000"/>
              </w:rPr>
            </w:pPr>
            <w:r>
              <w:rPr>
                <w:rFonts w:ascii="Calibri" w:hAnsi="Calibri" w:cs="Calibri"/>
                <w:color w:val="000000"/>
              </w:rPr>
              <w:t>13/08/2018</w:t>
            </w:r>
          </w:p>
        </w:tc>
        <w:tc>
          <w:tcPr>
            <w:tcW w:w="1118" w:type="dxa"/>
            <w:noWrap/>
            <w:hideMark/>
          </w:tcPr>
          <w:p w14:paraId="6E040089" w14:textId="77777777" w:rsidR="006C56E8" w:rsidRDefault="006C56E8" w:rsidP="006C56E8">
            <w:pPr>
              <w:jc w:val="center"/>
              <w:rPr>
                <w:rFonts w:ascii="Calibri" w:hAnsi="Calibri" w:cs="Calibri"/>
                <w:color w:val="000000"/>
              </w:rPr>
            </w:pPr>
            <w:r>
              <w:rPr>
                <w:rFonts w:ascii="Calibri" w:hAnsi="Calibri" w:cs="Calibri"/>
                <w:color w:val="000000"/>
              </w:rPr>
              <w:t>-0.02463</w:t>
            </w:r>
          </w:p>
        </w:tc>
        <w:tc>
          <w:tcPr>
            <w:tcW w:w="1118" w:type="dxa"/>
            <w:noWrap/>
            <w:hideMark/>
          </w:tcPr>
          <w:p w14:paraId="2A95691A" w14:textId="77777777" w:rsidR="006C56E8" w:rsidRDefault="006C56E8" w:rsidP="006C56E8">
            <w:pPr>
              <w:jc w:val="center"/>
              <w:rPr>
                <w:rFonts w:ascii="Calibri" w:hAnsi="Calibri" w:cs="Calibri"/>
                <w:color w:val="000000"/>
              </w:rPr>
            </w:pPr>
            <w:r>
              <w:rPr>
                <w:rFonts w:ascii="Calibri" w:hAnsi="Calibri" w:cs="Calibri"/>
                <w:color w:val="000000"/>
              </w:rPr>
              <w:t>-0.02071</w:t>
            </w:r>
          </w:p>
        </w:tc>
        <w:tc>
          <w:tcPr>
            <w:tcW w:w="1118" w:type="dxa"/>
            <w:noWrap/>
            <w:hideMark/>
          </w:tcPr>
          <w:p w14:paraId="40EDE27C" w14:textId="77777777" w:rsidR="006C56E8" w:rsidRDefault="006C56E8" w:rsidP="006C56E8">
            <w:pPr>
              <w:jc w:val="center"/>
              <w:rPr>
                <w:rFonts w:ascii="Calibri" w:hAnsi="Calibri" w:cs="Calibri"/>
                <w:color w:val="000000"/>
              </w:rPr>
            </w:pPr>
            <w:r>
              <w:rPr>
                <w:rFonts w:ascii="Calibri" w:hAnsi="Calibri" w:cs="Calibri"/>
                <w:color w:val="000000"/>
              </w:rPr>
              <w:t>-0.00392</w:t>
            </w:r>
          </w:p>
        </w:tc>
        <w:tc>
          <w:tcPr>
            <w:tcW w:w="1118" w:type="dxa"/>
            <w:noWrap/>
            <w:hideMark/>
          </w:tcPr>
          <w:p w14:paraId="0116994D" w14:textId="77777777" w:rsidR="006C56E8" w:rsidRDefault="006C56E8" w:rsidP="006C56E8">
            <w:pPr>
              <w:jc w:val="center"/>
              <w:rPr>
                <w:rFonts w:ascii="Calibri" w:hAnsi="Calibri" w:cs="Calibri"/>
                <w:color w:val="000000"/>
              </w:rPr>
            </w:pPr>
            <w:r>
              <w:rPr>
                <w:rFonts w:ascii="Calibri" w:hAnsi="Calibri" w:cs="Calibri"/>
                <w:color w:val="000000"/>
              </w:rPr>
              <w:t>-0.36458</w:t>
            </w:r>
          </w:p>
        </w:tc>
        <w:tc>
          <w:tcPr>
            <w:tcW w:w="1118" w:type="dxa"/>
            <w:noWrap/>
            <w:hideMark/>
          </w:tcPr>
          <w:p w14:paraId="5B03C1D0" w14:textId="77777777" w:rsidR="006C56E8" w:rsidRDefault="006C56E8" w:rsidP="006C56E8">
            <w:pPr>
              <w:jc w:val="center"/>
              <w:rPr>
                <w:rFonts w:ascii="Calibri" w:hAnsi="Calibri" w:cs="Calibri"/>
                <w:color w:val="000000"/>
              </w:rPr>
            </w:pPr>
            <w:r>
              <w:rPr>
                <w:rFonts w:ascii="Calibri" w:hAnsi="Calibri" w:cs="Calibri"/>
                <w:color w:val="000000"/>
              </w:rPr>
              <w:t>-0.00392</w:t>
            </w:r>
          </w:p>
        </w:tc>
        <w:tc>
          <w:tcPr>
            <w:tcW w:w="1148" w:type="dxa"/>
            <w:noWrap/>
            <w:hideMark/>
          </w:tcPr>
          <w:p w14:paraId="3A2F3429" w14:textId="77777777" w:rsidR="006C56E8" w:rsidRDefault="006C56E8" w:rsidP="006C56E8">
            <w:pPr>
              <w:jc w:val="center"/>
              <w:rPr>
                <w:rFonts w:ascii="Calibri" w:hAnsi="Calibri" w:cs="Calibri"/>
                <w:color w:val="000000"/>
              </w:rPr>
            </w:pPr>
            <w:r>
              <w:rPr>
                <w:rFonts w:ascii="Calibri" w:hAnsi="Calibri" w:cs="Calibri"/>
                <w:color w:val="000000"/>
              </w:rPr>
              <w:t>-0.18229</w:t>
            </w:r>
          </w:p>
        </w:tc>
      </w:tr>
      <w:tr w:rsidR="006C56E8" w14:paraId="12DEC415" w14:textId="77777777" w:rsidTr="006C56E8">
        <w:trPr>
          <w:trHeight w:val="288"/>
          <w:jc w:val="center"/>
        </w:trPr>
        <w:tc>
          <w:tcPr>
            <w:tcW w:w="1388" w:type="dxa"/>
            <w:noWrap/>
            <w:hideMark/>
          </w:tcPr>
          <w:p w14:paraId="17FD6F0C" w14:textId="77777777" w:rsidR="006C56E8" w:rsidRDefault="006C56E8" w:rsidP="006C56E8">
            <w:pPr>
              <w:jc w:val="center"/>
              <w:rPr>
                <w:rFonts w:ascii="Calibri" w:hAnsi="Calibri" w:cs="Calibri"/>
                <w:color w:val="000000"/>
              </w:rPr>
            </w:pPr>
            <w:r>
              <w:rPr>
                <w:rFonts w:ascii="Calibri" w:hAnsi="Calibri" w:cs="Calibri"/>
                <w:color w:val="000000"/>
              </w:rPr>
              <w:t>14/08/2018</w:t>
            </w:r>
          </w:p>
        </w:tc>
        <w:tc>
          <w:tcPr>
            <w:tcW w:w="1118" w:type="dxa"/>
            <w:noWrap/>
            <w:hideMark/>
          </w:tcPr>
          <w:p w14:paraId="7099E8F0" w14:textId="77777777" w:rsidR="006C56E8" w:rsidRDefault="006C56E8" w:rsidP="006C56E8">
            <w:pPr>
              <w:jc w:val="center"/>
              <w:rPr>
                <w:rFonts w:ascii="Calibri" w:hAnsi="Calibri" w:cs="Calibri"/>
                <w:color w:val="000000"/>
              </w:rPr>
            </w:pPr>
            <w:r>
              <w:rPr>
                <w:rFonts w:ascii="Calibri" w:hAnsi="Calibri" w:cs="Calibri"/>
                <w:color w:val="000000"/>
              </w:rPr>
              <w:t>-0.03495</w:t>
            </w:r>
          </w:p>
        </w:tc>
        <w:tc>
          <w:tcPr>
            <w:tcW w:w="1118" w:type="dxa"/>
            <w:noWrap/>
            <w:hideMark/>
          </w:tcPr>
          <w:p w14:paraId="5B8A2743" w14:textId="77777777" w:rsidR="006C56E8" w:rsidRDefault="006C56E8" w:rsidP="006C56E8">
            <w:pPr>
              <w:jc w:val="center"/>
              <w:rPr>
                <w:rFonts w:ascii="Calibri" w:hAnsi="Calibri" w:cs="Calibri"/>
                <w:color w:val="000000"/>
              </w:rPr>
            </w:pPr>
            <w:r>
              <w:rPr>
                <w:rFonts w:ascii="Calibri" w:hAnsi="Calibri" w:cs="Calibri"/>
                <w:color w:val="000000"/>
              </w:rPr>
              <w:t>-0.00933</w:t>
            </w:r>
          </w:p>
        </w:tc>
        <w:tc>
          <w:tcPr>
            <w:tcW w:w="1118" w:type="dxa"/>
            <w:noWrap/>
            <w:hideMark/>
          </w:tcPr>
          <w:p w14:paraId="5E111AB7" w14:textId="77777777" w:rsidR="006C56E8" w:rsidRDefault="006C56E8" w:rsidP="006C56E8">
            <w:pPr>
              <w:jc w:val="center"/>
              <w:rPr>
                <w:rFonts w:ascii="Calibri" w:hAnsi="Calibri" w:cs="Calibri"/>
                <w:color w:val="000000"/>
              </w:rPr>
            </w:pPr>
            <w:r>
              <w:rPr>
                <w:rFonts w:ascii="Calibri" w:hAnsi="Calibri" w:cs="Calibri"/>
                <w:color w:val="000000"/>
              </w:rPr>
              <w:t>-0.02563</w:t>
            </w:r>
          </w:p>
        </w:tc>
        <w:tc>
          <w:tcPr>
            <w:tcW w:w="1118" w:type="dxa"/>
            <w:noWrap/>
            <w:hideMark/>
          </w:tcPr>
          <w:p w14:paraId="513AD577" w14:textId="77777777" w:rsidR="006C56E8" w:rsidRDefault="006C56E8" w:rsidP="006C56E8">
            <w:pPr>
              <w:jc w:val="center"/>
              <w:rPr>
                <w:rFonts w:ascii="Calibri" w:hAnsi="Calibri" w:cs="Calibri"/>
                <w:color w:val="000000"/>
              </w:rPr>
            </w:pPr>
            <w:r>
              <w:rPr>
                <w:rFonts w:ascii="Calibri" w:hAnsi="Calibri" w:cs="Calibri"/>
                <w:color w:val="000000"/>
              </w:rPr>
              <w:t>-2.38303</w:t>
            </w:r>
          </w:p>
        </w:tc>
        <w:tc>
          <w:tcPr>
            <w:tcW w:w="1118" w:type="dxa"/>
            <w:noWrap/>
            <w:hideMark/>
          </w:tcPr>
          <w:p w14:paraId="591C2127" w14:textId="77777777" w:rsidR="006C56E8" w:rsidRDefault="006C56E8" w:rsidP="006C56E8">
            <w:pPr>
              <w:jc w:val="center"/>
              <w:rPr>
                <w:rFonts w:ascii="Calibri" w:hAnsi="Calibri" w:cs="Calibri"/>
                <w:color w:val="000000"/>
              </w:rPr>
            </w:pPr>
            <w:r>
              <w:rPr>
                <w:rFonts w:ascii="Calibri" w:hAnsi="Calibri" w:cs="Calibri"/>
                <w:color w:val="000000"/>
              </w:rPr>
              <w:t>-0.02955</w:t>
            </w:r>
          </w:p>
        </w:tc>
        <w:tc>
          <w:tcPr>
            <w:tcW w:w="1148" w:type="dxa"/>
            <w:noWrap/>
            <w:hideMark/>
          </w:tcPr>
          <w:p w14:paraId="2730B6BA" w14:textId="77777777" w:rsidR="006C56E8" w:rsidRDefault="006C56E8" w:rsidP="006C56E8">
            <w:pPr>
              <w:jc w:val="center"/>
              <w:rPr>
                <w:rFonts w:ascii="Calibri" w:hAnsi="Calibri" w:cs="Calibri"/>
                <w:color w:val="000000"/>
              </w:rPr>
            </w:pPr>
            <w:r>
              <w:rPr>
                <w:rFonts w:ascii="Calibri" w:hAnsi="Calibri" w:cs="Calibri"/>
                <w:color w:val="000000"/>
              </w:rPr>
              <w:t>-1.37381</w:t>
            </w:r>
          </w:p>
        </w:tc>
      </w:tr>
      <w:tr w:rsidR="006C56E8" w14:paraId="5064F7B6" w14:textId="77777777" w:rsidTr="006C56E8">
        <w:trPr>
          <w:trHeight w:val="288"/>
          <w:jc w:val="center"/>
        </w:trPr>
        <w:tc>
          <w:tcPr>
            <w:tcW w:w="1388" w:type="dxa"/>
            <w:noWrap/>
            <w:hideMark/>
          </w:tcPr>
          <w:p w14:paraId="07150A30" w14:textId="77777777" w:rsidR="006C56E8" w:rsidRDefault="006C56E8" w:rsidP="006C56E8">
            <w:pPr>
              <w:jc w:val="center"/>
              <w:rPr>
                <w:rFonts w:ascii="Calibri" w:hAnsi="Calibri" w:cs="Calibri"/>
                <w:color w:val="000000"/>
              </w:rPr>
            </w:pPr>
            <w:r>
              <w:rPr>
                <w:rFonts w:ascii="Calibri" w:hAnsi="Calibri" w:cs="Calibri"/>
                <w:color w:val="000000"/>
              </w:rPr>
              <w:t>15/08/2018</w:t>
            </w:r>
          </w:p>
        </w:tc>
        <w:tc>
          <w:tcPr>
            <w:tcW w:w="1118" w:type="dxa"/>
            <w:noWrap/>
            <w:hideMark/>
          </w:tcPr>
          <w:p w14:paraId="4D347B86" w14:textId="77777777" w:rsidR="006C56E8" w:rsidRDefault="006C56E8" w:rsidP="006C56E8">
            <w:pPr>
              <w:jc w:val="center"/>
              <w:rPr>
                <w:rFonts w:ascii="Calibri" w:hAnsi="Calibri" w:cs="Calibri"/>
                <w:color w:val="000000"/>
              </w:rPr>
            </w:pPr>
            <w:r>
              <w:rPr>
                <w:rFonts w:ascii="Calibri" w:hAnsi="Calibri" w:cs="Calibri"/>
                <w:color w:val="000000"/>
              </w:rPr>
              <w:t>-0.03681</w:t>
            </w:r>
          </w:p>
        </w:tc>
        <w:tc>
          <w:tcPr>
            <w:tcW w:w="1118" w:type="dxa"/>
            <w:noWrap/>
            <w:hideMark/>
          </w:tcPr>
          <w:p w14:paraId="7173A456" w14:textId="77777777" w:rsidR="006C56E8" w:rsidRDefault="006C56E8" w:rsidP="006C56E8">
            <w:pPr>
              <w:jc w:val="center"/>
              <w:rPr>
                <w:rFonts w:ascii="Calibri" w:hAnsi="Calibri" w:cs="Calibri"/>
                <w:color w:val="000000"/>
              </w:rPr>
            </w:pPr>
            <w:r>
              <w:rPr>
                <w:rFonts w:ascii="Calibri" w:hAnsi="Calibri" w:cs="Calibri"/>
                <w:color w:val="000000"/>
              </w:rPr>
              <w:t>-0.02112</w:t>
            </w:r>
          </w:p>
        </w:tc>
        <w:tc>
          <w:tcPr>
            <w:tcW w:w="1118" w:type="dxa"/>
            <w:noWrap/>
            <w:hideMark/>
          </w:tcPr>
          <w:p w14:paraId="7C745D37" w14:textId="77777777" w:rsidR="006C56E8" w:rsidRDefault="006C56E8" w:rsidP="006C56E8">
            <w:pPr>
              <w:jc w:val="center"/>
              <w:rPr>
                <w:rFonts w:ascii="Calibri" w:hAnsi="Calibri" w:cs="Calibri"/>
                <w:color w:val="000000"/>
              </w:rPr>
            </w:pPr>
            <w:r>
              <w:rPr>
                <w:rFonts w:ascii="Calibri" w:hAnsi="Calibri" w:cs="Calibri"/>
                <w:color w:val="000000"/>
              </w:rPr>
              <w:t>-0.01569</w:t>
            </w:r>
          </w:p>
        </w:tc>
        <w:tc>
          <w:tcPr>
            <w:tcW w:w="1118" w:type="dxa"/>
            <w:noWrap/>
            <w:hideMark/>
          </w:tcPr>
          <w:p w14:paraId="17290F6D" w14:textId="77777777" w:rsidR="006C56E8" w:rsidRDefault="006C56E8" w:rsidP="006C56E8">
            <w:pPr>
              <w:jc w:val="center"/>
              <w:rPr>
                <w:rFonts w:ascii="Calibri" w:hAnsi="Calibri" w:cs="Calibri"/>
                <w:color w:val="000000"/>
              </w:rPr>
            </w:pPr>
            <w:r>
              <w:rPr>
                <w:rFonts w:ascii="Calibri" w:hAnsi="Calibri" w:cs="Calibri"/>
                <w:color w:val="000000"/>
              </w:rPr>
              <w:t>-1.45879</w:t>
            </w:r>
          </w:p>
        </w:tc>
        <w:tc>
          <w:tcPr>
            <w:tcW w:w="1118" w:type="dxa"/>
            <w:noWrap/>
            <w:hideMark/>
          </w:tcPr>
          <w:p w14:paraId="1D419999" w14:textId="77777777" w:rsidR="006C56E8" w:rsidRDefault="006C56E8" w:rsidP="006C56E8">
            <w:pPr>
              <w:jc w:val="center"/>
              <w:rPr>
                <w:rFonts w:ascii="Calibri" w:hAnsi="Calibri" w:cs="Calibri"/>
                <w:color w:val="000000"/>
              </w:rPr>
            </w:pPr>
            <w:r>
              <w:rPr>
                <w:rFonts w:ascii="Calibri" w:hAnsi="Calibri" w:cs="Calibri"/>
                <w:color w:val="000000"/>
              </w:rPr>
              <w:t>-0.04523</w:t>
            </w:r>
          </w:p>
        </w:tc>
        <w:tc>
          <w:tcPr>
            <w:tcW w:w="1148" w:type="dxa"/>
            <w:noWrap/>
            <w:hideMark/>
          </w:tcPr>
          <w:p w14:paraId="78AE439E" w14:textId="77777777" w:rsidR="006C56E8" w:rsidRDefault="006C56E8" w:rsidP="006C56E8">
            <w:pPr>
              <w:jc w:val="center"/>
              <w:rPr>
                <w:rFonts w:ascii="Calibri" w:hAnsi="Calibri" w:cs="Calibri"/>
                <w:color w:val="000000"/>
              </w:rPr>
            </w:pPr>
            <w:r>
              <w:rPr>
                <w:rFonts w:ascii="Calibri" w:hAnsi="Calibri" w:cs="Calibri"/>
                <w:color w:val="000000"/>
              </w:rPr>
              <w:t>-2.1032</w:t>
            </w:r>
          </w:p>
        </w:tc>
      </w:tr>
      <w:tr w:rsidR="006C56E8" w14:paraId="65A3E0F8" w14:textId="77777777" w:rsidTr="006C56E8">
        <w:trPr>
          <w:trHeight w:val="288"/>
          <w:jc w:val="center"/>
        </w:trPr>
        <w:tc>
          <w:tcPr>
            <w:tcW w:w="1388" w:type="dxa"/>
            <w:noWrap/>
            <w:hideMark/>
          </w:tcPr>
          <w:p w14:paraId="4C7FEFF0" w14:textId="77777777" w:rsidR="006C56E8" w:rsidRDefault="006C56E8" w:rsidP="006C56E8">
            <w:pPr>
              <w:jc w:val="center"/>
              <w:rPr>
                <w:rFonts w:ascii="Calibri" w:hAnsi="Calibri" w:cs="Calibri"/>
                <w:color w:val="000000"/>
              </w:rPr>
            </w:pPr>
            <w:r>
              <w:rPr>
                <w:rFonts w:ascii="Calibri" w:hAnsi="Calibri" w:cs="Calibri"/>
                <w:color w:val="000000"/>
              </w:rPr>
              <w:t>16/08/2018</w:t>
            </w:r>
          </w:p>
        </w:tc>
        <w:tc>
          <w:tcPr>
            <w:tcW w:w="1118" w:type="dxa"/>
            <w:noWrap/>
            <w:hideMark/>
          </w:tcPr>
          <w:p w14:paraId="63249676" w14:textId="77777777" w:rsidR="006C56E8" w:rsidRDefault="006C56E8" w:rsidP="006C56E8">
            <w:pPr>
              <w:jc w:val="center"/>
              <w:rPr>
                <w:rFonts w:ascii="Calibri" w:hAnsi="Calibri" w:cs="Calibri"/>
                <w:color w:val="000000"/>
              </w:rPr>
            </w:pPr>
            <w:r>
              <w:rPr>
                <w:rFonts w:ascii="Calibri" w:hAnsi="Calibri" w:cs="Calibri"/>
                <w:color w:val="000000"/>
              </w:rPr>
              <w:t>-0.03083</w:t>
            </w:r>
          </w:p>
        </w:tc>
        <w:tc>
          <w:tcPr>
            <w:tcW w:w="1118" w:type="dxa"/>
            <w:noWrap/>
            <w:hideMark/>
          </w:tcPr>
          <w:p w14:paraId="0DAD29A0" w14:textId="77777777" w:rsidR="006C56E8" w:rsidRDefault="006C56E8" w:rsidP="006C56E8">
            <w:pPr>
              <w:jc w:val="center"/>
              <w:rPr>
                <w:rFonts w:ascii="Calibri" w:hAnsi="Calibri" w:cs="Calibri"/>
                <w:color w:val="000000"/>
              </w:rPr>
            </w:pPr>
            <w:r>
              <w:rPr>
                <w:rFonts w:ascii="Calibri" w:hAnsi="Calibri" w:cs="Calibri"/>
                <w:color w:val="000000"/>
              </w:rPr>
              <w:t>-0.01145</w:t>
            </w:r>
          </w:p>
        </w:tc>
        <w:tc>
          <w:tcPr>
            <w:tcW w:w="1118" w:type="dxa"/>
            <w:noWrap/>
            <w:hideMark/>
          </w:tcPr>
          <w:p w14:paraId="4722A329" w14:textId="77777777" w:rsidR="006C56E8" w:rsidRDefault="006C56E8" w:rsidP="006C56E8">
            <w:pPr>
              <w:jc w:val="center"/>
              <w:rPr>
                <w:rFonts w:ascii="Calibri" w:hAnsi="Calibri" w:cs="Calibri"/>
                <w:color w:val="000000"/>
              </w:rPr>
            </w:pPr>
            <w:r>
              <w:rPr>
                <w:rFonts w:ascii="Calibri" w:hAnsi="Calibri" w:cs="Calibri"/>
                <w:color w:val="000000"/>
              </w:rPr>
              <w:t>-0.01938</w:t>
            </w:r>
          </w:p>
        </w:tc>
        <w:tc>
          <w:tcPr>
            <w:tcW w:w="1118" w:type="dxa"/>
            <w:noWrap/>
            <w:hideMark/>
          </w:tcPr>
          <w:p w14:paraId="16DA330A" w14:textId="77777777" w:rsidR="006C56E8" w:rsidRDefault="006C56E8" w:rsidP="006C56E8">
            <w:pPr>
              <w:jc w:val="center"/>
              <w:rPr>
                <w:rFonts w:ascii="Calibri" w:hAnsi="Calibri" w:cs="Calibri"/>
                <w:color w:val="000000"/>
              </w:rPr>
            </w:pPr>
            <w:r>
              <w:rPr>
                <w:rFonts w:ascii="Calibri" w:hAnsi="Calibri" w:cs="Calibri"/>
                <w:color w:val="000000"/>
              </w:rPr>
              <w:t>-1.80214</w:t>
            </w:r>
          </w:p>
        </w:tc>
        <w:tc>
          <w:tcPr>
            <w:tcW w:w="1118" w:type="dxa"/>
            <w:noWrap/>
            <w:hideMark/>
          </w:tcPr>
          <w:p w14:paraId="4BE4C3A0" w14:textId="77777777" w:rsidR="006C56E8" w:rsidRDefault="006C56E8" w:rsidP="006C56E8">
            <w:pPr>
              <w:jc w:val="center"/>
              <w:rPr>
                <w:rFonts w:ascii="Calibri" w:hAnsi="Calibri" w:cs="Calibri"/>
                <w:color w:val="000000"/>
              </w:rPr>
            </w:pPr>
            <w:r>
              <w:rPr>
                <w:rFonts w:ascii="Calibri" w:hAnsi="Calibri" w:cs="Calibri"/>
                <w:color w:val="000000"/>
              </w:rPr>
              <w:t>-0.06461</w:t>
            </w:r>
          </w:p>
        </w:tc>
        <w:tc>
          <w:tcPr>
            <w:tcW w:w="1148" w:type="dxa"/>
            <w:noWrap/>
            <w:hideMark/>
          </w:tcPr>
          <w:p w14:paraId="2231A56C" w14:textId="77777777" w:rsidR="006C56E8" w:rsidRDefault="006C56E8" w:rsidP="006C56E8">
            <w:pPr>
              <w:jc w:val="center"/>
              <w:rPr>
                <w:rFonts w:ascii="Calibri" w:hAnsi="Calibri" w:cs="Calibri"/>
                <w:color w:val="000000"/>
              </w:rPr>
            </w:pPr>
            <w:r>
              <w:rPr>
                <w:rFonts w:ascii="Calibri" w:hAnsi="Calibri" w:cs="Calibri"/>
                <w:color w:val="000000"/>
              </w:rPr>
              <w:t>-3.00427</w:t>
            </w:r>
          </w:p>
        </w:tc>
      </w:tr>
    </w:tbl>
    <w:p w14:paraId="1D396AB5" w14:textId="77777777" w:rsidR="00622001" w:rsidRDefault="00622001" w:rsidP="00ED7D80">
      <w:pPr>
        <w:rPr>
          <w:lang w:val="en-GB"/>
        </w:rPr>
      </w:pPr>
    </w:p>
    <w:p w14:paraId="3EBF6770" w14:textId="02E9E7FD" w:rsidR="00AC61B5" w:rsidRDefault="00DA1339" w:rsidP="00821382">
      <w:pPr>
        <w:rPr>
          <w:lang w:val="en-GB" w:eastAsia="ja-JP"/>
        </w:rPr>
      </w:pPr>
      <w:r w:rsidRPr="00DA1339">
        <w:rPr>
          <w:lang w:val="en-GB"/>
        </w:rPr>
        <w:t xml:space="preserve">  From the table</w:t>
      </w:r>
      <w:r w:rsidR="00F54956">
        <w:rPr>
          <w:lang w:val="en-GB"/>
        </w:rPr>
        <w:t xml:space="preserve"> l</w:t>
      </w:r>
      <w:r w:rsidRPr="00DA1339">
        <w:rPr>
          <w:lang w:val="en-GB"/>
        </w:rPr>
        <w:t xml:space="preserve">n-ret represents the log return of the day and ER, AR and CAR represent the expected return, abnormal return and the cumulative abnormal return of the day respectively. </w:t>
      </w:r>
      <w:r w:rsidR="00F54956">
        <w:rPr>
          <w:lang w:val="en-GB"/>
        </w:rPr>
        <w:t xml:space="preserve">AR Beta and CAR Beta represent the t-stat for AR and CAR respectively. </w:t>
      </w:r>
      <w:r w:rsidRPr="00DA1339">
        <w:rPr>
          <w:lang w:val="en-GB"/>
        </w:rPr>
        <w:t xml:space="preserve">Since all the events negatively influence on Tencent, the actual return would be smaller than the expected return, if the event </w:t>
      </w:r>
      <w:r w:rsidR="00BB39B5">
        <w:rPr>
          <w:lang w:val="en-GB"/>
        </w:rPr>
        <w:t>had an</w:t>
      </w:r>
      <w:r w:rsidRPr="00DA1339">
        <w:rPr>
          <w:lang w:val="en-GB"/>
        </w:rPr>
        <w:t xml:space="preserve"> impact</w:t>
      </w:r>
      <w:r w:rsidR="00BB39B5">
        <w:rPr>
          <w:lang w:val="en-GB"/>
        </w:rPr>
        <w:t xml:space="preserve"> on</w:t>
      </w:r>
      <w:r w:rsidRPr="00DA1339">
        <w:rPr>
          <w:lang w:val="en-GB"/>
        </w:rPr>
        <w:t xml:space="preserve"> the share price. The event happened in the morning of 13th August and the market was able to react on the same day, despite by the small magnitude of abnormal return of -0.004. Given the root of mean-squared error for the regression on the first event is 0.01075, the value of θ is -0.3721 and it failed to reject the null hypothesis of the event has no impact on the share price of Tencent. However, the AR plunged on the day after the event with -0.02563, implying Tencent</w:t>
      </w:r>
      <w:r w:rsidR="00F52865">
        <w:rPr>
          <w:lang w:val="en-GB"/>
        </w:rPr>
        <w:t>’s stock</w:t>
      </w:r>
      <w:r w:rsidRPr="00DA1339">
        <w:rPr>
          <w:lang w:val="en-GB"/>
        </w:rPr>
        <w:t xml:space="preserve"> return aligned with the market return until the day after the event, suggesting a response lag in the market. The value of θ for day 1 decreased to -2.3830 and the null hypothesis is strongly rejected. This implies the market did not instantaneously respond to the event on day 0</w:t>
      </w:r>
      <w:r w:rsidR="0088517B">
        <w:rPr>
          <w:lang w:val="en-GB"/>
        </w:rPr>
        <w:t xml:space="preserve">. A possible </w:t>
      </w:r>
      <w:r w:rsidR="0059194B">
        <w:rPr>
          <w:lang w:val="en-GB"/>
        </w:rPr>
        <w:t xml:space="preserve">reason is </w:t>
      </w:r>
      <w:r w:rsidRPr="00DA1339">
        <w:rPr>
          <w:lang w:val="en-GB"/>
        </w:rPr>
        <w:t>stock market may not be efficient</w:t>
      </w:r>
      <w:r w:rsidR="0059194B">
        <w:rPr>
          <w:lang w:val="en-GB"/>
        </w:rPr>
        <w:t xml:space="preserve"> and investors are still digesting the information</w:t>
      </w:r>
      <w:r w:rsidR="0059194B" w:rsidRPr="00DA1339">
        <w:rPr>
          <w:lang w:val="en-GB"/>
        </w:rPr>
        <w:t>, which will be further discussed in the later session</w:t>
      </w:r>
      <w:r w:rsidR="0059194B">
        <w:rPr>
          <w:lang w:val="en-GB"/>
        </w:rPr>
        <w:t>. It can also be interpreted as investors were expecting Tencent to release statements regarding working on a fix for the game and will re-release</w:t>
      </w:r>
      <w:r w:rsidR="003C39F3">
        <w:rPr>
          <w:lang w:val="en-GB"/>
        </w:rPr>
        <w:t xml:space="preserve"> the game</w:t>
      </w:r>
      <w:r w:rsidR="0059194B">
        <w:rPr>
          <w:lang w:val="en-GB"/>
        </w:rPr>
        <w:t xml:space="preserve"> in future, but Tencent remained silent and the investors ran out of patience on the next day</w:t>
      </w:r>
      <w:r w:rsidR="0047691D">
        <w:rPr>
          <w:lang w:val="en-GB"/>
        </w:rPr>
        <w:t xml:space="preserve">. </w:t>
      </w:r>
      <w:r w:rsidRPr="00DA1339">
        <w:rPr>
          <w:lang w:val="en-GB"/>
        </w:rPr>
        <w:t>The CAR on the last day of the event window is -0.06469, with the value of θ -3.008, evincing strong evidence against the null hypothesis of the event having no impact on the overall share price in the event window, despite having no effect on day 0.</w:t>
      </w:r>
    </w:p>
    <w:p w14:paraId="4FF00AAE" w14:textId="77777777" w:rsidR="000D0C4B" w:rsidRDefault="000D0C4B" w:rsidP="00821382">
      <w:pPr>
        <w:rPr>
          <w:lang w:val="en-GB" w:eastAsia="ja-JP"/>
        </w:rPr>
      </w:pPr>
    </w:p>
    <w:p w14:paraId="46D68AA1" w14:textId="77777777" w:rsidR="000D0C4B" w:rsidRPr="000D0C4B" w:rsidRDefault="000D0C4B" w:rsidP="000D0C4B">
      <w:pPr>
        <w:pStyle w:val="Subtitle"/>
      </w:pPr>
      <w:r>
        <w:t>Second Event</w:t>
      </w:r>
    </w:p>
    <w:p w14:paraId="5B53646E" w14:textId="732FE29A" w:rsidR="00904C3D" w:rsidRDefault="00DA1339" w:rsidP="00521E47">
      <w:pPr>
        <w:rPr>
          <w:lang w:val="en-GB"/>
        </w:rPr>
      </w:pPr>
      <w:r w:rsidRPr="00DA1339">
        <w:rPr>
          <w:lang w:val="en-GB" w:eastAsia="ja-JP"/>
        </w:rPr>
        <w:t xml:space="preserve">  The second event consists of an event window of 31</w:t>
      </w:r>
      <w:r w:rsidR="00DA723F" w:rsidRPr="00DA723F">
        <w:rPr>
          <w:vertAlign w:val="superscript"/>
          <w:lang w:val="en-GB" w:eastAsia="ja-JP"/>
        </w:rPr>
        <w:t>st</w:t>
      </w:r>
      <w:r w:rsidR="00DA723F">
        <w:rPr>
          <w:lang w:val="en-GB" w:eastAsia="ja-JP"/>
        </w:rPr>
        <w:t xml:space="preserve"> </w:t>
      </w:r>
      <w:r w:rsidRPr="00DA1339">
        <w:rPr>
          <w:lang w:val="en-GB" w:eastAsia="ja-JP"/>
        </w:rPr>
        <w:t>August to 5</w:t>
      </w:r>
      <w:r w:rsidR="00DA723F" w:rsidRPr="00DA723F">
        <w:rPr>
          <w:vertAlign w:val="superscript"/>
          <w:lang w:val="en-GB" w:eastAsia="ja-JP"/>
        </w:rPr>
        <w:t>th</w:t>
      </w:r>
      <w:r w:rsidR="003826FA">
        <w:rPr>
          <w:lang w:val="en-GB" w:eastAsia="ja-JP"/>
        </w:rPr>
        <w:t>.</w:t>
      </w:r>
      <w:r w:rsidRPr="00DA1339">
        <w:rPr>
          <w:lang w:val="en-GB"/>
        </w:rPr>
        <w:t xml:space="preserve"> The result </w:t>
      </w:r>
      <w:r w:rsidR="0059194B">
        <w:rPr>
          <w:lang w:val="en-GB"/>
        </w:rPr>
        <w:t xml:space="preserve">for AR and CAR </w:t>
      </w:r>
      <w:r w:rsidRPr="00DA1339">
        <w:rPr>
          <w:lang w:val="en-GB"/>
        </w:rPr>
        <w:t>is as shown in the following table.</w:t>
      </w:r>
    </w:p>
    <w:p w14:paraId="0F151D11" w14:textId="77777777" w:rsidR="006C56E8" w:rsidRDefault="006C56E8" w:rsidP="00521E47">
      <w:pPr>
        <w:rPr>
          <w:lang w:val="en-GB"/>
        </w:rPr>
      </w:pPr>
    </w:p>
    <w:tbl>
      <w:tblPr>
        <w:tblStyle w:val="TableGridLight"/>
        <w:tblW w:w="8126" w:type="dxa"/>
        <w:jc w:val="center"/>
        <w:tblLook w:val="04A0" w:firstRow="1" w:lastRow="0" w:firstColumn="1" w:lastColumn="0" w:noHBand="0" w:noVBand="1"/>
      </w:tblPr>
      <w:tblGrid>
        <w:gridCol w:w="1388"/>
        <w:gridCol w:w="1118"/>
        <w:gridCol w:w="1118"/>
        <w:gridCol w:w="1118"/>
        <w:gridCol w:w="1118"/>
        <w:gridCol w:w="1118"/>
        <w:gridCol w:w="1148"/>
      </w:tblGrid>
      <w:tr w:rsidR="006C56E8" w:rsidRPr="006C56E8" w14:paraId="186EC614" w14:textId="77777777" w:rsidTr="006C56E8">
        <w:trPr>
          <w:trHeight w:val="288"/>
          <w:jc w:val="center"/>
        </w:trPr>
        <w:tc>
          <w:tcPr>
            <w:tcW w:w="1388" w:type="dxa"/>
            <w:noWrap/>
            <w:hideMark/>
          </w:tcPr>
          <w:p w14:paraId="703877AC"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Date</w:t>
            </w:r>
          </w:p>
        </w:tc>
        <w:tc>
          <w:tcPr>
            <w:tcW w:w="1118" w:type="dxa"/>
            <w:noWrap/>
            <w:hideMark/>
          </w:tcPr>
          <w:p w14:paraId="4153EAC2" w14:textId="77777777" w:rsidR="006C56E8" w:rsidRPr="006C56E8" w:rsidRDefault="006C56E8" w:rsidP="006C56E8">
            <w:pPr>
              <w:jc w:val="center"/>
              <w:rPr>
                <w:rFonts w:ascii="Calibri" w:eastAsia="Times New Roman" w:hAnsi="Calibri" w:cs="Calibri"/>
                <w:color w:val="000000"/>
              </w:rPr>
            </w:pPr>
            <w:proofErr w:type="spellStart"/>
            <w:r w:rsidRPr="006C56E8">
              <w:rPr>
                <w:rFonts w:ascii="Calibri" w:eastAsia="Times New Roman" w:hAnsi="Calibri" w:cs="Calibri"/>
                <w:color w:val="000000"/>
              </w:rPr>
              <w:t>ln_ret</w:t>
            </w:r>
            <w:proofErr w:type="spellEnd"/>
          </w:p>
        </w:tc>
        <w:tc>
          <w:tcPr>
            <w:tcW w:w="1118" w:type="dxa"/>
            <w:noWrap/>
            <w:hideMark/>
          </w:tcPr>
          <w:p w14:paraId="4B61F642"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ER</w:t>
            </w:r>
          </w:p>
        </w:tc>
        <w:tc>
          <w:tcPr>
            <w:tcW w:w="1118" w:type="dxa"/>
            <w:noWrap/>
            <w:hideMark/>
          </w:tcPr>
          <w:p w14:paraId="08311D65"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AR</w:t>
            </w:r>
          </w:p>
        </w:tc>
        <w:tc>
          <w:tcPr>
            <w:tcW w:w="1118" w:type="dxa"/>
            <w:noWrap/>
            <w:hideMark/>
          </w:tcPr>
          <w:p w14:paraId="5F414FE1"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AR Beta</w:t>
            </w:r>
          </w:p>
        </w:tc>
        <w:tc>
          <w:tcPr>
            <w:tcW w:w="1118" w:type="dxa"/>
            <w:noWrap/>
            <w:hideMark/>
          </w:tcPr>
          <w:p w14:paraId="67A260AC"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CAR</w:t>
            </w:r>
          </w:p>
        </w:tc>
        <w:tc>
          <w:tcPr>
            <w:tcW w:w="1148" w:type="dxa"/>
            <w:noWrap/>
            <w:hideMark/>
          </w:tcPr>
          <w:p w14:paraId="5B63A2F0"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CAR Beta</w:t>
            </w:r>
          </w:p>
        </w:tc>
      </w:tr>
      <w:tr w:rsidR="006C56E8" w:rsidRPr="006C56E8" w14:paraId="495B79F5" w14:textId="77777777" w:rsidTr="006C56E8">
        <w:trPr>
          <w:trHeight w:val="288"/>
          <w:jc w:val="center"/>
        </w:trPr>
        <w:tc>
          <w:tcPr>
            <w:tcW w:w="1388" w:type="dxa"/>
            <w:noWrap/>
            <w:hideMark/>
          </w:tcPr>
          <w:p w14:paraId="6CB1AE87"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31/08/2018</w:t>
            </w:r>
          </w:p>
        </w:tc>
        <w:tc>
          <w:tcPr>
            <w:tcW w:w="1118" w:type="dxa"/>
            <w:noWrap/>
            <w:hideMark/>
          </w:tcPr>
          <w:p w14:paraId="778152E5"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-0.04991</w:t>
            </w:r>
          </w:p>
        </w:tc>
        <w:tc>
          <w:tcPr>
            <w:tcW w:w="1118" w:type="dxa"/>
            <w:noWrap/>
            <w:hideMark/>
          </w:tcPr>
          <w:p w14:paraId="37562416"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-0.01357</w:t>
            </w:r>
          </w:p>
        </w:tc>
        <w:tc>
          <w:tcPr>
            <w:tcW w:w="1118" w:type="dxa"/>
            <w:noWrap/>
            <w:hideMark/>
          </w:tcPr>
          <w:p w14:paraId="7EB3346F"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-0.03634</w:t>
            </w:r>
          </w:p>
        </w:tc>
        <w:tc>
          <w:tcPr>
            <w:tcW w:w="1118" w:type="dxa"/>
            <w:noWrap/>
            <w:hideMark/>
          </w:tcPr>
          <w:p w14:paraId="3BEF7B5D"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-3.37983</w:t>
            </w:r>
          </w:p>
        </w:tc>
        <w:tc>
          <w:tcPr>
            <w:tcW w:w="1118" w:type="dxa"/>
            <w:noWrap/>
            <w:hideMark/>
          </w:tcPr>
          <w:p w14:paraId="6D5C6E22"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-0.03634</w:t>
            </w:r>
          </w:p>
        </w:tc>
        <w:tc>
          <w:tcPr>
            <w:tcW w:w="1148" w:type="dxa"/>
            <w:noWrap/>
            <w:hideMark/>
          </w:tcPr>
          <w:p w14:paraId="0DF9F5E8"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-1.68992</w:t>
            </w:r>
          </w:p>
        </w:tc>
      </w:tr>
      <w:tr w:rsidR="006C56E8" w:rsidRPr="006C56E8" w14:paraId="3DB5C333" w14:textId="77777777" w:rsidTr="006C56E8">
        <w:trPr>
          <w:trHeight w:val="288"/>
          <w:jc w:val="center"/>
        </w:trPr>
        <w:tc>
          <w:tcPr>
            <w:tcW w:w="1388" w:type="dxa"/>
            <w:noWrap/>
            <w:hideMark/>
          </w:tcPr>
          <w:p w14:paraId="55627A14"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03/09/2018</w:t>
            </w:r>
          </w:p>
        </w:tc>
        <w:tc>
          <w:tcPr>
            <w:tcW w:w="1118" w:type="dxa"/>
            <w:noWrap/>
            <w:hideMark/>
          </w:tcPr>
          <w:p w14:paraId="3DF23572"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-0.0214</w:t>
            </w:r>
          </w:p>
        </w:tc>
        <w:tc>
          <w:tcPr>
            <w:tcW w:w="1118" w:type="dxa"/>
            <w:noWrap/>
            <w:hideMark/>
          </w:tcPr>
          <w:p w14:paraId="0FF92AA3"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-0.00898</w:t>
            </w:r>
          </w:p>
        </w:tc>
        <w:tc>
          <w:tcPr>
            <w:tcW w:w="1118" w:type="dxa"/>
            <w:noWrap/>
            <w:hideMark/>
          </w:tcPr>
          <w:p w14:paraId="64E568FC"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-0.01242</w:t>
            </w:r>
          </w:p>
        </w:tc>
        <w:tc>
          <w:tcPr>
            <w:tcW w:w="1118" w:type="dxa"/>
            <w:noWrap/>
            <w:hideMark/>
          </w:tcPr>
          <w:p w14:paraId="4FF9671C"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-1.15511</w:t>
            </w:r>
          </w:p>
        </w:tc>
        <w:tc>
          <w:tcPr>
            <w:tcW w:w="1118" w:type="dxa"/>
            <w:noWrap/>
            <w:hideMark/>
          </w:tcPr>
          <w:p w14:paraId="2DF575AA"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-0.04877</w:t>
            </w:r>
          </w:p>
        </w:tc>
        <w:tc>
          <w:tcPr>
            <w:tcW w:w="1148" w:type="dxa"/>
            <w:noWrap/>
            <w:hideMark/>
          </w:tcPr>
          <w:p w14:paraId="3CAFC217"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-2.26747</w:t>
            </w:r>
          </w:p>
        </w:tc>
      </w:tr>
      <w:tr w:rsidR="006C56E8" w:rsidRPr="006C56E8" w14:paraId="7E8BFD32" w14:textId="77777777" w:rsidTr="006C56E8">
        <w:trPr>
          <w:trHeight w:val="288"/>
          <w:jc w:val="center"/>
        </w:trPr>
        <w:tc>
          <w:tcPr>
            <w:tcW w:w="1388" w:type="dxa"/>
            <w:noWrap/>
            <w:hideMark/>
          </w:tcPr>
          <w:p w14:paraId="010E4303"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04/09/2018</w:t>
            </w:r>
          </w:p>
        </w:tc>
        <w:tc>
          <w:tcPr>
            <w:tcW w:w="1118" w:type="dxa"/>
            <w:noWrap/>
            <w:hideMark/>
          </w:tcPr>
          <w:p w14:paraId="1B2D8882"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0.01728</w:t>
            </w:r>
          </w:p>
        </w:tc>
        <w:tc>
          <w:tcPr>
            <w:tcW w:w="1118" w:type="dxa"/>
            <w:noWrap/>
            <w:hideMark/>
          </w:tcPr>
          <w:p w14:paraId="3CDAA278"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0.0116</w:t>
            </w:r>
          </w:p>
        </w:tc>
        <w:tc>
          <w:tcPr>
            <w:tcW w:w="1118" w:type="dxa"/>
            <w:noWrap/>
            <w:hideMark/>
          </w:tcPr>
          <w:p w14:paraId="2A97A043"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0.00567</w:t>
            </w:r>
          </w:p>
        </w:tc>
        <w:tc>
          <w:tcPr>
            <w:tcW w:w="1118" w:type="dxa"/>
            <w:noWrap/>
            <w:hideMark/>
          </w:tcPr>
          <w:p w14:paraId="15EBF13A"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0.52745</w:t>
            </w:r>
          </w:p>
        </w:tc>
        <w:tc>
          <w:tcPr>
            <w:tcW w:w="1118" w:type="dxa"/>
            <w:noWrap/>
            <w:hideMark/>
          </w:tcPr>
          <w:p w14:paraId="1791EB1B"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-0.04309</w:t>
            </w:r>
          </w:p>
        </w:tc>
        <w:tc>
          <w:tcPr>
            <w:tcW w:w="1148" w:type="dxa"/>
            <w:noWrap/>
            <w:hideMark/>
          </w:tcPr>
          <w:p w14:paraId="53F524A7"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-2.00375</w:t>
            </w:r>
          </w:p>
        </w:tc>
      </w:tr>
      <w:tr w:rsidR="006C56E8" w:rsidRPr="006C56E8" w14:paraId="671289C6" w14:textId="77777777" w:rsidTr="006C56E8">
        <w:trPr>
          <w:trHeight w:val="288"/>
          <w:jc w:val="center"/>
        </w:trPr>
        <w:tc>
          <w:tcPr>
            <w:tcW w:w="1388" w:type="dxa"/>
            <w:noWrap/>
            <w:hideMark/>
          </w:tcPr>
          <w:p w14:paraId="5B7D61E5"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05/09/2018</w:t>
            </w:r>
          </w:p>
        </w:tc>
        <w:tc>
          <w:tcPr>
            <w:tcW w:w="1118" w:type="dxa"/>
            <w:noWrap/>
            <w:hideMark/>
          </w:tcPr>
          <w:p w14:paraId="74217C68"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-0.04161</w:t>
            </w:r>
          </w:p>
        </w:tc>
        <w:tc>
          <w:tcPr>
            <w:tcW w:w="1118" w:type="dxa"/>
            <w:noWrap/>
            <w:hideMark/>
          </w:tcPr>
          <w:p w14:paraId="43AEA967"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-0.03533</w:t>
            </w:r>
          </w:p>
        </w:tc>
        <w:tc>
          <w:tcPr>
            <w:tcW w:w="1118" w:type="dxa"/>
            <w:noWrap/>
            <w:hideMark/>
          </w:tcPr>
          <w:p w14:paraId="1EA5A591"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-0.00628</w:t>
            </w:r>
          </w:p>
        </w:tc>
        <w:tc>
          <w:tcPr>
            <w:tcW w:w="1118" w:type="dxa"/>
            <w:noWrap/>
            <w:hideMark/>
          </w:tcPr>
          <w:p w14:paraId="53CD7AA6"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-0.5837</w:t>
            </w:r>
          </w:p>
        </w:tc>
        <w:tc>
          <w:tcPr>
            <w:tcW w:w="1118" w:type="dxa"/>
            <w:noWrap/>
            <w:hideMark/>
          </w:tcPr>
          <w:p w14:paraId="0CE71D61"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-0.04937</w:t>
            </w:r>
          </w:p>
        </w:tc>
        <w:tc>
          <w:tcPr>
            <w:tcW w:w="1148" w:type="dxa"/>
            <w:noWrap/>
            <w:hideMark/>
          </w:tcPr>
          <w:p w14:paraId="195EDB5F" w14:textId="77777777" w:rsidR="006C56E8" w:rsidRPr="006C56E8" w:rsidRDefault="006C56E8" w:rsidP="006C56E8">
            <w:pPr>
              <w:jc w:val="center"/>
              <w:rPr>
                <w:rFonts w:ascii="Calibri" w:eastAsia="Times New Roman" w:hAnsi="Calibri" w:cs="Calibri"/>
                <w:color w:val="000000"/>
              </w:rPr>
            </w:pPr>
            <w:r w:rsidRPr="006C56E8">
              <w:rPr>
                <w:rFonts w:ascii="Calibri" w:eastAsia="Times New Roman" w:hAnsi="Calibri" w:cs="Calibri"/>
                <w:color w:val="000000"/>
              </w:rPr>
              <w:t>-2.2956</w:t>
            </w:r>
          </w:p>
        </w:tc>
      </w:tr>
    </w:tbl>
    <w:p w14:paraId="1F3D3C6C" w14:textId="77777777" w:rsidR="00B832E4" w:rsidRDefault="00B832E4" w:rsidP="00821382">
      <w:pPr>
        <w:rPr>
          <w:lang w:val="en-GB"/>
        </w:rPr>
      </w:pPr>
    </w:p>
    <w:p w14:paraId="0B43AFC3" w14:textId="7511D2EF" w:rsidR="00DA1339" w:rsidRDefault="00DA1339" w:rsidP="00864D00">
      <w:pPr>
        <w:pStyle w:val="Subtitle"/>
        <w:rPr>
          <w:color w:val="auto"/>
          <w:spacing w:val="0"/>
          <w:lang w:val="en-GB"/>
        </w:rPr>
      </w:pPr>
      <w:r w:rsidRPr="00DA1339">
        <w:rPr>
          <w:color w:val="auto"/>
          <w:spacing w:val="0"/>
          <w:lang w:val="en-GB"/>
        </w:rPr>
        <w:t xml:space="preserve">  The notice from the Ministry of Education was announced in the evening of 30th August and the market reacted on the next day. The AR on day 0 was -0.</w:t>
      </w:r>
      <w:r w:rsidR="001E4EED">
        <w:rPr>
          <w:color w:val="auto"/>
          <w:spacing w:val="0"/>
          <w:lang w:val="en-GB"/>
        </w:rPr>
        <w:t>0.3634</w:t>
      </w:r>
      <w:r w:rsidRPr="00DA1339">
        <w:rPr>
          <w:color w:val="auto"/>
          <w:spacing w:val="0"/>
          <w:lang w:val="en-GB"/>
        </w:rPr>
        <w:t>, the value of θ is -3.</w:t>
      </w:r>
      <w:r w:rsidR="001E4EED">
        <w:rPr>
          <w:color w:val="auto"/>
          <w:spacing w:val="0"/>
          <w:lang w:val="en-GB"/>
        </w:rPr>
        <w:t>37983</w:t>
      </w:r>
      <w:r w:rsidRPr="00DA1339">
        <w:rPr>
          <w:color w:val="auto"/>
          <w:spacing w:val="0"/>
          <w:lang w:val="en-GB"/>
        </w:rPr>
        <w:t xml:space="preserve">. This suggests the null hypothesis of the second event does not have an impact on the share price is rejected. Among the whole event window, the AR </w:t>
      </w:r>
      <w:r w:rsidR="00E24351">
        <w:rPr>
          <w:color w:val="auto"/>
          <w:spacing w:val="0"/>
          <w:lang w:val="en-GB"/>
        </w:rPr>
        <w:t>o</w:t>
      </w:r>
      <w:r w:rsidRPr="00DA1339">
        <w:rPr>
          <w:color w:val="auto"/>
          <w:spacing w:val="0"/>
          <w:lang w:val="en-GB"/>
        </w:rPr>
        <w:t xml:space="preserve">n day 0 is the lowest, which also insulates the market quickly reacted on the event without a visible lag. </w:t>
      </w:r>
      <w:r w:rsidR="00CD6DE6">
        <w:rPr>
          <w:color w:val="auto"/>
          <w:spacing w:val="0"/>
          <w:lang w:val="en-GB"/>
        </w:rPr>
        <w:t xml:space="preserve">This suggests a strong evidence in favour of the existent of semi-strong form in the capital market, where the price react to the new information instantaneously. </w:t>
      </w:r>
      <w:r w:rsidRPr="00DA1339">
        <w:rPr>
          <w:color w:val="auto"/>
          <w:spacing w:val="0"/>
          <w:lang w:val="en-GB"/>
        </w:rPr>
        <w:t>The CAR on the last day of the event window of the second event is -0.</w:t>
      </w:r>
      <w:r w:rsidR="001E4EED">
        <w:rPr>
          <w:color w:val="auto"/>
          <w:spacing w:val="0"/>
          <w:lang w:val="en-GB"/>
        </w:rPr>
        <w:t>04937</w:t>
      </w:r>
      <w:r w:rsidRPr="00DA1339">
        <w:rPr>
          <w:color w:val="auto"/>
          <w:spacing w:val="0"/>
          <w:lang w:val="en-GB"/>
        </w:rPr>
        <w:t>, leading to θ equals -2.</w:t>
      </w:r>
      <w:r w:rsidR="001E4EED">
        <w:rPr>
          <w:color w:val="auto"/>
          <w:spacing w:val="0"/>
          <w:lang w:val="en-GB"/>
        </w:rPr>
        <w:t>2956</w:t>
      </w:r>
      <w:r w:rsidRPr="00DA1339">
        <w:rPr>
          <w:color w:val="auto"/>
          <w:spacing w:val="0"/>
          <w:lang w:val="en-GB"/>
        </w:rPr>
        <w:t>. In other words, the impact of the second event on the share price of Tencent is statistically significant. Since the market reacted the most on day 0, and the AR gradually follows the trend of the market return, it has demonstrated the market efficiency is achieved in the second event.</w:t>
      </w:r>
    </w:p>
    <w:p w14:paraId="7CE344F1" w14:textId="77777777" w:rsidR="00576BCB" w:rsidRPr="00576BCB" w:rsidRDefault="00576BCB" w:rsidP="00576BCB">
      <w:pPr>
        <w:rPr>
          <w:lang w:val="en-GB"/>
        </w:rPr>
      </w:pPr>
    </w:p>
    <w:p w14:paraId="3EBA8BFB" w14:textId="77777777" w:rsidR="00D11B84" w:rsidRDefault="008B6C6D" w:rsidP="00864D00">
      <w:pPr>
        <w:pStyle w:val="Subtitle"/>
        <w:rPr>
          <w:lang w:val="en-GB"/>
        </w:rPr>
      </w:pPr>
      <w:r>
        <w:rPr>
          <w:lang w:val="en-GB"/>
        </w:rPr>
        <w:t xml:space="preserve"> </w:t>
      </w:r>
      <w:r w:rsidR="00864D00">
        <w:rPr>
          <w:lang w:val="en-GB"/>
        </w:rPr>
        <w:t xml:space="preserve">Last </w:t>
      </w:r>
      <w:r w:rsidR="00864D00">
        <w:rPr>
          <w:rFonts w:hint="eastAsia"/>
          <w:lang w:val="en-GB"/>
        </w:rPr>
        <w:t>e</w:t>
      </w:r>
      <w:r w:rsidR="00864D00">
        <w:rPr>
          <w:lang w:val="en-GB"/>
        </w:rPr>
        <w:t>vent</w:t>
      </w:r>
    </w:p>
    <w:p w14:paraId="6A9E042F" w14:textId="7B633109" w:rsidR="00F50ED8" w:rsidRDefault="00F72B12" w:rsidP="00821382">
      <w:pPr>
        <w:rPr>
          <w:rFonts w:cstheme="minorHAnsi"/>
          <w:lang w:val="en-GB"/>
        </w:rPr>
      </w:pPr>
      <w:r>
        <w:rPr>
          <w:rFonts w:cstheme="minorHAnsi"/>
          <w:lang w:val="en-GB"/>
        </w:rPr>
        <w:t xml:space="preserve"> </w:t>
      </w:r>
      <w:r w:rsidR="00B84638" w:rsidRPr="00B84638">
        <w:rPr>
          <w:rFonts w:cstheme="minorHAnsi"/>
          <w:lang w:val="en-GB"/>
        </w:rPr>
        <w:t xml:space="preserve"> The last event took place on the evening of </w:t>
      </w:r>
      <w:r w:rsidR="00DA1339">
        <w:rPr>
          <w:rFonts w:cstheme="minorHAnsi"/>
          <w:lang w:val="en-GB"/>
        </w:rPr>
        <w:t>6</w:t>
      </w:r>
      <w:r w:rsidR="00DA1339" w:rsidRPr="00DA1339">
        <w:rPr>
          <w:rFonts w:cstheme="minorHAnsi"/>
          <w:vertAlign w:val="superscript"/>
          <w:lang w:val="en-GB"/>
        </w:rPr>
        <w:t>th</w:t>
      </w:r>
      <w:r w:rsidR="00B84638" w:rsidRPr="00B84638">
        <w:rPr>
          <w:rFonts w:cstheme="minorHAnsi"/>
          <w:lang w:val="en-GB"/>
        </w:rPr>
        <w:t xml:space="preserve"> September and the market reacted on the next day, with the event window of </w:t>
      </w:r>
      <w:r w:rsidR="00DA1339">
        <w:rPr>
          <w:rFonts w:cstheme="minorHAnsi"/>
          <w:lang w:val="en-GB"/>
        </w:rPr>
        <w:t>7</w:t>
      </w:r>
      <w:r w:rsidR="00E24351" w:rsidRPr="00DA1339">
        <w:rPr>
          <w:rFonts w:cstheme="minorHAnsi"/>
          <w:vertAlign w:val="superscript"/>
          <w:lang w:val="en-GB"/>
        </w:rPr>
        <w:t>th</w:t>
      </w:r>
      <w:r w:rsidR="00E24351">
        <w:rPr>
          <w:rFonts w:cstheme="minorHAnsi"/>
          <w:lang w:val="en-GB"/>
        </w:rPr>
        <w:t xml:space="preserve"> </w:t>
      </w:r>
      <w:r w:rsidR="00E24351" w:rsidRPr="00B84638">
        <w:rPr>
          <w:rFonts w:cstheme="minorHAnsi"/>
          <w:lang w:val="en-GB"/>
        </w:rPr>
        <w:t>September</w:t>
      </w:r>
      <w:r w:rsidR="00B84638" w:rsidRPr="00B84638">
        <w:rPr>
          <w:rFonts w:cstheme="minorHAnsi"/>
          <w:lang w:val="en-GB"/>
        </w:rPr>
        <w:t xml:space="preserve"> to 12</w:t>
      </w:r>
      <w:r w:rsidR="00DA1339" w:rsidRPr="00DA1339">
        <w:rPr>
          <w:rFonts w:cstheme="minorHAnsi"/>
          <w:vertAlign w:val="superscript"/>
          <w:lang w:val="en-GB"/>
        </w:rPr>
        <w:t>th</w:t>
      </w:r>
      <w:r w:rsidR="00B84638" w:rsidRPr="00B84638">
        <w:rPr>
          <w:rFonts w:cstheme="minorHAnsi"/>
          <w:lang w:val="en-GB"/>
        </w:rPr>
        <w:t xml:space="preserve"> September</w:t>
      </w:r>
      <w:r w:rsidR="003826FA">
        <w:rPr>
          <w:rFonts w:cstheme="minorHAnsi"/>
          <w:lang w:val="en-GB"/>
        </w:rPr>
        <w:t>.</w:t>
      </w:r>
      <w:r w:rsidR="00F50ED8">
        <w:rPr>
          <w:rFonts w:cstheme="minorHAnsi"/>
          <w:lang w:val="en-GB"/>
        </w:rPr>
        <w:t xml:space="preserve"> By adding the return of the market and the actual stock price from the event window of the last event, the AR and CAR can be computed as shown in the following table.</w:t>
      </w:r>
    </w:p>
    <w:tbl>
      <w:tblPr>
        <w:tblStyle w:val="TableGridLight"/>
        <w:tblW w:w="7992" w:type="dxa"/>
        <w:jc w:val="center"/>
        <w:tblLook w:val="04A0" w:firstRow="1" w:lastRow="0" w:firstColumn="1" w:lastColumn="0" w:noHBand="0" w:noVBand="1"/>
      </w:tblPr>
      <w:tblGrid>
        <w:gridCol w:w="1388"/>
        <w:gridCol w:w="1118"/>
        <w:gridCol w:w="1118"/>
        <w:gridCol w:w="1051"/>
        <w:gridCol w:w="1118"/>
        <w:gridCol w:w="1051"/>
        <w:gridCol w:w="1148"/>
      </w:tblGrid>
      <w:tr w:rsidR="00AF02FC" w:rsidRPr="00AF02FC" w14:paraId="33EC8FAB" w14:textId="77777777" w:rsidTr="00AF02FC">
        <w:trPr>
          <w:trHeight w:val="288"/>
          <w:jc w:val="center"/>
        </w:trPr>
        <w:tc>
          <w:tcPr>
            <w:tcW w:w="1388" w:type="dxa"/>
            <w:noWrap/>
            <w:hideMark/>
          </w:tcPr>
          <w:p w14:paraId="12E1E91D"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Date</w:t>
            </w:r>
          </w:p>
        </w:tc>
        <w:tc>
          <w:tcPr>
            <w:tcW w:w="1118" w:type="dxa"/>
            <w:noWrap/>
            <w:hideMark/>
          </w:tcPr>
          <w:p w14:paraId="7FB8B880" w14:textId="77777777" w:rsidR="00AF02FC" w:rsidRPr="00AF02FC" w:rsidRDefault="00AF02FC" w:rsidP="00AF02FC">
            <w:pPr>
              <w:jc w:val="center"/>
              <w:rPr>
                <w:rFonts w:ascii="Calibri" w:eastAsia="Times New Roman" w:hAnsi="Calibri" w:cs="Calibri"/>
                <w:color w:val="000000"/>
              </w:rPr>
            </w:pPr>
            <w:proofErr w:type="spellStart"/>
            <w:r w:rsidRPr="00AF02FC">
              <w:rPr>
                <w:rFonts w:ascii="Calibri" w:eastAsia="Times New Roman" w:hAnsi="Calibri" w:cs="Calibri"/>
                <w:color w:val="000000"/>
              </w:rPr>
              <w:t>ln_ret</w:t>
            </w:r>
            <w:proofErr w:type="spellEnd"/>
          </w:p>
        </w:tc>
        <w:tc>
          <w:tcPr>
            <w:tcW w:w="1118" w:type="dxa"/>
            <w:noWrap/>
            <w:hideMark/>
          </w:tcPr>
          <w:p w14:paraId="6C8B04D4"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ER</w:t>
            </w:r>
          </w:p>
        </w:tc>
        <w:tc>
          <w:tcPr>
            <w:tcW w:w="1051" w:type="dxa"/>
            <w:noWrap/>
            <w:hideMark/>
          </w:tcPr>
          <w:p w14:paraId="2C451C72"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AR</w:t>
            </w:r>
          </w:p>
        </w:tc>
        <w:tc>
          <w:tcPr>
            <w:tcW w:w="1118" w:type="dxa"/>
            <w:noWrap/>
            <w:hideMark/>
          </w:tcPr>
          <w:p w14:paraId="72611CC0"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AR Beta</w:t>
            </w:r>
          </w:p>
        </w:tc>
        <w:tc>
          <w:tcPr>
            <w:tcW w:w="1051" w:type="dxa"/>
            <w:noWrap/>
            <w:hideMark/>
          </w:tcPr>
          <w:p w14:paraId="1298DBB4"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CAR</w:t>
            </w:r>
          </w:p>
        </w:tc>
        <w:tc>
          <w:tcPr>
            <w:tcW w:w="1148" w:type="dxa"/>
            <w:noWrap/>
            <w:hideMark/>
          </w:tcPr>
          <w:p w14:paraId="0D3135E0"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CAR Beta</w:t>
            </w:r>
          </w:p>
        </w:tc>
      </w:tr>
      <w:tr w:rsidR="00AF02FC" w:rsidRPr="00AF02FC" w14:paraId="0D0E910C" w14:textId="77777777" w:rsidTr="00AF02FC">
        <w:trPr>
          <w:trHeight w:val="288"/>
          <w:jc w:val="center"/>
        </w:trPr>
        <w:tc>
          <w:tcPr>
            <w:tcW w:w="1388" w:type="dxa"/>
            <w:noWrap/>
            <w:hideMark/>
          </w:tcPr>
          <w:p w14:paraId="15505CEE"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07/09/2018</w:t>
            </w:r>
          </w:p>
        </w:tc>
        <w:tc>
          <w:tcPr>
            <w:tcW w:w="1118" w:type="dxa"/>
            <w:noWrap/>
            <w:hideMark/>
          </w:tcPr>
          <w:p w14:paraId="4709C6B7"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0.00697</w:t>
            </w:r>
          </w:p>
        </w:tc>
        <w:tc>
          <w:tcPr>
            <w:tcW w:w="1118" w:type="dxa"/>
            <w:noWrap/>
            <w:hideMark/>
          </w:tcPr>
          <w:p w14:paraId="5D19336B"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-0.00074</w:t>
            </w:r>
          </w:p>
        </w:tc>
        <w:tc>
          <w:tcPr>
            <w:tcW w:w="1051" w:type="dxa"/>
            <w:noWrap/>
            <w:hideMark/>
          </w:tcPr>
          <w:p w14:paraId="2AD68104"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0.00771</w:t>
            </w:r>
          </w:p>
        </w:tc>
        <w:tc>
          <w:tcPr>
            <w:tcW w:w="1118" w:type="dxa"/>
            <w:noWrap/>
            <w:hideMark/>
          </w:tcPr>
          <w:p w14:paraId="02203493"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0.71735</w:t>
            </w:r>
          </w:p>
        </w:tc>
        <w:tc>
          <w:tcPr>
            <w:tcW w:w="1051" w:type="dxa"/>
            <w:noWrap/>
            <w:hideMark/>
          </w:tcPr>
          <w:p w14:paraId="288D8EC5"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0.00771</w:t>
            </w:r>
          </w:p>
        </w:tc>
        <w:tc>
          <w:tcPr>
            <w:tcW w:w="1148" w:type="dxa"/>
            <w:noWrap/>
            <w:hideMark/>
          </w:tcPr>
          <w:p w14:paraId="59AAEB37"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0.35868</w:t>
            </w:r>
          </w:p>
        </w:tc>
      </w:tr>
      <w:tr w:rsidR="00AF02FC" w:rsidRPr="00AF02FC" w14:paraId="574B2204" w14:textId="77777777" w:rsidTr="00AF02FC">
        <w:trPr>
          <w:trHeight w:val="288"/>
          <w:jc w:val="center"/>
        </w:trPr>
        <w:tc>
          <w:tcPr>
            <w:tcW w:w="1388" w:type="dxa"/>
            <w:noWrap/>
            <w:hideMark/>
          </w:tcPr>
          <w:p w14:paraId="02DF3AB3"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10/09/2018</w:t>
            </w:r>
          </w:p>
        </w:tc>
        <w:tc>
          <w:tcPr>
            <w:tcW w:w="1118" w:type="dxa"/>
            <w:noWrap/>
            <w:hideMark/>
          </w:tcPr>
          <w:p w14:paraId="48DBA77D"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-0.01015</w:t>
            </w:r>
          </w:p>
        </w:tc>
        <w:tc>
          <w:tcPr>
            <w:tcW w:w="1118" w:type="dxa"/>
            <w:noWrap/>
            <w:hideMark/>
          </w:tcPr>
          <w:p w14:paraId="2DB544AC"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-0.0183</w:t>
            </w:r>
          </w:p>
        </w:tc>
        <w:tc>
          <w:tcPr>
            <w:tcW w:w="1051" w:type="dxa"/>
            <w:noWrap/>
            <w:hideMark/>
          </w:tcPr>
          <w:p w14:paraId="1E18584C"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0.00815</w:t>
            </w:r>
          </w:p>
        </w:tc>
        <w:tc>
          <w:tcPr>
            <w:tcW w:w="1118" w:type="dxa"/>
            <w:noWrap/>
            <w:hideMark/>
          </w:tcPr>
          <w:p w14:paraId="27001EF9"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0.75803</w:t>
            </w:r>
          </w:p>
        </w:tc>
        <w:tc>
          <w:tcPr>
            <w:tcW w:w="1051" w:type="dxa"/>
            <w:noWrap/>
            <w:hideMark/>
          </w:tcPr>
          <w:p w14:paraId="4AB0F53F"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0.01587</w:t>
            </w:r>
          </w:p>
        </w:tc>
        <w:tc>
          <w:tcPr>
            <w:tcW w:w="1148" w:type="dxa"/>
            <w:noWrap/>
            <w:hideMark/>
          </w:tcPr>
          <w:p w14:paraId="01BD53F9"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0.73769</w:t>
            </w:r>
          </w:p>
        </w:tc>
      </w:tr>
      <w:tr w:rsidR="00AF02FC" w:rsidRPr="00AF02FC" w14:paraId="2DC10CDC" w14:textId="77777777" w:rsidTr="00AF02FC">
        <w:trPr>
          <w:trHeight w:val="288"/>
          <w:jc w:val="center"/>
        </w:trPr>
        <w:tc>
          <w:tcPr>
            <w:tcW w:w="1388" w:type="dxa"/>
            <w:noWrap/>
            <w:hideMark/>
          </w:tcPr>
          <w:p w14:paraId="7864D3E3"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11/09/2018</w:t>
            </w:r>
          </w:p>
        </w:tc>
        <w:tc>
          <w:tcPr>
            <w:tcW w:w="1118" w:type="dxa"/>
            <w:noWrap/>
            <w:hideMark/>
          </w:tcPr>
          <w:p w14:paraId="4F21938A"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-0.01802</w:t>
            </w:r>
          </w:p>
        </w:tc>
        <w:tc>
          <w:tcPr>
            <w:tcW w:w="1118" w:type="dxa"/>
            <w:noWrap/>
            <w:hideMark/>
          </w:tcPr>
          <w:p w14:paraId="5625FA82"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-0.01012</w:t>
            </w:r>
          </w:p>
        </w:tc>
        <w:tc>
          <w:tcPr>
            <w:tcW w:w="1051" w:type="dxa"/>
            <w:noWrap/>
            <w:hideMark/>
          </w:tcPr>
          <w:p w14:paraId="0A084437"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-0.0079</w:t>
            </w:r>
          </w:p>
        </w:tc>
        <w:tc>
          <w:tcPr>
            <w:tcW w:w="1118" w:type="dxa"/>
            <w:noWrap/>
            <w:hideMark/>
          </w:tcPr>
          <w:p w14:paraId="7A2DB689"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-0.73486</w:t>
            </w:r>
          </w:p>
        </w:tc>
        <w:tc>
          <w:tcPr>
            <w:tcW w:w="1051" w:type="dxa"/>
            <w:noWrap/>
            <w:hideMark/>
          </w:tcPr>
          <w:p w14:paraId="46C0ADB0"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0.00796</w:t>
            </w:r>
          </w:p>
        </w:tc>
        <w:tc>
          <w:tcPr>
            <w:tcW w:w="1148" w:type="dxa"/>
            <w:noWrap/>
            <w:hideMark/>
          </w:tcPr>
          <w:p w14:paraId="68D425F5"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0.37027</w:t>
            </w:r>
          </w:p>
        </w:tc>
      </w:tr>
      <w:tr w:rsidR="00AF02FC" w:rsidRPr="00AF02FC" w14:paraId="576B218C" w14:textId="77777777" w:rsidTr="00AF02FC">
        <w:trPr>
          <w:trHeight w:val="288"/>
          <w:jc w:val="center"/>
        </w:trPr>
        <w:tc>
          <w:tcPr>
            <w:tcW w:w="1388" w:type="dxa"/>
            <w:noWrap/>
            <w:hideMark/>
          </w:tcPr>
          <w:p w14:paraId="62171A21"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12/09/2018</w:t>
            </w:r>
          </w:p>
        </w:tc>
        <w:tc>
          <w:tcPr>
            <w:tcW w:w="1118" w:type="dxa"/>
            <w:noWrap/>
            <w:hideMark/>
          </w:tcPr>
          <w:p w14:paraId="2B524566"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0.0013</w:t>
            </w:r>
          </w:p>
        </w:tc>
        <w:tc>
          <w:tcPr>
            <w:tcW w:w="1118" w:type="dxa"/>
            <w:noWrap/>
            <w:hideMark/>
          </w:tcPr>
          <w:p w14:paraId="0E3D12A1"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-0.00453</w:t>
            </w:r>
          </w:p>
        </w:tc>
        <w:tc>
          <w:tcPr>
            <w:tcW w:w="1051" w:type="dxa"/>
            <w:noWrap/>
            <w:hideMark/>
          </w:tcPr>
          <w:p w14:paraId="58006348"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0.00583</w:t>
            </w:r>
          </w:p>
        </w:tc>
        <w:tc>
          <w:tcPr>
            <w:tcW w:w="1118" w:type="dxa"/>
            <w:noWrap/>
            <w:hideMark/>
          </w:tcPr>
          <w:p w14:paraId="21EDB539"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0.54211</w:t>
            </w:r>
          </w:p>
        </w:tc>
        <w:tc>
          <w:tcPr>
            <w:tcW w:w="1051" w:type="dxa"/>
            <w:noWrap/>
            <w:hideMark/>
          </w:tcPr>
          <w:p w14:paraId="374E0D0C"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0.01379</w:t>
            </w:r>
          </w:p>
        </w:tc>
        <w:tc>
          <w:tcPr>
            <w:tcW w:w="1148" w:type="dxa"/>
            <w:noWrap/>
            <w:hideMark/>
          </w:tcPr>
          <w:p w14:paraId="485747D2" w14:textId="77777777" w:rsidR="00AF02FC" w:rsidRPr="00AF02FC" w:rsidRDefault="00AF02FC" w:rsidP="00AF02FC">
            <w:pPr>
              <w:jc w:val="center"/>
              <w:rPr>
                <w:rFonts w:ascii="Calibri" w:eastAsia="Times New Roman" w:hAnsi="Calibri" w:cs="Calibri"/>
                <w:color w:val="000000"/>
              </w:rPr>
            </w:pPr>
            <w:r w:rsidRPr="00AF02FC">
              <w:rPr>
                <w:rFonts w:ascii="Calibri" w:eastAsia="Times New Roman" w:hAnsi="Calibri" w:cs="Calibri"/>
                <w:color w:val="000000"/>
              </w:rPr>
              <w:t>0.64132</w:t>
            </w:r>
          </w:p>
        </w:tc>
      </w:tr>
    </w:tbl>
    <w:p w14:paraId="2AF58D2D" w14:textId="77777777" w:rsidR="00F50ED8" w:rsidRDefault="00F50ED8" w:rsidP="00821382">
      <w:pPr>
        <w:rPr>
          <w:rFonts w:cstheme="minorHAnsi"/>
          <w:lang w:val="en-GB"/>
        </w:rPr>
      </w:pPr>
    </w:p>
    <w:p w14:paraId="2935D1CA" w14:textId="13C54214" w:rsidR="00B84638" w:rsidRDefault="00B84638" w:rsidP="00821382">
      <w:pPr>
        <w:rPr>
          <w:rFonts w:cstheme="minorHAnsi"/>
          <w:lang w:val="en-GB"/>
        </w:rPr>
      </w:pPr>
      <w:r w:rsidRPr="00B84638">
        <w:rPr>
          <w:rFonts w:cstheme="minorHAnsi"/>
          <w:lang w:val="en-GB"/>
        </w:rPr>
        <w:t xml:space="preserve">  The announcement of Tencent concerning the real name verification was made at the night of the 6</w:t>
      </w:r>
      <w:r w:rsidR="005623D5" w:rsidRPr="005623D5">
        <w:rPr>
          <w:rFonts w:cstheme="minorHAnsi"/>
          <w:vertAlign w:val="superscript"/>
          <w:lang w:val="en-GB"/>
        </w:rPr>
        <w:t>th</w:t>
      </w:r>
      <w:r w:rsidR="005623D5">
        <w:rPr>
          <w:rFonts w:cstheme="minorHAnsi"/>
          <w:lang w:val="en-GB"/>
        </w:rPr>
        <w:t xml:space="preserve"> </w:t>
      </w:r>
      <w:r w:rsidRPr="00B84638">
        <w:rPr>
          <w:rFonts w:cstheme="minorHAnsi"/>
          <w:lang w:val="en-GB"/>
        </w:rPr>
        <w:t>September and 7</w:t>
      </w:r>
      <w:r w:rsidR="005623D5" w:rsidRPr="005623D5">
        <w:rPr>
          <w:rFonts w:cstheme="minorHAnsi"/>
          <w:vertAlign w:val="superscript"/>
          <w:lang w:val="en-GB"/>
        </w:rPr>
        <w:t>th</w:t>
      </w:r>
      <w:r w:rsidR="005623D5">
        <w:rPr>
          <w:rFonts w:cstheme="minorHAnsi"/>
          <w:lang w:val="en-GB"/>
        </w:rPr>
        <w:t xml:space="preserve"> </w:t>
      </w:r>
      <w:r w:rsidRPr="00B84638">
        <w:rPr>
          <w:rFonts w:cstheme="minorHAnsi"/>
          <w:lang w:val="en-GB"/>
        </w:rPr>
        <w:t xml:space="preserve">September was the first day the market could react to the event. Despite the event was meant to bring a negative impact to the Tencent share price, the impact on the share price was not </w:t>
      </w:r>
      <w:r w:rsidR="005623D5">
        <w:rPr>
          <w:rFonts w:cstheme="minorHAnsi"/>
          <w:lang w:val="en-GB"/>
        </w:rPr>
        <w:t>discernible</w:t>
      </w:r>
      <w:r w:rsidRPr="00B84638">
        <w:rPr>
          <w:rFonts w:cstheme="minorHAnsi"/>
          <w:lang w:val="en-GB"/>
        </w:rPr>
        <w:t xml:space="preserve">. The actual stock price soared on day 0 and the AR has shown positive </w:t>
      </w:r>
      <w:r w:rsidR="005623D5">
        <w:rPr>
          <w:rFonts w:cstheme="minorHAnsi"/>
          <w:lang w:val="en-GB"/>
        </w:rPr>
        <w:t>o</w:t>
      </w:r>
      <w:r w:rsidRPr="00B84638">
        <w:rPr>
          <w:rFonts w:cstheme="minorHAnsi"/>
          <w:lang w:val="en-GB"/>
        </w:rPr>
        <w:t>n day 0 and day 1, regardless of the small magnitude. The table has displayed a positive AR in day 0 and day 1 of the event with 0.0077</w:t>
      </w:r>
      <w:r w:rsidR="001E4EED">
        <w:rPr>
          <w:rFonts w:cstheme="minorHAnsi"/>
          <w:lang w:val="en-GB"/>
        </w:rPr>
        <w:t>1</w:t>
      </w:r>
      <w:r w:rsidRPr="00B84638">
        <w:rPr>
          <w:rFonts w:cstheme="minorHAnsi"/>
          <w:lang w:val="en-GB"/>
        </w:rPr>
        <w:t xml:space="preserve"> and 0.00</w:t>
      </w:r>
      <w:r w:rsidR="001E4EED">
        <w:rPr>
          <w:rFonts w:cstheme="minorHAnsi"/>
          <w:lang w:val="en-GB"/>
        </w:rPr>
        <w:t>815</w:t>
      </w:r>
      <w:r w:rsidRPr="00B84638">
        <w:rPr>
          <w:rFonts w:cstheme="minorHAnsi"/>
          <w:lang w:val="en-GB"/>
        </w:rPr>
        <w:t xml:space="preserve"> respectively, it then dropped to negative on day 2 then return to positive on day 3. The AR on day 0 has the value of θ is 0.75141. </w:t>
      </w:r>
      <w:r w:rsidR="00DA4FA6">
        <w:rPr>
          <w:rFonts w:cstheme="minorHAnsi"/>
          <w:lang w:val="en-GB"/>
        </w:rPr>
        <w:t>Al</w:t>
      </w:r>
      <w:r w:rsidRPr="00B84638">
        <w:rPr>
          <w:rFonts w:cstheme="minorHAnsi"/>
          <w:lang w:val="en-GB"/>
        </w:rPr>
        <w:t xml:space="preserve">though the event might have a positive influence on the share price, it is failed to reject that the null hypothesis of the last event does not have an impact on the share price. The CAR consolidated the result of the AR, displaying a positive outcome in the overall effect of the event to the share price. The CAR on the last day of the event window </w:t>
      </w:r>
      <w:r w:rsidR="00F173FD">
        <w:rPr>
          <w:rFonts w:cstheme="minorHAnsi"/>
          <w:lang w:val="en-GB"/>
        </w:rPr>
        <w:t>is</w:t>
      </w:r>
      <w:r w:rsidRPr="00B84638">
        <w:rPr>
          <w:rFonts w:cstheme="minorHAnsi"/>
          <w:lang w:val="en-GB"/>
        </w:rPr>
        <w:t xml:space="preserve"> 0.01</w:t>
      </w:r>
      <w:r w:rsidR="00912CF0">
        <w:rPr>
          <w:rFonts w:cstheme="minorHAnsi"/>
          <w:lang w:val="en-GB"/>
        </w:rPr>
        <w:t>379</w:t>
      </w:r>
      <w:r w:rsidRPr="00B84638">
        <w:rPr>
          <w:rFonts w:cstheme="minorHAnsi"/>
          <w:lang w:val="en-GB"/>
        </w:rPr>
        <w:t>, and the corresponding value of θ is 0.</w:t>
      </w:r>
      <w:r w:rsidR="00912CF0">
        <w:rPr>
          <w:rFonts w:cstheme="minorHAnsi"/>
          <w:lang w:val="en-GB"/>
        </w:rPr>
        <w:t>64132</w:t>
      </w:r>
      <w:r w:rsidRPr="00B84638">
        <w:rPr>
          <w:rFonts w:cstheme="minorHAnsi"/>
          <w:lang w:val="en-GB"/>
        </w:rPr>
        <w:t>. This concludes the CAR in the last event window is statistically insignificant and it is failed to reject the null hypothesis of the event has no impact, neither positive nor negative, to the overall stock price in the 4 days event window.</w:t>
      </w:r>
    </w:p>
    <w:p w14:paraId="6CFE949E" w14:textId="2178AA5E" w:rsidR="00195A2D" w:rsidRDefault="00195A2D" w:rsidP="00195A2D">
      <w:pPr>
        <w:pStyle w:val="Subtitle"/>
        <w:rPr>
          <w:rFonts w:cstheme="minorHAnsi"/>
          <w:color w:val="auto"/>
          <w:spacing w:val="0"/>
          <w:lang w:val="en-GB"/>
        </w:rPr>
      </w:pPr>
    </w:p>
    <w:p w14:paraId="2D2C9ECF" w14:textId="421357B5" w:rsidR="00195A2D" w:rsidRPr="00195A2D" w:rsidRDefault="00195A2D" w:rsidP="00195A2D">
      <w:pPr>
        <w:pStyle w:val="Subtitle"/>
        <w:rPr>
          <w:lang w:val="en-GB"/>
        </w:rPr>
      </w:pPr>
      <w:r>
        <w:rPr>
          <w:lang w:val="en-GB"/>
        </w:rPr>
        <w:t>Overall impact and Market Efficiency</w:t>
      </w:r>
    </w:p>
    <w:p w14:paraId="10BDEF14" w14:textId="77777777" w:rsidR="00A17AE2" w:rsidRDefault="00A17AE2" w:rsidP="00821382">
      <w:pPr>
        <w:rPr>
          <w:rFonts w:cstheme="minorHAnsi"/>
          <w:lang w:val="en-GB"/>
        </w:rPr>
      </w:pPr>
      <w:r>
        <w:rPr>
          <w:rFonts w:cstheme="minorHAnsi"/>
          <w:lang w:val="en-GB"/>
        </w:rPr>
        <w:t xml:space="preserve">  With all the AR and CAR computed, the </w:t>
      </w:r>
      <m:oMath>
        <m:acc>
          <m:accPr>
            <m:chr m:val="̅"/>
            <m:ctrlPr>
              <w:rPr>
                <w:rFonts w:ascii="Cambria Math" w:hAnsi="Cambria Math" w:cstheme="minorHAnsi"/>
                <w:i/>
                <w:lang w:val="en-GB"/>
              </w:rPr>
            </m:ctrlPr>
          </m:accPr>
          <m:e>
            <m:r>
              <w:rPr>
                <w:rFonts w:ascii="Cambria Math" w:hAnsi="Cambria Math" w:cstheme="minorHAnsi"/>
                <w:lang w:val="en-GB"/>
              </w:rPr>
              <m:t>AR</m:t>
            </m:r>
          </m:e>
        </m:acc>
        <m:r>
          <w:rPr>
            <w:rFonts w:ascii="Cambria Math" w:hAnsi="Cambria Math" w:cstheme="minorHAnsi"/>
            <w:lang w:val="en-GB"/>
          </w:rPr>
          <m:t xml:space="preserve"> </m:t>
        </m:r>
      </m:oMath>
      <w:r>
        <w:rPr>
          <w:rFonts w:cstheme="minorHAnsi"/>
          <w:lang w:val="en-GB"/>
        </w:rPr>
        <w:t xml:space="preserve">and </w:t>
      </w:r>
      <m:oMath>
        <m:acc>
          <m:accPr>
            <m:chr m:val="̅"/>
            <m:ctrlPr>
              <w:rPr>
                <w:rFonts w:ascii="Cambria Math" w:hAnsi="Cambria Math" w:cstheme="minorHAnsi"/>
                <w:i/>
                <w:lang w:val="en-GB"/>
              </w:rPr>
            </m:ctrlPr>
          </m:accPr>
          <m:e>
            <m:r>
              <w:rPr>
                <w:rFonts w:ascii="Cambria Math" w:hAnsi="Cambria Math" w:cstheme="minorHAnsi"/>
                <w:lang w:val="en-GB"/>
              </w:rPr>
              <m:t>CAR</m:t>
            </m:r>
          </m:e>
        </m:acc>
      </m:oMath>
      <w:r w:rsidR="004C4F89">
        <w:rPr>
          <w:rFonts w:cstheme="minorHAnsi"/>
          <w:lang w:val="en-GB"/>
        </w:rPr>
        <w:t xml:space="preserve"> can now be calculated, and the result is as shown:</w:t>
      </w:r>
    </w:p>
    <w:tbl>
      <w:tblPr>
        <w:tblStyle w:val="TableGridLight"/>
        <w:tblW w:w="5629" w:type="dxa"/>
        <w:jc w:val="center"/>
        <w:tblLook w:val="04A0" w:firstRow="1" w:lastRow="0" w:firstColumn="1" w:lastColumn="0" w:noHBand="0" w:noVBand="1"/>
      </w:tblPr>
      <w:tblGrid>
        <w:gridCol w:w="960"/>
        <w:gridCol w:w="1118"/>
        <w:gridCol w:w="1158"/>
        <w:gridCol w:w="1118"/>
        <w:gridCol w:w="1275"/>
      </w:tblGrid>
      <w:tr w:rsidR="009012BD" w:rsidRPr="009012BD" w14:paraId="7F197840" w14:textId="77777777" w:rsidTr="0047701B">
        <w:trPr>
          <w:trHeight w:val="288"/>
          <w:jc w:val="center"/>
        </w:trPr>
        <w:tc>
          <w:tcPr>
            <w:tcW w:w="960" w:type="dxa"/>
            <w:noWrap/>
            <w:hideMark/>
          </w:tcPr>
          <w:p w14:paraId="72E756C1"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Days</w:t>
            </w:r>
          </w:p>
        </w:tc>
        <w:tc>
          <w:tcPr>
            <w:tcW w:w="1118" w:type="dxa"/>
            <w:noWrap/>
            <w:hideMark/>
          </w:tcPr>
          <w:p w14:paraId="2FF81E2E" w14:textId="6DE1673C" w:rsidR="009012BD" w:rsidRPr="009012BD" w:rsidRDefault="00A11209" w:rsidP="0047701B">
            <w:pPr>
              <w:jc w:val="center"/>
              <w:rPr>
                <w:rFonts w:ascii="Calibri" w:eastAsia="Times New Roman" w:hAnsi="Calibri" w:cs="Calibri"/>
                <w:color w:val="000000"/>
              </w:rPr>
            </w:pPr>
            <m:oMathPara>
              <m:oMath>
                <m:acc>
                  <m:accPr>
                    <m:chr m:val="̅"/>
                    <m:ctrlPr>
                      <w:rPr>
                        <w:rFonts w:ascii="Cambria Math" w:hAnsi="Cambria Math" w:cstheme="minorHAnsi"/>
                        <w:i/>
                        <w:sz w:val="24"/>
                        <w:szCs w:val="24"/>
                        <w:lang w:val="en-GB"/>
                      </w:rPr>
                    </m:ctrlPr>
                  </m:accPr>
                  <m:e>
                    <m:r>
                      <w:rPr>
                        <w:rFonts w:ascii="Cambria Math" w:hAnsi="Cambria Math" w:cstheme="minorHAnsi"/>
                        <w:lang w:val="en-GB"/>
                      </w:rPr>
                      <m:t>AR</m:t>
                    </m:r>
                  </m:e>
                </m:acc>
              </m:oMath>
            </m:oMathPara>
          </w:p>
        </w:tc>
        <w:tc>
          <w:tcPr>
            <w:tcW w:w="1158" w:type="dxa"/>
            <w:noWrap/>
            <w:hideMark/>
          </w:tcPr>
          <w:p w14:paraId="5CAA8C1F" w14:textId="3440FF7C" w:rsidR="009012BD" w:rsidRPr="009012BD" w:rsidRDefault="00A11209" w:rsidP="0047701B">
            <w:pPr>
              <w:jc w:val="center"/>
              <w:rPr>
                <w:rFonts w:ascii="Calibri" w:eastAsia="Times New Roman" w:hAnsi="Calibri" w:cs="Calibri"/>
                <w:color w:val="000000"/>
              </w:rPr>
            </w:pPr>
            <m:oMath>
              <m:acc>
                <m:accPr>
                  <m:chr m:val="̅"/>
                  <m:ctrlPr>
                    <w:rPr>
                      <w:rFonts w:ascii="Cambria Math" w:hAnsi="Cambria Math" w:cstheme="minorHAnsi"/>
                      <w:i/>
                      <w:sz w:val="24"/>
                      <w:szCs w:val="24"/>
                      <w:lang w:val="en-GB"/>
                    </w:rPr>
                  </m:ctrlPr>
                </m:accPr>
                <m:e>
                  <m:r>
                    <w:rPr>
                      <w:rFonts w:ascii="Cambria Math" w:hAnsi="Cambria Math" w:cstheme="minorHAnsi"/>
                      <w:lang w:val="en-GB"/>
                    </w:rPr>
                    <m:t>AR</m:t>
                  </m:r>
                </m:e>
              </m:acc>
            </m:oMath>
            <w:r w:rsidR="00042C7A">
              <w:rPr>
                <w:rFonts w:ascii="Calibri" w:eastAsia="Times New Roman" w:hAnsi="Calibri" w:cs="Calibri"/>
                <w:sz w:val="24"/>
                <w:szCs w:val="24"/>
                <w:lang w:val="en-GB"/>
              </w:rPr>
              <w:t xml:space="preserve"> </w:t>
            </w:r>
            <w:r w:rsidR="009012BD" w:rsidRPr="009012BD">
              <w:rPr>
                <w:rFonts w:ascii="Calibri" w:eastAsia="Times New Roman" w:hAnsi="Calibri" w:cs="Calibri"/>
                <w:color w:val="000000"/>
              </w:rPr>
              <w:t>Beta</w:t>
            </w:r>
          </w:p>
        </w:tc>
        <w:tc>
          <w:tcPr>
            <w:tcW w:w="1118" w:type="dxa"/>
            <w:noWrap/>
            <w:hideMark/>
          </w:tcPr>
          <w:p w14:paraId="15CE710F" w14:textId="29A7EB78" w:rsidR="009012BD" w:rsidRPr="009012BD" w:rsidRDefault="00A11209" w:rsidP="0047701B">
            <w:pPr>
              <w:jc w:val="center"/>
              <w:rPr>
                <w:rFonts w:ascii="Calibri" w:eastAsia="Times New Roman" w:hAnsi="Calibri" w:cs="Calibri"/>
                <w:color w:val="000000"/>
              </w:rPr>
            </w:pPr>
            <m:oMathPara>
              <m:oMath>
                <m:acc>
                  <m:accPr>
                    <m:chr m:val="̅"/>
                    <m:ctrlPr>
                      <w:rPr>
                        <w:rFonts w:ascii="Cambria Math" w:hAnsi="Cambria Math" w:cstheme="minorHAnsi"/>
                        <w:i/>
                        <w:sz w:val="24"/>
                        <w:szCs w:val="24"/>
                        <w:lang w:val="en-GB"/>
                      </w:rPr>
                    </m:ctrlPr>
                  </m:accPr>
                  <m:e>
                    <m:r>
                      <w:rPr>
                        <w:rFonts w:ascii="Cambria Math" w:hAnsi="Cambria Math" w:cstheme="minorHAnsi"/>
                        <w:lang w:val="en-GB"/>
                      </w:rPr>
                      <m:t>CAR</m:t>
                    </m:r>
                  </m:e>
                </m:acc>
              </m:oMath>
            </m:oMathPara>
          </w:p>
        </w:tc>
        <w:tc>
          <w:tcPr>
            <w:tcW w:w="1275" w:type="dxa"/>
            <w:noWrap/>
            <w:hideMark/>
          </w:tcPr>
          <w:p w14:paraId="2BD4003A" w14:textId="2A01273F" w:rsidR="009012BD" w:rsidRPr="009012BD" w:rsidRDefault="00A11209" w:rsidP="0047701B">
            <w:pPr>
              <w:jc w:val="center"/>
              <w:rPr>
                <w:rFonts w:ascii="Calibri" w:eastAsia="Times New Roman" w:hAnsi="Calibri" w:cs="Calibri"/>
                <w:color w:val="000000"/>
              </w:rPr>
            </w:pPr>
            <m:oMath>
              <m:acc>
                <m:accPr>
                  <m:chr m:val="̅"/>
                  <m:ctrlPr>
                    <w:rPr>
                      <w:rFonts w:ascii="Cambria Math" w:hAnsi="Cambria Math" w:cstheme="minorHAnsi"/>
                      <w:i/>
                      <w:sz w:val="24"/>
                      <w:szCs w:val="24"/>
                      <w:lang w:val="en-GB"/>
                    </w:rPr>
                  </m:ctrlPr>
                </m:accPr>
                <m:e>
                  <m:r>
                    <w:rPr>
                      <w:rFonts w:ascii="Cambria Math" w:hAnsi="Cambria Math" w:cstheme="minorHAnsi"/>
                      <w:lang w:val="en-GB"/>
                    </w:rPr>
                    <m:t>CAR</m:t>
                  </m:r>
                </m:e>
              </m:acc>
              <m:r>
                <w:rPr>
                  <w:rFonts w:ascii="Cambria Math" w:hAnsi="Cambria Math" w:cstheme="minorHAnsi"/>
                  <w:sz w:val="24"/>
                  <w:szCs w:val="24"/>
                  <w:lang w:val="en-GB"/>
                </w:rPr>
                <m:t xml:space="preserve"> </m:t>
              </m:r>
            </m:oMath>
            <w:r w:rsidR="009012BD" w:rsidRPr="009012BD">
              <w:rPr>
                <w:rFonts w:ascii="Calibri" w:eastAsia="Times New Roman" w:hAnsi="Calibri" w:cs="Calibri"/>
                <w:color w:val="000000"/>
              </w:rPr>
              <w:t>Beta</w:t>
            </w:r>
          </w:p>
        </w:tc>
      </w:tr>
      <w:tr w:rsidR="009012BD" w:rsidRPr="009012BD" w14:paraId="7CB0B9C7" w14:textId="77777777" w:rsidTr="0047701B">
        <w:trPr>
          <w:trHeight w:val="288"/>
          <w:jc w:val="center"/>
        </w:trPr>
        <w:tc>
          <w:tcPr>
            <w:tcW w:w="960" w:type="dxa"/>
            <w:noWrap/>
            <w:hideMark/>
          </w:tcPr>
          <w:p w14:paraId="0F271E86"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0</w:t>
            </w:r>
          </w:p>
        </w:tc>
        <w:tc>
          <w:tcPr>
            <w:tcW w:w="1118" w:type="dxa"/>
            <w:noWrap/>
            <w:hideMark/>
          </w:tcPr>
          <w:p w14:paraId="6ACAA41D"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-0.01085</w:t>
            </w:r>
          </w:p>
        </w:tc>
        <w:tc>
          <w:tcPr>
            <w:tcW w:w="1158" w:type="dxa"/>
            <w:noWrap/>
            <w:hideMark/>
          </w:tcPr>
          <w:p w14:paraId="7B06D788"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-3.02706</w:t>
            </w:r>
          </w:p>
        </w:tc>
        <w:tc>
          <w:tcPr>
            <w:tcW w:w="1118" w:type="dxa"/>
            <w:noWrap/>
            <w:hideMark/>
          </w:tcPr>
          <w:p w14:paraId="508764EE"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-0.01085</w:t>
            </w:r>
          </w:p>
        </w:tc>
        <w:tc>
          <w:tcPr>
            <w:tcW w:w="1275" w:type="dxa"/>
            <w:noWrap/>
            <w:hideMark/>
          </w:tcPr>
          <w:p w14:paraId="7537E748"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-1.51353</w:t>
            </w:r>
          </w:p>
        </w:tc>
      </w:tr>
      <w:tr w:rsidR="009012BD" w:rsidRPr="009012BD" w14:paraId="6A712486" w14:textId="77777777" w:rsidTr="0047701B">
        <w:trPr>
          <w:trHeight w:val="288"/>
          <w:jc w:val="center"/>
        </w:trPr>
        <w:tc>
          <w:tcPr>
            <w:tcW w:w="960" w:type="dxa"/>
            <w:noWrap/>
            <w:hideMark/>
          </w:tcPr>
          <w:p w14:paraId="22D3F49E"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1</w:t>
            </w:r>
          </w:p>
        </w:tc>
        <w:tc>
          <w:tcPr>
            <w:tcW w:w="1118" w:type="dxa"/>
            <w:noWrap/>
            <w:hideMark/>
          </w:tcPr>
          <w:p w14:paraId="385C0579"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-0.00997</w:t>
            </w:r>
          </w:p>
        </w:tc>
        <w:tc>
          <w:tcPr>
            <w:tcW w:w="1158" w:type="dxa"/>
            <w:noWrap/>
            <w:hideMark/>
          </w:tcPr>
          <w:p w14:paraId="3D4AD603"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-2.78011</w:t>
            </w:r>
          </w:p>
        </w:tc>
        <w:tc>
          <w:tcPr>
            <w:tcW w:w="1118" w:type="dxa"/>
            <w:noWrap/>
            <w:hideMark/>
          </w:tcPr>
          <w:p w14:paraId="7B010FDF"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-0.02082</w:t>
            </w:r>
          </w:p>
        </w:tc>
        <w:tc>
          <w:tcPr>
            <w:tcW w:w="1275" w:type="dxa"/>
            <w:noWrap/>
            <w:hideMark/>
          </w:tcPr>
          <w:p w14:paraId="72CAD598"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-2.90359</w:t>
            </w:r>
          </w:p>
        </w:tc>
      </w:tr>
      <w:tr w:rsidR="009012BD" w:rsidRPr="009012BD" w14:paraId="5A02F5AA" w14:textId="77777777" w:rsidTr="0047701B">
        <w:trPr>
          <w:trHeight w:val="288"/>
          <w:jc w:val="center"/>
        </w:trPr>
        <w:tc>
          <w:tcPr>
            <w:tcW w:w="960" w:type="dxa"/>
            <w:noWrap/>
            <w:hideMark/>
          </w:tcPr>
          <w:p w14:paraId="11930FB6"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2</w:t>
            </w:r>
          </w:p>
        </w:tc>
        <w:tc>
          <w:tcPr>
            <w:tcW w:w="1118" w:type="dxa"/>
            <w:noWrap/>
            <w:hideMark/>
          </w:tcPr>
          <w:p w14:paraId="51CE633A"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-0.00597</w:t>
            </w:r>
          </w:p>
        </w:tc>
        <w:tc>
          <w:tcPr>
            <w:tcW w:w="1158" w:type="dxa"/>
            <w:noWrap/>
            <w:hideMark/>
          </w:tcPr>
          <w:p w14:paraId="75C1850E"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-1.6662</w:t>
            </w:r>
          </w:p>
        </w:tc>
        <w:tc>
          <w:tcPr>
            <w:tcW w:w="1118" w:type="dxa"/>
            <w:noWrap/>
            <w:hideMark/>
          </w:tcPr>
          <w:p w14:paraId="1C1A53E3"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-0.02679</w:t>
            </w:r>
          </w:p>
        </w:tc>
        <w:tc>
          <w:tcPr>
            <w:tcW w:w="1275" w:type="dxa"/>
            <w:noWrap/>
            <w:hideMark/>
          </w:tcPr>
          <w:p w14:paraId="3910F139"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-3.73668</w:t>
            </w:r>
          </w:p>
        </w:tc>
      </w:tr>
      <w:tr w:rsidR="009012BD" w:rsidRPr="009012BD" w14:paraId="598FA769" w14:textId="77777777" w:rsidTr="0047701B">
        <w:trPr>
          <w:trHeight w:val="288"/>
          <w:jc w:val="center"/>
        </w:trPr>
        <w:tc>
          <w:tcPr>
            <w:tcW w:w="960" w:type="dxa"/>
            <w:noWrap/>
            <w:hideMark/>
          </w:tcPr>
          <w:p w14:paraId="3E97726B"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3</w:t>
            </w:r>
          </w:p>
        </w:tc>
        <w:tc>
          <w:tcPr>
            <w:tcW w:w="1118" w:type="dxa"/>
            <w:noWrap/>
            <w:hideMark/>
          </w:tcPr>
          <w:p w14:paraId="530D4FC8"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-0.00661</w:t>
            </w:r>
          </w:p>
        </w:tc>
        <w:tc>
          <w:tcPr>
            <w:tcW w:w="1158" w:type="dxa"/>
            <w:noWrap/>
            <w:hideMark/>
          </w:tcPr>
          <w:p w14:paraId="40BA8E7D"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-1.84373</w:t>
            </w:r>
          </w:p>
        </w:tc>
        <w:tc>
          <w:tcPr>
            <w:tcW w:w="1118" w:type="dxa"/>
            <w:noWrap/>
            <w:hideMark/>
          </w:tcPr>
          <w:p w14:paraId="4FF91B4A"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-0.0334</w:t>
            </w:r>
          </w:p>
        </w:tc>
        <w:tc>
          <w:tcPr>
            <w:tcW w:w="1275" w:type="dxa"/>
            <w:noWrap/>
            <w:hideMark/>
          </w:tcPr>
          <w:p w14:paraId="2298C378" w14:textId="77777777" w:rsidR="009012BD" w:rsidRPr="009012BD" w:rsidRDefault="009012BD" w:rsidP="0047701B">
            <w:pPr>
              <w:jc w:val="center"/>
              <w:rPr>
                <w:rFonts w:ascii="Calibri" w:eastAsia="Times New Roman" w:hAnsi="Calibri" w:cs="Calibri"/>
                <w:color w:val="000000"/>
              </w:rPr>
            </w:pPr>
            <w:r w:rsidRPr="009012BD">
              <w:rPr>
                <w:rFonts w:ascii="Calibri" w:eastAsia="Times New Roman" w:hAnsi="Calibri" w:cs="Calibri"/>
                <w:color w:val="000000"/>
              </w:rPr>
              <w:t>-4.65855</w:t>
            </w:r>
          </w:p>
        </w:tc>
      </w:tr>
    </w:tbl>
    <w:p w14:paraId="42DFDF2F" w14:textId="77777777" w:rsidR="00574BF1" w:rsidRDefault="00574BF1" w:rsidP="00821382">
      <w:pPr>
        <w:rPr>
          <w:rFonts w:cstheme="minorHAnsi"/>
          <w:noProof/>
          <w:sz w:val="24"/>
          <w:szCs w:val="24"/>
          <w:lang w:val="en-GB"/>
        </w:rPr>
      </w:pPr>
    </w:p>
    <w:p w14:paraId="605355A3" w14:textId="479BA6F0" w:rsidR="00195A2D" w:rsidRDefault="00551716" w:rsidP="00821382">
      <w:pPr>
        <w:rPr>
          <w:rFonts w:cstheme="minorHAnsi"/>
          <w:sz w:val="24"/>
          <w:szCs w:val="24"/>
          <w:lang w:val="en-GB"/>
        </w:rPr>
      </w:pPr>
      <w:r>
        <w:rPr>
          <w:rFonts w:cstheme="minorHAnsi"/>
          <w:lang w:val="en-GB"/>
        </w:rPr>
        <w:t xml:space="preserve">  Regardless of the </w:t>
      </w:r>
      <w:r w:rsidR="00342A17">
        <w:rPr>
          <w:rFonts w:cstheme="minorHAnsi"/>
          <w:lang w:val="en-GB"/>
        </w:rPr>
        <w:t>insignificance o</w:t>
      </w:r>
      <w:r w:rsidR="009860CB">
        <w:rPr>
          <w:rFonts w:cstheme="minorHAnsi"/>
          <w:lang w:val="en-GB"/>
        </w:rPr>
        <w:t>n day 0 of the first and the last event, day 0 has the most significant AR among the whole event window in average</w:t>
      </w:r>
      <w:r w:rsidR="00011739">
        <w:rPr>
          <w:rFonts w:cstheme="minorHAnsi"/>
          <w:sz w:val="24"/>
          <w:szCs w:val="24"/>
          <w:lang w:val="en-GB"/>
        </w:rPr>
        <w:t xml:space="preserve">. </w:t>
      </w:r>
      <w:r w:rsidR="00A070CB">
        <w:rPr>
          <w:rFonts w:cstheme="minorHAnsi"/>
          <w:lang w:val="en-GB"/>
        </w:rPr>
        <w:t>The overall significance of all 3 events toward the share price of Tencent</w:t>
      </w:r>
      <w:r w:rsidR="00596558">
        <w:rPr>
          <w:rFonts w:cstheme="minorHAnsi"/>
          <w:lang w:val="en-GB"/>
        </w:rPr>
        <w:t xml:space="preserve"> on day 0</w:t>
      </w:r>
      <w:r w:rsidR="00A070CB">
        <w:rPr>
          <w:rFonts w:cstheme="minorHAnsi"/>
          <w:lang w:val="en-GB"/>
        </w:rPr>
        <w:t xml:space="preserve"> can be shown by testi</w:t>
      </w:r>
      <w:r w:rsidR="004258AD">
        <w:rPr>
          <w:rFonts w:cstheme="minorHAnsi"/>
          <w:lang w:val="en-GB"/>
        </w:rPr>
        <w:t xml:space="preserve">ng </w:t>
      </w:r>
      <w:r w:rsidR="00596558">
        <w:rPr>
          <w:rFonts w:cstheme="minorHAnsi"/>
          <w:lang w:val="en-GB"/>
        </w:rPr>
        <w:t xml:space="preserve">the </w:t>
      </w:r>
      <m:oMath>
        <m:acc>
          <m:accPr>
            <m:chr m:val="̅"/>
            <m:ctrlPr>
              <w:rPr>
                <w:rFonts w:ascii="Cambria Math" w:hAnsi="Cambria Math" w:cstheme="minorHAnsi"/>
                <w:i/>
                <w:sz w:val="24"/>
                <w:szCs w:val="24"/>
                <w:lang w:val="en-GB"/>
              </w:rPr>
            </m:ctrlPr>
          </m:accPr>
          <m:e>
            <m:r>
              <w:rPr>
                <w:rFonts w:ascii="Cambria Math" w:hAnsi="Cambria Math" w:cstheme="minorHAnsi"/>
                <w:lang w:val="en-GB"/>
              </w:rPr>
              <m:t>AR</m:t>
            </m:r>
          </m:e>
        </m:acc>
      </m:oMath>
      <w:r w:rsidR="00596558">
        <w:rPr>
          <w:rFonts w:cstheme="minorHAnsi"/>
          <w:sz w:val="24"/>
          <w:szCs w:val="24"/>
          <w:lang w:val="en-GB"/>
        </w:rPr>
        <w:t xml:space="preserve">. </w:t>
      </w:r>
      <w:r w:rsidR="009675D6">
        <w:rPr>
          <w:rFonts w:cstheme="minorHAnsi"/>
          <w:sz w:val="24"/>
          <w:szCs w:val="24"/>
          <w:lang w:val="en-GB"/>
        </w:rPr>
        <w:t xml:space="preserve">The </w:t>
      </w:r>
      <m:oMath>
        <m:acc>
          <m:accPr>
            <m:chr m:val="̅"/>
            <m:ctrlPr>
              <w:rPr>
                <w:rFonts w:ascii="Cambria Math" w:hAnsi="Cambria Math" w:cstheme="minorHAnsi"/>
                <w:i/>
                <w:sz w:val="24"/>
                <w:szCs w:val="24"/>
                <w:lang w:val="en-GB"/>
              </w:rPr>
            </m:ctrlPr>
          </m:accPr>
          <m:e>
            <m:r>
              <w:rPr>
                <w:rFonts w:ascii="Cambria Math" w:hAnsi="Cambria Math" w:cstheme="minorHAnsi"/>
                <w:lang w:val="en-GB"/>
              </w:rPr>
              <m:t>AR</m:t>
            </m:r>
          </m:e>
        </m:acc>
      </m:oMath>
      <w:r w:rsidR="009675D6">
        <w:rPr>
          <w:rFonts w:cstheme="minorHAnsi"/>
          <w:sz w:val="24"/>
          <w:szCs w:val="24"/>
          <w:lang w:val="en-GB"/>
        </w:rPr>
        <w:t xml:space="preserve"> on day 0 </w:t>
      </w:r>
      <w:r w:rsidR="00071446">
        <w:rPr>
          <w:rFonts w:cstheme="minorHAnsi"/>
          <w:sz w:val="24"/>
          <w:szCs w:val="24"/>
          <w:lang w:val="en-GB"/>
        </w:rPr>
        <w:t xml:space="preserve">using the market model </w:t>
      </w:r>
      <w:r w:rsidR="009675D6">
        <w:rPr>
          <w:rFonts w:cstheme="minorHAnsi"/>
          <w:sz w:val="24"/>
          <w:szCs w:val="24"/>
          <w:lang w:val="en-GB"/>
        </w:rPr>
        <w:t>is -0.01</w:t>
      </w:r>
      <w:r w:rsidR="00912CF0">
        <w:rPr>
          <w:rFonts w:cstheme="minorHAnsi"/>
          <w:sz w:val="24"/>
          <w:szCs w:val="24"/>
          <w:lang w:val="en-GB"/>
        </w:rPr>
        <w:t>085</w:t>
      </w:r>
      <w:r w:rsidR="00071446">
        <w:rPr>
          <w:rFonts w:cstheme="minorHAnsi"/>
          <w:sz w:val="24"/>
          <w:szCs w:val="24"/>
          <w:lang w:val="en-GB"/>
        </w:rPr>
        <w:t>. Given the</w:t>
      </w:r>
      <w:r w:rsidR="00F1594A">
        <w:rPr>
          <w:rFonts w:cstheme="minorHAnsi"/>
          <w:sz w:val="24"/>
          <w:szCs w:val="24"/>
          <w:lang w:val="en-GB"/>
        </w:rPr>
        <w:t xml:space="preserve"> </w:t>
      </w:r>
      <w:r w:rsidR="00B4613A">
        <w:rPr>
          <w:rFonts w:cstheme="minorHAnsi"/>
          <w:sz w:val="24"/>
          <w:szCs w:val="24"/>
          <w:lang w:val="en-GB"/>
        </w:rPr>
        <w:t xml:space="preserve">average </w:t>
      </w:r>
      <w:r w:rsidR="00F1594A">
        <w:rPr>
          <w:rFonts w:cstheme="minorHAnsi"/>
          <w:sz w:val="24"/>
          <w:szCs w:val="24"/>
          <w:lang w:val="en-GB"/>
        </w:rPr>
        <w:t>variance of</w:t>
      </w:r>
      <w:r w:rsidR="00071446">
        <w:rPr>
          <w:rFonts w:cstheme="minorHAnsi"/>
          <w:sz w:val="24"/>
          <w:szCs w:val="24"/>
          <w:lang w:val="en-GB"/>
        </w:rPr>
        <w:t xml:space="preserve"> the 3 events is</w:t>
      </w:r>
      <w:r w:rsidR="00F1594A">
        <w:rPr>
          <w:rFonts w:cstheme="minorHAnsi"/>
          <w:sz w:val="24"/>
          <w:szCs w:val="24"/>
          <w:lang w:val="en-GB"/>
        </w:rPr>
        <w:t xml:space="preserve"> </w:t>
      </w:r>
      <w:r w:rsidR="009675D6">
        <w:rPr>
          <w:rFonts w:cstheme="minorHAnsi"/>
          <w:sz w:val="24"/>
          <w:szCs w:val="24"/>
          <w:lang w:val="en-GB"/>
        </w:rPr>
        <w:t>0.003</w:t>
      </w:r>
      <w:r w:rsidR="00912CF0">
        <w:rPr>
          <w:rFonts w:cstheme="minorHAnsi"/>
          <w:sz w:val="24"/>
          <w:szCs w:val="24"/>
          <w:lang w:val="en-GB"/>
        </w:rPr>
        <w:t>58</w:t>
      </w:r>
      <w:r w:rsidR="00F1594A">
        <w:rPr>
          <w:rFonts w:cstheme="minorHAnsi"/>
          <w:sz w:val="24"/>
          <w:szCs w:val="24"/>
          <w:lang w:val="en-GB"/>
        </w:rPr>
        <w:t>, the value of θ is -3.</w:t>
      </w:r>
      <w:r w:rsidR="00912CF0">
        <w:rPr>
          <w:rFonts w:cstheme="minorHAnsi"/>
          <w:sz w:val="24"/>
          <w:szCs w:val="24"/>
          <w:lang w:val="en-GB"/>
        </w:rPr>
        <w:t>02706</w:t>
      </w:r>
      <w:r w:rsidR="00F1594A">
        <w:rPr>
          <w:rFonts w:cstheme="minorHAnsi"/>
          <w:sz w:val="24"/>
          <w:szCs w:val="24"/>
          <w:lang w:val="en-GB"/>
        </w:rPr>
        <w:t>. Th</w:t>
      </w:r>
      <w:r w:rsidR="00071446">
        <w:rPr>
          <w:rFonts w:cstheme="minorHAnsi"/>
          <w:sz w:val="24"/>
          <w:szCs w:val="24"/>
          <w:lang w:val="en-GB"/>
        </w:rPr>
        <w:t>e null hypothesis of the 3 events have no impact on day 0 is strongly rejected.</w:t>
      </w:r>
      <w:r>
        <w:rPr>
          <w:rFonts w:cstheme="minorHAnsi"/>
          <w:sz w:val="24"/>
          <w:szCs w:val="24"/>
          <w:lang w:val="en-GB"/>
        </w:rPr>
        <w:t xml:space="preserve"> </w:t>
      </w:r>
      <w:r w:rsidR="005A0D19">
        <w:rPr>
          <w:rFonts w:cstheme="minorHAnsi"/>
          <w:sz w:val="24"/>
          <w:szCs w:val="24"/>
          <w:lang w:val="en-GB"/>
        </w:rPr>
        <w:t xml:space="preserve">The </w:t>
      </w:r>
      <m:oMath>
        <m:acc>
          <m:accPr>
            <m:chr m:val="̅"/>
            <m:ctrlPr>
              <w:rPr>
                <w:rFonts w:ascii="Cambria Math" w:hAnsi="Cambria Math" w:cstheme="minorHAnsi"/>
                <w:i/>
                <w:sz w:val="24"/>
                <w:szCs w:val="24"/>
                <w:lang w:val="en-GB"/>
              </w:rPr>
            </m:ctrlPr>
          </m:accPr>
          <m:e>
            <m:r>
              <w:rPr>
                <w:rFonts w:ascii="Cambria Math" w:hAnsi="Cambria Math" w:cstheme="minorHAnsi"/>
                <w:lang w:val="en-GB"/>
              </w:rPr>
              <m:t>CAR</m:t>
            </m:r>
          </m:e>
        </m:acc>
      </m:oMath>
      <w:r w:rsidR="00552BA0">
        <w:rPr>
          <w:rFonts w:cstheme="minorHAnsi"/>
          <w:sz w:val="24"/>
          <w:szCs w:val="24"/>
          <w:lang w:val="en-GB"/>
        </w:rPr>
        <w:t xml:space="preserve"> yields similar results with the </w:t>
      </w:r>
      <m:oMath>
        <m:acc>
          <m:accPr>
            <m:chr m:val="̅"/>
            <m:ctrlPr>
              <w:rPr>
                <w:rFonts w:ascii="Cambria Math" w:hAnsi="Cambria Math" w:cstheme="minorHAnsi"/>
                <w:i/>
                <w:sz w:val="24"/>
                <w:szCs w:val="24"/>
                <w:lang w:val="en-GB"/>
              </w:rPr>
            </m:ctrlPr>
          </m:accPr>
          <m:e>
            <m:r>
              <w:rPr>
                <w:rFonts w:ascii="Cambria Math" w:hAnsi="Cambria Math" w:cstheme="minorHAnsi"/>
                <w:lang w:val="en-GB"/>
              </w:rPr>
              <m:t>AR</m:t>
            </m:r>
          </m:e>
        </m:acc>
      </m:oMath>
      <w:r w:rsidR="001624E7">
        <w:rPr>
          <w:rFonts w:cstheme="minorHAnsi"/>
          <w:sz w:val="24"/>
          <w:szCs w:val="24"/>
          <w:lang w:val="en-GB"/>
        </w:rPr>
        <w:t xml:space="preserve">. </w:t>
      </w:r>
      <w:r w:rsidR="00707A4C">
        <w:rPr>
          <w:rFonts w:cstheme="minorHAnsi"/>
          <w:sz w:val="24"/>
          <w:szCs w:val="24"/>
          <w:lang w:val="en-GB"/>
        </w:rPr>
        <w:t xml:space="preserve">The </w:t>
      </w:r>
      <m:oMath>
        <m:acc>
          <m:accPr>
            <m:chr m:val="̅"/>
            <m:ctrlPr>
              <w:rPr>
                <w:rFonts w:ascii="Cambria Math" w:hAnsi="Cambria Math" w:cstheme="minorHAnsi"/>
                <w:i/>
                <w:sz w:val="24"/>
                <w:szCs w:val="24"/>
                <w:lang w:val="en-GB"/>
              </w:rPr>
            </m:ctrlPr>
          </m:accPr>
          <m:e>
            <m:r>
              <w:rPr>
                <w:rFonts w:ascii="Cambria Math" w:hAnsi="Cambria Math" w:cstheme="minorHAnsi"/>
                <w:lang w:val="en-GB"/>
              </w:rPr>
              <m:t>CAR</m:t>
            </m:r>
          </m:e>
        </m:acc>
      </m:oMath>
      <w:r w:rsidR="00707A4C">
        <w:rPr>
          <w:rFonts w:cstheme="minorHAnsi"/>
          <w:sz w:val="24"/>
          <w:szCs w:val="24"/>
          <w:lang w:val="en-GB"/>
        </w:rPr>
        <w:t xml:space="preserve"> on day 3 is -0.03</w:t>
      </w:r>
      <w:r w:rsidR="00912CF0">
        <w:rPr>
          <w:rFonts w:cstheme="minorHAnsi"/>
          <w:sz w:val="24"/>
          <w:szCs w:val="24"/>
          <w:lang w:val="en-GB"/>
        </w:rPr>
        <w:t>34</w:t>
      </w:r>
      <w:r w:rsidR="00707A4C">
        <w:rPr>
          <w:rFonts w:cstheme="minorHAnsi"/>
          <w:sz w:val="24"/>
          <w:szCs w:val="24"/>
          <w:lang w:val="en-GB"/>
        </w:rPr>
        <w:t>, with the</w:t>
      </w:r>
      <w:r w:rsidR="00B4613A">
        <w:rPr>
          <w:rFonts w:cstheme="minorHAnsi"/>
          <w:sz w:val="24"/>
          <w:szCs w:val="24"/>
          <w:lang w:val="en-GB"/>
        </w:rPr>
        <w:t xml:space="preserve"> variance of</w:t>
      </w:r>
      <w:r w:rsidR="00707A4C">
        <w:rPr>
          <w:rFonts w:cstheme="minorHAnsi"/>
          <w:sz w:val="24"/>
          <w:szCs w:val="24"/>
          <w:lang w:val="en-GB"/>
        </w:rPr>
        <w:t xml:space="preserve"> 0.00</w:t>
      </w:r>
      <w:r w:rsidR="00912CF0">
        <w:rPr>
          <w:rFonts w:cstheme="minorHAnsi"/>
          <w:sz w:val="24"/>
          <w:szCs w:val="24"/>
          <w:lang w:val="en-GB"/>
        </w:rPr>
        <w:t>717</w:t>
      </w:r>
      <w:r w:rsidR="00B4613A">
        <w:rPr>
          <w:rFonts w:cstheme="minorHAnsi"/>
          <w:sz w:val="24"/>
          <w:szCs w:val="24"/>
          <w:lang w:val="en-GB"/>
        </w:rPr>
        <w:t>, the value of θ is -</w:t>
      </w:r>
      <w:r w:rsidR="00912CF0">
        <w:rPr>
          <w:rFonts w:cstheme="minorHAnsi"/>
          <w:sz w:val="24"/>
          <w:szCs w:val="24"/>
          <w:lang w:val="en-GB"/>
        </w:rPr>
        <w:t>4.65855</w:t>
      </w:r>
      <w:r w:rsidR="00B4613A">
        <w:rPr>
          <w:rFonts w:cstheme="minorHAnsi"/>
          <w:sz w:val="24"/>
          <w:szCs w:val="24"/>
          <w:lang w:val="en-GB"/>
        </w:rPr>
        <w:t xml:space="preserve">. </w:t>
      </w:r>
      <w:r w:rsidR="00395616">
        <w:rPr>
          <w:rFonts w:cstheme="minorHAnsi"/>
          <w:sz w:val="24"/>
          <w:szCs w:val="24"/>
          <w:lang w:val="en-GB"/>
        </w:rPr>
        <w:t xml:space="preserve">The </w:t>
      </w:r>
      <w:r w:rsidR="003E2635">
        <w:rPr>
          <w:rFonts w:cstheme="minorHAnsi"/>
          <w:sz w:val="24"/>
          <w:szCs w:val="24"/>
          <w:lang w:val="en-GB"/>
        </w:rPr>
        <w:t>null hypothesis of the 3 events do not have impact to the overall share price of Tencent is defe</w:t>
      </w:r>
      <w:r w:rsidR="001F7487">
        <w:rPr>
          <w:rFonts w:cstheme="minorHAnsi"/>
          <w:sz w:val="24"/>
          <w:szCs w:val="24"/>
          <w:lang w:val="en-GB"/>
        </w:rPr>
        <w:t xml:space="preserve">ated. This alludes the </w:t>
      </w:r>
      <w:r w:rsidR="002A6349">
        <w:rPr>
          <w:rFonts w:cstheme="minorHAnsi"/>
          <w:sz w:val="24"/>
          <w:szCs w:val="24"/>
          <w:lang w:val="en-GB"/>
        </w:rPr>
        <w:t>fall</w:t>
      </w:r>
      <w:r w:rsidR="001F7487">
        <w:rPr>
          <w:rFonts w:cstheme="minorHAnsi"/>
          <w:sz w:val="24"/>
          <w:szCs w:val="24"/>
          <w:lang w:val="en-GB"/>
        </w:rPr>
        <w:t xml:space="preserve"> in share price </w:t>
      </w:r>
      <w:r w:rsidR="006C2C58">
        <w:rPr>
          <w:rFonts w:cstheme="minorHAnsi"/>
          <w:sz w:val="24"/>
          <w:szCs w:val="24"/>
          <w:lang w:val="en-GB"/>
        </w:rPr>
        <w:t xml:space="preserve">after the events </w:t>
      </w:r>
      <w:r w:rsidR="001F7487">
        <w:rPr>
          <w:rFonts w:cstheme="minorHAnsi"/>
          <w:sz w:val="24"/>
          <w:szCs w:val="24"/>
          <w:lang w:val="en-GB"/>
        </w:rPr>
        <w:t xml:space="preserve">is likely due to the impact of </w:t>
      </w:r>
      <w:r w:rsidR="006C2C58">
        <w:rPr>
          <w:rFonts w:cstheme="minorHAnsi"/>
          <w:sz w:val="24"/>
          <w:szCs w:val="24"/>
          <w:lang w:val="en-GB"/>
        </w:rPr>
        <w:t>the government intervention</w:t>
      </w:r>
      <w:r w:rsidR="001F7487">
        <w:rPr>
          <w:rFonts w:cstheme="minorHAnsi"/>
          <w:sz w:val="24"/>
          <w:szCs w:val="24"/>
          <w:lang w:val="en-GB"/>
        </w:rPr>
        <w:t xml:space="preserve">, </w:t>
      </w:r>
      <w:r w:rsidR="006C2C58">
        <w:rPr>
          <w:rFonts w:cstheme="minorHAnsi"/>
          <w:sz w:val="24"/>
          <w:szCs w:val="24"/>
          <w:lang w:val="en-GB"/>
        </w:rPr>
        <w:t>and</w:t>
      </w:r>
      <w:r w:rsidR="001F7487">
        <w:rPr>
          <w:rFonts w:cstheme="minorHAnsi"/>
          <w:sz w:val="24"/>
          <w:szCs w:val="24"/>
          <w:lang w:val="en-GB"/>
        </w:rPr>
        <w:t xml:space="preserve"> not by chance</w:t>
      </w:r>
      <w:r w:rsidR="001310EB">
        <w:rPr>
          <w:rFonts w:cstheme="minorHAnsi"/>
          <w:sz w:val="24"/>
          <w:szCs w:val="24"/>
          <w:lang w:val="en-GB"/>
        </w:rPr>
        <w:t>.</w:t>
      </w:r>
      <w:r w:rsidR="00BF24B1">
        <w:rPr>
          <w:rFonts w:cstheme="minorHAnsi"/>
          <w:sz w:val="24"/>
          <w:szCs w:val="24"/>
          <w:lang w:val="en-GB"/>
        </w:rPr>
        <w:t xml:space="preserve"> </w:t>
      </w:r>
    </w:p>
    <w:p w14:paraId="0FFB4A10" w14:textId="5F688EB1" w:rsidR="00D5709F" w:rsidRDefault="009013DA" w:rsidP="00821382">
      <w:pPr>
        <w:rPr>
          <w:rFonts w:cstheme="minorHAnsi"/>
          <w:sz w:val="24"/>
          <w:szCs w:val="24"/>
          <w:lang w:val="en-GB"/>
        </w:rPr>
      </w:pPr>
      <w:r>
        <w:rPr>
          <w:rFonts w:cstheme="minorHAnsi"/>
          <w:sz w:val="24"/>
          <w:szCs w:val="24"/>
          <w:lang w:val="en-GB"/>
        </w:rPr>
        <w:t xml:space="preserve">  The </w:t>
      </w:r>
      <m:oMath>
        <m:acc>
          <m:accPr>
            <m:chr m:val="̅"/>
            <m:ctrlPr>
              <w:rPr>
                <w:rFonts w:ascii="Cambria Math" w:hAnsi="Cambria Math" w:cstheme="minorHAnsi"/>
                <w:i/>
                <w:sz w:val="24"/>
                <w:szCs w:val="24"/>
                <w:lang w:val="en-GB"/>
              </w:rPr>
            </m:ctrlPr>
          </m:accPr>
          <m:e>
            <m:r>
              <w:rPr>
                <w:rFonts w:ascii="Cambria Math" w:hAnsi="Cambria Math" w:cstheme="minorHAnsi"/>
                <w:lang w:val="en-GB"/>
              </w:rPr>
              <m:t>CAR</m:t>
            </m:r>
          </m:e>
        </m:acc>
      </m:oMath>
      <w:r>
        <w:rPr>
          <w:rFonts w:cstheme="minorHAnsi"/>
          <w:sz w:val="24"/>
          <w:szCs w:val="24"/>
          <w:lang w:val="en-GB"/>
        </w:rPr>
        <w:t xml:space="preserve"> can be plotted for the events from day 0 to day 3 as followed:</w:t>
      </w:r>
    </w:p>
    <w:p w14:paraId="16713129" w14:textId="7EEC1041" w:rsidR="00FF0875" w:rsidRDefault="0092457C" w:rsidP="00714DEC">
      <w:pPr>
        <w:rPr>
          <w:rFonts w:cstheme="minorHAnsi"/>
          <w:sz w:val="24"/>
          <w:szCs w:val="24"/>
          <w:lang w:val="en-GB"/>
        </w:rPr>
      </w:pPr>
      <w:r>
        <w:rPr>
          <w:rFonts w:cstheme="minorHAnsi"/>
          <w:noProof/>
          <w:sz w:val="24"/>
          <w:szCs w:val="24"/>
          <w:lang w:val="en-GB"/>
        </w:rPr>
        <w:drawing>
          <wp:anchor distT="0" distB="0" distL="114300" distR="114300" simplePos="0" relativeHeight="251693056" behindDoc="0" locked="0" layoutInCell="1" allowOverlap="1" wp14:anchorId="09BF139C" wp14:editId="0DA1454B">
            <wp:simplePos x="0" y="0"/>
            <wp:positionH relativeFrom="margin">
              <wp:align>center</wp:align>
            </wp:positionH>
            <wp:positionV relativeFrom="paragraph">
              <wp:posOffset>0</wp:posOffset>
            </wp:positionV>
            <wp:extent cx="3749040" cy="249936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9040" cy="2499360"/>
                    </a:xfrm>
                    <a:prstGeom prst="rect">
                      <a:avLst/>
                    </a:prstGeom>
                    <a:noFill/>
                    <a:ln>
                      <a:noFill/>
                    </a:ln>
                  </pic:spPr>
                </pic:pic>
              </a:graphicData>
            </a:graphic>
          </wp:anchor>
        </w:drawing>
      </w:r>
    </w:p>
    <w:p w14:paraId="751C58D8" w14:textId="305DB839" w:rsidR="004C4F89" w:rsidRDefault="00B65E90" w:rsidP="00714DEC">
      <w:pPr>
        <w:rPr>
          <w:rFonts w:cstheme="minorHAnsi"/>
          <w:sz w:val="24"/>
          <w:szCs w:val="24"/>
          <w:lang w:val="en-GB"/>
        </w:rPr>
      </w:pPr>
      <w:r>
        <w:rPr>
          <w:rFonts w:cstheme="minorHAnsi"/>
          <w:sz w:val="24"/>
          <w:szCs w:val="24"/>
          <w:lang w:val="en-GB"/>
        </w:rPr>
        <w:t xml:space="preserve">  A</w:t>
      </w:r>
      <w:r w:rsidR="007D0DC2">
        <w:rPr>
          <w:rFonts w:cstheme="minorHAnsi"/>
          <w:sz w:val="24"/>
          <w:szCs w:val="24"/>
          <w:lang w:val="en-GB"/>
        </w:rPr>
        <w:t xml:space="preserve">s </w:t>
      </w:r>
      <w:r w:rsidR="00E36CE7">
        <w:rPr>
          <w:rFonts w:cstheme="minorHAnsi"/>
          <w:sz w:val="24"/>
          <w:szCs w:val="24"/>
          <w:lang w:val="en-GB"/>
        </w:rPr>
        <w:t xml:space="preserve">previously </w:t>
      </w:r>
      <w:r w:rsidR="007D0DC2">
        <w:rPr>
          <w:rFonts w:cstheme="minorHAnsi"/>
          <w:sz w:val="24"/>
          <w:szCs w:val="24"/>
          <w:lang w:val="en-GB"/>
        </w:rPr>
        <w:t xml:space="preserve">mentioned, the </w:t>
      </w:r>
      <m:oMath>
        <m:acc>
          <m:accPr>
            <m:chr m:val="̅"/>
            <m:ctrlPr>
              <w:rPr>
                <w:rFonts w:ascii="Cambria Math" w:hAnsi="Cambria Math" w:cstheme="minorHAnsi"/>
                <w:i/>
                <w:sz w:val="24"/>
                <w:szCs w:val="24"/>
                <w:lang w:val="en-GB"/>
              </w:rPr>
            </m:ctrlPr>
          </m:accPr>
          <m:e>
            <m:r>
              <w:rPr>
                <w:rFonts w:ascii="Cambria Math" w:hAnsi="Cambria Math" w:cstheme="minorHAnsi"/>
                <w:lang w:val="en-GB"/>
              </w:rPr>
              <m:t>CAR</m:t>
            </m:r>
          </m:e>
        </m:acc>
      </m:oMath>
      <w:r w:rsidR="007D0DC2">
        <w:rPr>
          <w:rFonts w:cstheme="minorHAnsi"/>
          <w:sz w:val="24"/>
          <w:szCs w:val="24"/>
          <w:lang w:val="en-GB"/>
        </w:rPr>
        <w:t xml:space="preserve"> gradually </w:t>
      </w:r>
      <w:r>
        <w:rPr>
          <w:rFonts w:cstheme="minorHAnsi"/>
          <w:sz w:val="24"/>
          <w:szCs w:val="24"/>
          <w:lang w:val="en-GB"/>
        </w:rPr>
        <w:t>drop</w:t>
      </w:r>
      <w:r w:rsidR="00363F63">
        <w:rPr>
          <w:rFonts w:cstheme="minorHAnsi"/>
          <w:sz w:val="24"/>
          <w:szCs w:val="24"/>
          <w:lang w:val="en-GB"/>
        </w:rPr>
        <w:t>s</w:t>
      </w:r>
      <w:r>
        <w:rPr>
          <w:rFonts w:cstheme="minorHAnsi"/>
          <w:sz w:val="24"/>
          <w:szCs w:val="24"/>
          <w:lang w:val="en-GB"/>
        </w:rPr>
        <w:t xml:space="preserve"> throughout the event window. According to the efficien</w:t>
      </w:r>
      <w:r w:rsidR="00363F63">
        <w:rPr>
          <w:rFonts w:cstheme="minorHAnsi"/>
          <w:sz w:val="24"/>
          <w:szCs w:val="24"/>
          <w:lang w:val="en-GB"/>
        </w:rPr>
        <w:t>t</w:t>
      </w:r>
      <w:r>
        <w:rPr>
          <w:rFonts w:cstheme="minorHAnsi"/>
          <w:sz w:val="24"/>
          <w:szCs w:val="24"/>
          <w:lang w:val="en-GB"/>
        </w:rPr>
        <w:t xml:space="preserve"> market hypothesis, </w:t>
      </w:r>
      <w:r w:rsidR="00360570">
        <w:rPr>
          <w:rFonts w:cstheme="minorHAnsi"/>
          <w:sz w:val="24"/>
          <w:szCs w:val="24"/>
          <w:lang w:val="en-GB"/>
        </w:rPr>
        <w:t xml:space="preserve">prices incorporate all available </w:t>
      </w:r>
      <w:r w:rsidR="000C0F0F">
        <w:rPr>
          <w:rFonts w:cstheme="minorHAnsi"/>
          <w:sz w:val="24"/>
          <w:szCs w:val="24"/>
          <w:lang w:val="en-GB"/>
        </w:rPr>
        <w:t xml:space="preserve">information and when new information comes available, price should adjust immediately. However, </w:t>
      </w:r>
      <w:r w:rsidR="00B77695">
        <w:rPr>
          <w:rFonts w:cstheme="minorHAnsi"/>
          <w:sz w:val="24"/>
          <w:szCs w:val="24"/>
          <w:lang w:val="en-GB"/>
        </w:rPr>
        <w:t xml:space="preserve">the </w:t>
      </w:r>
      <m:oMath>
        <m:acc>
          <m:accPr>
            <m:chr m:val="̅"/>
            <m:ctrlPr>
              <w:rPr>
                <w:rFonts w:ascii="Cambria Math" w:hAnsi="Cambria Math" w:cstheme="minorHAnsi"/>
                <w:i/>
                <w:sz w:val="24"/>
                <w:szCs w:val="24"/>
                <w:lang w:val="en-GB"/>
              </w:rPr>
            </m:ctrlPr>
          </m:accPr>
          <m:e>
            <m:r>
              <w:rPr>
                <w:rFonts w:ascii="Cambria Math" w:hAnsi="Cambria Math" w:cstheme="minorHAnsi"/>
                <w:lang w:val="en-GB"/>
              </w:rPr>
              <m:t>CAR</m:t>
            </m:r>
          </m:e>
        </m:acc>
      </m:oMath>
      <w:r w:rsidR="00B77695">
        <w:rPr>
          <w:rFonts w:cstheme="minorHAnsi"/>
          <w:sz w:val="24"/>
          <w:szCs w:val="24"/>
          <w:lang w:val="en-GB"/>
        </w:rPr>
        <w:t xml:space="preserve"> has shown that from</w:t>
      </w:r>
      <w:r w:rsidR="000C0F0F">
        <w:rPr>
          <w:rFonts w:cstheme="minorHAnsi"/>
          <w:sz w:val="24"/>
          <w:szCs w:val="24"/>
          <w:lang w:val="en-GB"/>
        </w:rPr>
        <w:t xml:space="preserve"> these events, the price did not adjust immediately</w:t>
      </w:r>
      <w:r w:rsidR="003848C3">
        <w:rPr>
          <w:rFonts w:cstheme="minorHAnsi"/>
          <w:sz w:val="24"/>
          <w:szCs w:val="24"/>
          <w:lang w:val="en-GB"/>
        </w:rPr>
        <w:t xml:space="preserve">; the </w:t>
      </w:r>
      <m:oMath>
        <m:acc>
          <m:accPr>
            <m:chr m:val="̅"/>
            <m:ctrlPr>
              <w:rPr>
                <w:rFonts w:ascii="Cambria Math" w:hAnsi="Cambria Math" w:cstheme="minorHAnsi"/>
                <w:i/>
                <w:sz w:val="24"/>
                <w:szCs w:val="24"/>
                <w:lang w:val="en-GB"/>
              </w:rPr>
            </m:ctrlPr>
          </m:accPr>
          <m:e>
            <m:r>
              <w:rPr>
                <w:rFonts w:ascii="Cambria Math" w:hAnsi="Cambria Math" w:cstheme="minorHAnsi"/>
                <w:lang w:val="en-GB"/>
              </w:rPr>
              <m:t>CAR</m:t>
            </m:r>
          </m:e>
        </m:acc>
      </m:oMath>
      <w:r w:rsidR="00B77695">
        <w:rPr>
          <w:rFonts w:cstheme="minorHAnsi"/>
          <w:sz w:val="24"/>
          <w:szCs w:val="24"/>
          <w:lang w:val="en-GB"/>
        </w:rPr>
        <w:t xml:space="preserve"> </w:t>
      </w:r>
      <w:r w:rsidR="00C57EF8">
        <w:rPr>
          <w:rFonts w:cstheme="minorHAnsi"/>
          <w:sz w:val="24"/>
          <w:szCs w:val="24"/>
          <w:lang w:val="en-GB"/>
        </w:rPr>
        <w:t>further drop</w:t>
      </w:r>
      <w:r w:rsidR="00B84638">
        <w:rPr>
          <w:rFonts w:cstheme="minorHAnsi"/>
          <w:sz w:val="24"/>
          <w:szCs w:val="24"/>
          <w:lang w:val="en-GB"/>
        </w:rPr>
        <w:t>s</w:t>
      </w:r>
      <w:r w:rsidR="00C57EF8">
        <w:rPr>
          <w:rFonts w:cstheme="minorHAnsi"/>
          <w:sz w:val="24"/>
          <w:szCs w:val="24"/>
          <w:lang w:val="en-GB"/>
        </w:rPr>
        <w:t xml:space="preserve"> after day 0 and reached the trough on day 3. This </w:t>
      </w:r>
      <w:r w:rsidR="00F213CB">
        <w:rPr>
          <w:rFonts w:cstheme="minorHAnsi"/>
          <w:sz w:val="24"/>
          <w:szCs w:val="24"/>
          <w:lang w:val="en-GB"/>
        </w:rPr>
        <w:t>signifies that</w:t>
      </w:r>
      <w:r w:rsidR="00C57EF8">
        <w:rPr>
          <w:rFonts w:cstheme="minorHAnsi"/>
          <w:sz w:val="24"/>
          <w:szCs w:val="24"/>
          <w:lang w:val="en-GB"/>
        </w:rPr>
        <w:t xml:space="preserve"> the market </w:t>
      </w:r>
      <w:r w:rsidR="00F213CB">
        <w:rPr>
          <w:rFonts w:cstheme="minorHAnsi"/>
          <w:sz w:val="24"/>
          <w:szCs w:val="24"/>
          <w:lang w:val="en-GB"/>
        </w:rPr>
        <w:t>may be</w:t>
      </w:r>
      <w:r w:rsidR="00C57EF8">
        <w:rPr>
          <w:rFonts w:cstheme="minorHAnsi"/>
          <w:sz w:val="24"/>
          <w:szCs w:val="24"/>
          <w:lang w:val="en-GB"/>
        </w:rPr>
        <w:t xml:space="preserve"> </w:t>
      </w:r>
      <w:r w:rsidR="00F213CB">
        <w:rPr>
          <w:rFonts w:cstheme="minorHAnsi"/>
          <w:sz w:val="24"/>
          <w:szCs w:val="24"/>
          <w:lang w:val="en-GB"/>
        </w:rPr>
        <w:t xml:space="preserve">inefficient, and it took few more days for investors to react to the events. Another </w:t>
      </w:r>
      <w:r w:rsidR="00F213CB">
        <w:rPr>
          <w:rFonts w:cstheme="minorHAnsi"/>
          <w:sz w:val="24"/>
          <w:szCs w:val="24"/>
          <w:lang w:val="en-GB"/>
        </w:rPr>
        <w:lastRenderedPageBreak/>
        <w:t>possibility is that the investors were expecting Tencent or the government to have further action regarding the events</w:t>
      </w:r>
      <w:r w:rsidR="003B20B5">
        <w:rPr>
          <w:rFonts w:cstheme="minorHAnsi"/>
          <w:sz w:val="24"/>
          <w:szCs w:val="24"/>
          <w:lang w:val="en-GB"/>
        </w:rPr>
        <w:t xml:space="preserve">, which may be a possible reason for the </w:t>
      </w:r>
      <w:r w:rsidR="005D21BE">
        <w:rPr>
          <w:rFonts w:cstheme="minorHAnsi"/>
          <w:sz w:val="24"/>
          <w:szCs w:val="24"/>
          <w:lang w:val="en-GB"/>
        </w:rPr>
        <w:t xml:space="preserve">insignificant impact of day 0 in the first and last event. The reason behind may be due to market do not </w:t>
      </w:r>
      <w:r w:rsidR="00564EFA">
        <w:rPr>
          <w:rFonts w:cstheme="minorHAnsi"/>
          <w:sz w:val="24"/>
          <w:szCs w:val="24"/>
          <w:lang w:val="en-GB"/>
        </w:rPr>
        <w:t xml:space="preserve">find </w:t>
      </w:r>
      <w:r w:rsidR="00D16CEE">
        <w:rPr>
          <w:rFonts w:cstheme="minorHAnsi"/>
          <w:sz w:val="24"/>
          <w:szCs w:val="24"/>
          <w:lang w:val="en-GB"/>
        </w:rPr>
        <w:t xml:space="preserve">the </w:t>
      </w:r>
      <w:r w:rsidR="005D21BE">
        <w:rPr>
          <w:rFonts w:cstheme="minorHAnsi"/>
          <w:sz w:val="24"/>
          <w:szCs w:val="24"/>
          <w:lang w:val="en-GB"/>
        </w:rPr>
        <w:t>event</w:t>
      </w:r>
      <w:r w:rsidR="00564EFA">
        <w:rPr>
          <w:rFonts w:cstheme="minorHAnsi"/>
          <w:sz w:val="24"/>
          <w:szCs w:val="24"/>
          <w:lang w:val="en-GB"/>
        </w:rPr>
        <w:t>s important</w:t>
      </w:r>
      <w:r w:rsidR="005D21BE">
        <w:rPr>
          <w:rFonts w:cstheme="minorHAnsi"/>
          <w:sz w:val="24"/>
          <w:szCs w:val="24"/>
          <w:lang w:val="en-GB"/>
        </w:rPr>
        <w:t xml:space="preserve">, or there may be an occurrence </w:t>
      </w:r>
      <w:r w:rsidR="00523F73">
        <w:rPr>
          <w:rFonts w:cstheme="minorHAnsi"/>
          <w:sz w:val="24"/>
          <w:szCs w:val="24"/>
          <w:lang w:val="en-GB"/>
        </w:rPr>
        <w:t>insider trading. The insider trading can be examined in the following table</w:t>
      </w:r>
      <w:r w:rsidR="0062155A">
        <w:rPr>
          <w:rFonts w:cstheme="minorHAnsi"/>
          <w:sz w:val="24"/>
          <w:szCs w:val="24"/>
          <w:lang w:val="en-GB"/>
        </w:rPr>
        <w:t>s</w:t>
      </w:r>
      <w:r w:rsidR="00C54B60">
        <w:rPr>
          <w:rFonts w:cstheme="minorHAnsi"/>
          <w:sz w:val="24"/>
          <w:szCs w:val="24"/>
          <w:lang w:val="en-GB"/>
        </w:rPr>
        <w:t>:</w:t>
      </w:r>
    </w:p>
    <w:p w14:paraId="7523D493" w14:textId="77777777" w:rsidR="004F242F" w:rsidRDefault="004F242F" w:rsidP="00714DEC">
      <w:pPr>
        <w:rPr>
          <w:rFonts w:cstheme="minorHAnsi"/>
          <w:sz w:val="24"/>
          <w:szCs w:val="24"/>
          <w:lang w:val="en-GB"/>
        </w:rPr>
      </w:pPr>
    </w:p>
    <w:tbl>
      <w:tblPr>
        <w:tblStyle w:val="TableGridLight"/>
        <w:tblW w:w="0" w:type="auto"/>
        <w:jc w:val="center"/>
        <w:tblLayout w:type="fixed"/>
        <w:tblLook w:val="04A0" w:firstRow="1" w:lastRow="0" w:firstColumn="1" w:lastColumn="0" w:noHBand="0" w:noVBand="1"/>
      </w:tblPr>
      <w:tblGrid>
        <w:gridCol w:w="1388"/>
        <w:gridCol w:w="1159"/>
        <w:gridCol w:w="1159"/>
        <w:gridCol w:w="1159"/>
        <w:gridCol w:w="1163"/>
        <w:gridCol w:w="1162"/>
        <w:gridCol w:w="1170"/>
      </w:tblGrid>
      <w:tr w:rsidR="004D4828" w:rsidRPr="00DC13AF" w14:paraId="625A4B3E" w14:textId="77777777" w:rsidTr="004D4828">
        <w:trPr>
          <w:trHeight w:val="288"/>
          <w:jc w:val="center"/>
        </w:trPr>
        <w:tc>
          <w:tcPr>
            <w:tcW w:w="1388" w:type="dxa"/>
            <w:noWrap/>
            <w:hideMark/>
          </w:tcPr>
          <w:p w14:paraId="67F5CEEA"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Date</w:t>
            </w:r>
          </w:p>
        </w:tc>
        <w:tc>
          <w:tcPr>
            <w:tcW w:w="1159" w:type="dxa"/>
            <w:noWrap/>
            <w:hideMark/>
          </w:tcPr>
          <w:p w14:paraId="5C0FCF3B" w14:textId="77777777" w:rsidR="00DC13AF" w:rsidRPr="00DC13AF" w:rsidRDefault="00DC13AF" w:rsidP="00DC13AF">
            <w:pPr>
              <w:jc w:val="center"/>
              <w:rPr>
                <w:rFonts w:ascii="Calibri" w:eastAsia="Times New Roman" w:hAnsi="Calibri" w:cs="Calibri"/>
                <w:color w:val="000000"/>
              </w:rPr>
            </w:pPr>
            <w:proofErr w:type="spellStart"/>
            <w:r w:rsidRPr="00DC13AF">
              <w:rPr>
                <w:rFonts w:ascii="Calibri" w:eastAsia="Times New Roman" w:hAnsi="Calibri" w:cs="Calibri"/>
                <w:color w:val="000000"/>
              </w:rPr>
              <w:t>ln_ret</w:t>
            </w:r>
            <w:proofErr w:type="spellEnd"/>
          </w:p>
        </w:tc>
        <w:tc>
          <w:tcPr>
            <w:tcW w:w="1159" w:type="dxa"/>
            <w:noWrap/>
            <w:hideMark/>
          </w:tcPr>
          <w:p w14:paraId="658DFDAC"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ER</w:t>
            </w:r>
          </w:p>
        </w:tc>
        <w:tc>
          <w:tcPr>
            <w:tcW w:w="1159" w:type="dxa"/>
            <w:noWrap/>
            <w:hideMark/>
          </w:tcPr>
          <w:p w14:paraId="13499743"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AR</w:t>
            </w:r>
          </w:p>
        </w:tc>
        <w:tc>
          <w:tcPr>
            <w:tcW w:w="1163" w:type="dxa"/>
            <w:noWrap/>
            <w:hideMark/>
          </w:tcPr>
          <w:p w14:paraId="093CAEC6"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AR Beta</w:t>
            </w:r>
          </w:p>
        </w:tc>
        <w:tc>
          <w:tcPr>
            <w:tcW w:w="1162" w:type="dxa"/>
            <w:noWrap/>
            <w:hideMark/>
          </w:tcPr>
          <w:p w14:paraId="780995B4"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CAR</w:t>
            </w:r>
          </w:p>
        </w:tc>
        <w:tc>
          <w:tcPr>
            <w:tcW w:w="1170" w:type="dxa"/>
            <w:noWrap/>
            <w:hideMark/>
          </w:tcPr>
          <w:p w14:paraId="22C107F0"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CAR Beta</w:t>
            </w:r>
          </w:p>
        </w:tc>
      </w:tr>
      <w:tr w:rsidR="004D4828" w:rsidRPr="00DC13AF" w14:paraId="0CAA7A1E" w14:textId="77777777" w:rsidTr="004D4828">
        <w:trPr>
          <w:trHeight w:val="288"/>
          <w:jc w:val="center"/>
        </w:trPr>
        <w:tc>
          <w:tcPr>
            <w:tcW w:w="1388" w:type="dxa"/>
            <w:noWrap/>
            <w:hideMark/>
          </w:tcPr>
          <w:p w14:paraId="3D05672F"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09/08/2018</w:t>
            </w:r>
          </w:p>
        </w:tc>
        <w:tc>
          <w:tcPr>
            <w:tcW w:w="1159" w:type="dxa"/>
            <w:noWrap/>
            <w:hideMark/>
          </w:tcPr>
          <w:p w14:paraId="135451DD"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0.02335</w:t>
            </w:r>
          </w:p>
        </w:tc>
        <w:tc>
          <w:tcPr>
            <w:tcW w:w="1159" w:type="dxa"/>
            <w:noWrap/>
            <w:hideMark/>
          </w:tcPr>
          <w:p w14:paraId="24D55252"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0.01075</w:t>
            </w:r>
          </w:p>
        </w:tc>
        <w:tc>
          <w:tcPr>
            <w:tcW w:w="1159" w:type="dxa"/>
            <w:noWrap/>
            <w:hideMark/>
          </w:tcPr>
          <w:p w14:paraId="26C3CEC2"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0.01261</w:t>
            </w:r>
          </w:p>
        </w:tc>
        <w:tc>
          <w:tcPr>
            <w:tcW w:w="1163" w:type="dxa"/>
            <w:noWrap/>
            <w:hideMark/>
          </w:tcPr>
          <w:p w14:paraId="40DFC071"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1.1724</w:t>
            </w:r>
          </w:p>
        </w:tc>
        <w:tc>
          <w:tcPr>
            <w:tcW w:w="1162" w:type="dxa"/>
            <w:noWrap/>
            <w:hideMark/>
          </w:tcPr>
          <w:p w14:paraId="62E69254"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0.01261</w:t>
            </w:r>
          </w:p>
        </w:tc>
        <w:tc>
          <w:tcPr>
            <w:tcW w:w="1170" w:type="dxa"/>
            <w:noWrap/>
            <w:hideMark/>
          </w:tcPr>
          <w:p w14:paraId="42889434"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0.82901</w:t>
            </w:r>
          </w:p>
        </w:tc>
      </w:tr>
      <w:tr w:rsidR="004D4828" w:rsidRPr="00DC13AF" w14:paraId="42A9F168" w14:textId="77777777" w:rsidTr="004D4828">
        <w:trPr>
          <w:trHeight w:val="288"/>
          <w:jc w:val="center"/>
        </w:trPr>
        <w:tc>
          <w:tcPr>
            <w:tcW w:w="1388" w:type="dxa"/>
            <w:noWrap/>
            <w:hideMark/>
          </w:tcPr>
          <w:p w14:paraId="031B819B"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10/08/2018</w:t>
            </w:r>
          </w:p>
        </w:tc>
        <w:tc>
          <w:tcPr>
            <w:tcW w:w="1159" w:type="dxa"/>
            <w:noWrap/>
            <w:hideMark/>
          </w:tcPr>
          <w:p w14:paraId="5147CD55"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-0.007</w:t>
            </w:r>
          </w:p>
        </w:tc>
        <w:tc>
          <w:tcPr>
            <w:tcW w:w="1159" w:type="dxa"/>
            <w:noWrap/>
            <w:hideMark/>
          </w:tcPr>
          <w:p w14:paraId="4A9D0E4C"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-0.01176</w:t>
            </w:r>
          </w:p>
        </w:tc>
        <w:tc>
          <w:tcPr>
            <w:tcW w:w="1159" w:type="dxa"/>
            <w:noWrap/>
            <w:hideMark/>
          </w:tcPr>
          <w:p w14:paraId="063A50FB"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0.00476</w:t>
            </w:r>
          </w:p>
        </w:tc>
        <w:tc>
          <w:tcPr>
            <w:tcW w:w="1163" w:type="dxa"/>
            <w:noWrap/>
            <w:hideMark/>
          </w:tcPr>
          <w:p w14:paraId="064158B9"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0.44224</w:t>
            </w:r>
          </w:p>
        </w:tc>
        <w:tc>
          <w:tcPr>
            <w:tcW w:w="1162" w:type="dxa"/>
            <w:noWrap/>
            <w:hideMark/>
          </w:tcPr>
          <w:p w14:paraId="13F552C7"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0.01736</w:t>
            </w:r>
          </w:p>
        </w:tc>
        <w:tc>
          <w:tcPr>
            <w:tcW w:w="1170" w:type="dxa"/>
            <w:noWrap/>
            <w:hideMark/>
          </w:tcPr>
          <w:p w14:paraId="45755E28"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1.14172</w:t>
            </w:r>
          </w:p>
        </w:tc>
      </w:tr>
    </w:tbl>
    <w:p w14:paraId="7C2EA6B3" w14:textId="77777777" w:rsidR="004D4828" w:rsidRDefault="004D4828"/>
    <w:tbl>
      <w:tblPr>
        <w:tblStyle w:val="TableGridLight"/>
        <w:tblW w:w="0" w:type="auto"/>
        <w:jc w:val="center"/>
        <w:tblLayout w:type="fixed"/>
        <w:tblLook w:val="04A0" w:firstRow="1" w:lastRow="0" w:firstColumn="1" w:lastColumn="0" w:noHBand="0" w:noVBand="1"/>
      </w:tblPr>
      <w:tblGrid>
        <w:gridCol w:w="1388"/>
        <w:gridCol w:w="1159"/>
        <w:gridCol w:w="1159"/>
        <w:gridCol w:w="1159"/>
        <w:gridCol w:w="1163"/>
        <w:gridCol w:w="1162"/>
        <w:gridCol w:w="1161"/>
      </w:tblGrid>
      <w:tr w:rsidR="004D4828" w:rsidRPr="00DC13AF" w14:paraId="745E076E" w14:textId="77777777" w:rsidTr="004D4828">
        <w:trPr>
          <w:trHeight w:val="288"/>
          <w:jc w:val="center"/>
        </w:trPr>
        <w:tc>
          <w:tcPr>
            <w:tcW w:w="1388" w:type="dxa"/>
            <w:noWrap/>
            <w:hideMark/>
          </w:tcPr>
          <w:p w14:paraId="6229B57C"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Date</w:t>
            </w:r>
          </w:p>
        </w:tc>
        <w:tc>
          <w:tcPr>
            <w:tcW w:w="1159" w:type="dxa"/>
            <w:noWrap/>
            <w:hideMark/>
          </w:tcPr>
          <w:p w14:paraId="752448C2" w14:textId="77777777" w:rsidR="00DC13AF" w:rsidRPr="00DC13AF" w:rsidRDefault="00DC13AF" w:rsidP="00DC13AF">
            <w:pPr>
              <w:jc w:val="center"/>
              <w:rPr>
                <w:rFonts w:ascii="Calibri" w:eastAsia="Times New Roman" w:hAnsi="Calibri" w:cs="Calibri"/>
                <w:color w:val="000000"/>
              </w:rPr>
            </w:pPr>
            <w:proofErr w:type="spellStart"/>
            <w:r w:rsidRPr="00DC13AF">
              <w:rPr>
                <w:rFonts w:ascii="Calibri" w:eastAsia="Times New Roman" w:hAnsi="Calibri" w:cs="Calibri"/>
                <w:color w:val="000000"/>
              </w:rPr>
              <w:t>ln_ret</w:t>
            </w:r>
            <w:proofErr w:type="spellEnd"/>
          </w:p>
        </w:tc>
        <w:tc>
          <w:tcPr>
            <w:tcW w:w="1159" w:type="dxa"/>
            <w:noWrap/>
            <w:hideMark/>
          </w:tcPr>
          <w:p w14:paraId="0C083E34"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ER</w:t>
            </w:r>
          </w:p>
        </w:tc>
        <w:tc>
          <w:tcPr>
            <w:tcW w:w="1159" w:type="dxa"/>
            <w:noWrap/>
            <w:hideMark/>
          </w:tcPr>
          <w:p w14:paraId="334710F5"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AR</w:t>
            </w:r>
          </w:p>
        </w:tc>
        <w:tc>
          <w:tcPr>
            <w:tcW w:w="1163" w:type="dxa"/>
            <w:noWrap/>
            <w:hideMark/>
          </w:tcPr>
          <w:p w14:paraId="48624618"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AR Beta</w:t>
            </w:r>
          </w:p>
        </w:tc>
        <w:tc>
          <w:tcPr>
            <w:tcW w:w="1162" w:type="dxa"/>
            <w:noWrap/>
            <w:hideMark/>
          </w:tcPr>
          <w:p w14:paraId="7D27DE4E"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CAR</w:t>
            </w:r>
          </w:p>
        </w:tc>
        <w:tc>
          <w:tcPr>
            <w:tcW w:w="1161" w:type="dxa"/>
            <w:noWrap/>
            <w:hideMark/>
          </w:tcPr>
          <w:p w14:paraId="7D88637F"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CAR Beta</w:t>
            </w:r>
          </w:p>
        </w:tc>
      </w:tr>
      <w:tr w:rsidR="004D4828" w:rsidRPr="00DC13AF" w14:paraId="482E2162" w14:textId="77777777" w:rsidTr="004D4828">
        <w:trPr>
          <w:trHeight w:val="288"/>
          <w:jc w:val="center"/>
        </w:trPr>
        <w:tc>
          <w:tcPr>
            <w:tcW w:w="1388" w:type="dxa"/>
            <w:noWrap/>
            <w:hideMark/>
          </w:tcPr>
          <w:p w14:paraId="564FF062"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29/08/2018</w:t>
            </w:r>
          </w:p>
        </w:tc>
        <w:tc>
          <w:tcPr>
            <w:tcW w:w="1159" w:type="dxa"/>
            <w:noWrap/>
            <w:hideMark/>
          </w:tcPr>
          <w:p w14:paraId="53C5CF52"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-0.01267</w:t>
            </w:r>
          </w:p>
        </w:tc>
        <w:tc>
          <w:tcPr>
            <w:tcW w:w="1159" w:type="dxa"/>
            <w:noWrap/>
            <w:hideMark/>
          </w:tcPr>
          <w:p w14:paraId="66AF4FF5"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0.00232</w:t>
            </w:r>
          </w:p>
        </w:tc>
        <w:tc>
          <w:tcPr>
            <w:tcW w:w="1159" w:type="dxa"/>
            <w:noWrap/>
            <w:hideMark/>
          </w:tcPr>
          <w:p w14:paraId="6E9B5BAB"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-0.01499</w:t>
            </w:r>
          </w:p>
        </w:tc>
        <w:tc>
          <w:tcPr>
            <w:tcW w:w="1163" w:type="dxa"/>
            <w:noWrap/>
            <w:hideMark/>
          </w:tcPr>
          <w:p w14:paraId="59189E04"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-1.39359</w:t>
            </w:r>
          </w:p>
        </w:tc>
        <w:tc>
          <w:tcPr>
            <w:tcW w:w="1162" w:type="dxa"/>
            <w:noWrap/>
            <w:hideMark/>
          </w:tcPr>
          <w:p w14:paraId="2072D2B3"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-0.01499</w:t>
            </w:r>
          </w:p>
        </w:tc>
        <w:tc>
          <w:tcPr>
            <w:tcW w:w="1161" w:type="dxa"/>
            <w:noWrap/>
            <w:hideMark/>
          </w:tcPr>
          <w:p w14:paraId="7009EF4C"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-0.98541</w:t>
            </w:r>
          </w:p>
        </w:tc>
      </w:tr>
      <w:tr w:rsidR="004D4828" w:rsidRPr="00DC13AF" w14:paraId="22F1AFFC" w14:textId="77777777" w:rsidTr="004D4828">
        <w:trPr>
          <w:trHeight w:val="288"/>
          <w:jc w:val="center"/>
        </w:trPr>
        <w:tc>
          <w:tcPr>
            <w:tcW w:w="1388" w:type="dxa"/>
            <w:noWrap/>
            <w:hideMark/>
          </w:tcPr>
          <w:p w14:paraId="2CC3804C"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30/08/2018</w:t>
            </w:r>
          </w:p>
        </w:tc>
        <w:tc>
          <w:tcPr>
            <w:tcW w:w="1159" w:type="dxa"/>
            <w:noWrap/>
            <w:hideMark/>
          </w:tcPr>
          <w:p w14:paraId="631DB953"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-0.00947</w:t>
            </w:r>
          </w:p>
        </w:tc>
        <w:tc>
          <w:tcPr>
            <w:tcW w:w="1159" w:type="dxa"/>
            <w:noWrap/>
            <w:hideMark/>
          </w:tcPr>
          <w:p w14:paraId="065B9D91"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-0.01238</w:t>
            </w:r>
          </w:p>
        </w:tc>
        <w:tc>
          <w:tcPr>
            <w:tcW w:w="1159" w:type="dxa"/>
            <w:noWrap/>
            <w:hideMark/>
          </w:tcPr>
          <w:p w14:paraId="03B8732F"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0.00291</w:t>
            </w:r>
          </w:p>
        </w:tc>
        <w:tc>
          <w:tcPr>
            <w:tcW w:w="1163" w:type="dxa"/>
            <w:noWrap/>
            <w:hideMark/>
          </w:tcPr>
          <w:p w14:paraId="56278BB1"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0.27056</w:t>
            </w:r>
          </w:p>
        </w:tc>
        <w:tc>
          <w:tcPr>
            <w:tcW w:w="1162" w:type="dxa"/>
            <w:noWrap/>
            <w:hideMark/>
          </w:tcPr>
          <w:p w14:paraId="4626F94A"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-0.01208</w:t>
            </w:r>
          </w:p>
        </w:tc>
        <w:tc>
          <w:tcPr>
            <w:tcW w:w="1161" w:type="dxa"/>
            <w:noWrap/>
            <w:hideMark/>
          </w:tcPr>
          <w:p w14:paraId="60366C9D" w14:textId="77777777" w:rsidR="00DC13AF" w:rsidRPr="00DC13AF" w:rsidRDefault="00DC13AF" w:rsidP="00DC13AF">
            <w:pPr>
              <w:jc w:val="center"/>
              <w:rPr>
                <w:rFonts w:ascii="Calibri" w:eastAsia="Times New Roman" w:hAnsi="Calibri" w:cs="Calibri"/>
                <w:color w:val="000000"/>
              </w:rPr>
            </w:pPr>
            <w:r w:rsidRPr="00DC13AF">
              <w:rPr>
                <w:rFonts w:ascii="Calibri" w:eastAsia="Times New Roman" w:hAnsi="Calibri" w:cs="Calibri"/>
                <w:color w:val="000000"/>
              </w:rPr>
              <w:t>-0.7941</w:t>
            </w:r>
          </w:p>
        </w:tc>
      </w:tr>
    </w:tbl>
    <w:p w14:paraId="24BE1F95" w14:textId="77777777" w:rsidR="004D4828" w:rsidRDefault="004D4828"/>
    <w:tbl>
      <w:tblPr>
        <w:tblStyle w:val="TableGridLight"/>
        <w:tblW w:w="0" w:type="auto"/>
        <w:jc w:val="center"/>
        <w:tblLayout w:type="fixed"/>
        <w:tblLook w:val="04A0" w:firstRow="1" w:lastRow="0" w:firstColumn="1" w:lastColumn="0" w:noHBand="0" w:noVBand="1"/>
      </w:tblPr>
      <w:tblGrid>
        <w:gridCol w:w="1388"/>
        <w:gridCol w:w="1159"/>
        <w:gridCol w:w="1159"/>
        <w:gridCol w:w="1159"/>
        <w:gridCol w:w="1163"/>
        <w:gridCol w:w="1162"/>
        <w:gridCol w:w="1161"/>
      </w:tblGrid>
      <w:tr w:rsidR="004D4828" w:rsidRPr="00A72EFD" w14:paraId="0582E61D" w14:textId="77777777" w:rsidTr="004D4828">
        <w:trPr>
          <w:trHeight w:val="288"/>
          <w:jc w:val="center"/>
        </w:trPr>
        <w:tc>
          <w:tcPr>
            <w:tcW w:w="1388" w:type="dxa"/>
            <w:noWrap/>
            <w:hideMark/>
          </w:tcPr>
          <w:p w14:paraId="0E8876CE"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Date</w:t>
            </w:r>
          </w:p>
        </w:tc>
        <w:tc>
          <w:tcPr>
            <w:tcW w:w="1159" w:type="dxa"/>
            <w:noWrap/>
            <w:hideMark/>
          </w:tcPr>
          <w:p w14:paraId="244263BA" w14:textId="77777777" w:rsidR="00A72EFD" w:rsidRPr="00A72EFD" w:rsidRDefault="00A72EFD" w:rsidP="00A72EFD">
            <w:pPr>
              <w:jc w:val="center"/>
              <w:rPr>
                <w:rFonts w:ascii="Calibri" w:eastAsia="Times New Roman" w:hAnsi="Calibri" w:cs="Calibri"/>
                <w:color w:val="000000"/>
              </w:rPr>
            </w:pPr>
            <w:proofErr w:type="spellStart"/>
            <w:r w:rsidRPr="00A72EFD">
              <w:rPr>
                <w:rFonts w:ascii="Calibri" w:eastAsia="Times New Roman" w:hAnsi="Calibri" w:cs="Calibri"/>
                <w:color w:val="000000"/>
              </w:rPr>
              <w:t>ln_ret</w:t>
            </w:r>
            <w:proofErr w:type="spellEnd"/>
          </w:p>
        </w:tc>
        <w:tc>
          <w:tcPr>
            <w:tcW w:w="1159" w:type="dxa"/>
            <w:noWrap/>
            <w:hideMark/>
          </w:tcPr>
          <w:p w14:paraId="21F89477"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ER</w:t>
            </w:r>
          </w:p>
        </w:tc>
        <w:tc>
          <w:tcPr>
            <w:tcW w:w="1159" w:type="dxa"/>
            <w:noWrap/>
            <w:hideMark/>
          </w:tcPr>
          <w:p w14:paraId="58644E0E"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AR</w:t>
            </w:r>
          </w:p>
        </w:tc>
        <w:tc>
          <w:tcPr>
            <w:tcW w:w="1163" w:type="dxa"/>
            <w:noWrap/>
            <w:hideMark/>
          </w:tcPr>
          <w:p w14:paraId="1B134B1A"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AR Beta</w:t>
            </w:r>
          </w:p>
        </w:tc>
        <w:tc>
          <w:tcPr>
            <w:tcW w:w="1162" w:type="dxa"/>
            <w:noWrap/>
            <w:hideMark/>
          </w:tcPr>
          <w:p w14:paraId="4E34DA05"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CAR</w:t>
            </w:r>
          </w:p>
        </w:tc>
        <w:tc>
          <w:tcPr>
            <w:tcW w:w="1161" w:type="dxa"/>
            <w:noWrap/>
            <w:hideMark/>
          </w:tcPr>
          <w:p w14:paraId="5C9CC6C9"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CAR Beta</w:t>
            </w:r>
          </w:p>
        </w:tc>
      </w:tr>
      <w:tr w:rsidR="004D4828" w:rsidRPr="00A72EFD" w14:paraId="4B029ACF" w14:textId="77777777" w:rsidTr="004D4828">
        <w:trPr>
          <w:trHeight w:val="288"/>
          <w:jc w:val="center"/>
        </w:trPr>
        <w:tc>
          <w:tcPr>
            <w:tcW w:w="1388" w:type="dxa"/>
            <w:noWrap/>
            <w:hideMark/>
          </w:tcPr>
          <w:p w14:paraId="09C298E4"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05/09/2018</w:t>
            </w:r>
          </w:p>
        </w:tc>
        <w:tc>
          <w:tcPr>
            <w:tcW w:w="1159" w:type="dxa"/>
            <w:noWrap/>
            <w:hideMark/>
          </w:tcPr>
          <w:p w14:paraId="097018B5"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-0.04161</w:t>
            </w:r>
          </w:p>
        </w:tc>
        <w:tc>
          <w:tcPr>
            <w:tcW w:w="1159" w:type="dxa"/>
            <w:noWrap/>
            <w:hideMark/>
          </w:tcPr>
          <w:p w14:paraId="2C707BDF"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-0.03533</w:t>
            </w:r>
          </w:p>
        </w:tc>
        <w:tc>
          <w:tcPr>
            <w:tcW w:w="1159" w:type="dxa"/>
            <w:noWrap/>
            <w:hideMark/>
          </w:tcPr>
          <w:p w14:paraId="724CE29D"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-0.00628</w:t>
            </w:r>
          </w:p>
        </w:tc>
        <w:tc>
          <w:tcPr>
            <w:tcW w:w="1163" w:type="dxa"/>
            <w:noWrap/>
            <w:hideMark/>
          </w:tcPr>
          <w:p w14:paraId="0A9EA19E"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-0.58427</w:t>
            </w:r>
          </w:p>
        </w:tc>
        <w:tc>
          <w:tcPr>
            <w:tcW w:w="1162" w:type="dxa"/>
            <w:noWrap/>
            <w:hideMark/>
          </w:tcPr>
          <w:p w14:paraId="02AAD230"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-0.00628</w:t>
            </w:r>
          </w:p>
        </w:tc>
        <w:tc>
          <w:tcPr>
            <w:tcW w:w="1161" w:type="dxa"/>
            <w:noWrap/>
            <w:hideMark/>
          </w:tcPr>
          <w:p w14:paraId="6E4E4038"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-0.41314</w:t>
            </w:r>
          </w:p>
        </w:tc>
      </w:tr>
      <w:tr w:rsidR="004D4828" w:rsidRPr="00A72EFD" w14:paraId="111C780A" w14:textId="77777777" w:rsidTr="004D4828">
        <w:trPr>
          <w:trHeight w:val="288"/>
          <w:jc w:val="center"/>
        </w:trPr>
        <w:tc>
          <w:tcPr>
            <w:tcW w:w="1388" w:type="dxa"/>
            <w:noWrap/>
            <w:hideMark/>
          </w:tcPr>
          <w:p w14:paraId="3DF9C859"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06/09/2018</w:t>
            </w:r>
          </w:p>
        </w:tc>
        <w:tc>
          <w:tcPr>
            <w:tcW w:w="1159" w:type="dxa"/>
            <w:noWrap/>
            <w:hideMark/>
          </w:tcPr>
          <w:p w14:paraId="3287CD4F"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-0.0319</w:t>
            </w:r>
          </w:p>
        </w:tc>
        <w:tc>
          <w:tcPr>
            <w:tcW w:w="1159" w:type="dxa"/>
            <w:noWrap/>
            <w:hideMark/>
          </w:tcPr>
          <w:p w14:paraId="1EDC1469"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-0.01369</w:t>
            </w:r>
          </w:p>
        </w:tc>
        <w:tc>
          <w:tcPr>
            <w:tcW w:w="1159" w:type="dxa"/>
            <w:noWrap/>
            <w:hideMark/>
          </w:tcPr>
          <w:p w14:paraId="7C07C945"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-0.01821</w:t>
            </w:r>
          </w:p>
        </w:tc>
        <w:tc>
          <w:tcPr>
            <w:tcW w:w="1163" w:type="dxa"/>
            <w:noWrap/>
            <w:hideMark/>
          </w:tcPr>
          <w:p w14:paraId="51C1670F"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-1.69355</w:t>
            </w:r>
          </w:p>
        </w:tc>
        <w:tc>
          <w:tcPr>
            <w:tcW w:w="1162" w:type="dxa"/>
            <w:noWrap/>
            <w:hideMark/>
          </w:tcPr>
          <w:p w14:paraId="039B8232"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-0.02449</w:t>
            </w:r>
          </w:p>
        </w:tc>
        <w:tc>
          <w:tcPr>
            <w:tcW w:w="1161" w:type="dxa"/>
            <w:noWrap/>
            <w:hideMark/>
          </w:tcPr>
          <w:p w14:paraId="7FDE602C" w14:textId="77777777" w:rsidR="00A72EFD" w:rsidRPr="00A72EFD" w:rsidRDefault="00A72EFD" w:rsidP="00A72EFD">
            <w:pPr>
              <w:jc w:val="center"/>
              <w:rPr>
                <w:rFonts w:ascii="Calibri" w:eastAsia="Times New Roman" w:hAnsi="Calibri" w:cs="Calibri"/>
                <w:color w:val="000000"/>
              </w:rPr>
            </w:pPr>
            <w:r w:rsidRPr="00A72EFD">
              <w:rPr>
                <w:rFonts w:ascii="Calibri" w:eastAsia="Times New Roman" w:hAnsi="Calibri" w:cs="Calibri"/>
                <w:color w:val="000000"/>
              </w:rPr>
              <w:t>-1.61067</w:t>
            </w:r>
          </w:p>
        </w:tc>
      </w:tr>
    </w:tbl>
    <w:p w14:paraId="3A383CC5" w14:textId="77777777" w:rsidR="00555DF3" w:rsidRPr="00363F63" w:rsidRDefault="00555DF3" w:rsidP="00363F63">
      <w:pPr>
        <w:rPr>
          <w:rFonts w:cstheme="minorHAnsi"/>
          <w:sz w:val="24"/>
          <w:szCs w:val="24"/>
          <w:lang w:val="en-GB"/>
        </w:rPr>
      </w:pPr>
    </w:p>
    <w:p w14:paraId="537B526D" w14:textId="4027FA2E" w:rsidR="004F242F" w:rsidRDefault="00363F63" w:rsidP="004F242F">
      <w:pPr>
        <w:rPr>
          <w:rFonts w:cstheme="minorHAnsi"/>
          <w:sz w:val="24"/>
          <w:szCs w:val="24"/>
          <w:lang w:val="en-GB"/>
        </w:rPr>
      </w:pPr>
      <w:r w:rsidRPr="00363F63">
        <w:rPr>
          <w:rFonts w:cstheme="minorHAnsi"/>
          <w:sz w:val="24"/>
          <w:szCs w:val="24"/>
          <w:lang w:val="en-GB"/>
        </w:rPr>
        <w:t xml:space="preserve">  The tables have shown the abnormal returns of two days before the 3 events. The occurrence of insider trading will be revealed if the AR of either day in the insider trading window is statistically significant</w:t>
      </w:r>
      <w:r w:rsidR="00A72EFD">
        <w:rPr>
          <w:rFonts w:cstheme="minorHAnsi"/>
          <w:sz w:val="24"/>
          <w:szCs w:val="24"/>
          <w:lang w:val="en-GB"/>
        </w:rPr>
        <w:t>.</w:t>
      </w:r>
      <w:r w:rsidR="00A72EFD" w:rsidRPr="00363F63">
        <w:rPr>
          <w:rFonts w:cstheme="minorHAnsi"/>
          <w:sz w:val="24"/>
          <w:szCs w:val="24"/>
          <w:lang w:val="en-GB"/>
        </w:rPr>
        <w:t xml:space="preserve"> </w:t>
      </w:r>
      <w:r w:rsidR="00A72EFD">
        <w:rPr>
          <w:rFonts w:cstheme="minorHAnsi"/>
          <w:sz w:val="24"/>
          <w:szCs w:val="24"/>
          <w:lang w:val="en-GB"/>
        </w:rPr>
        <w:t>Despite the AR of Day -1 in the last insider trading window is close to significance level, none of the</w:t>
      </w:r>
      <w:r w:rsidRPr="00363F63">
        <w:rPr>
          <w:rFonts w:cstheme="minorHAnsi"/>
          <w:sz w:val="24"/>
          <w:szCs w:val="24"/>
          <w:lang w:val="en-GB"/>
        </w:rPr>
        <w:t xml:space="preserve"> AR are significant, suggesting no sign of insider trading in the events</w:t>
      </w:r>
      <w:r w:rsidR="004F242F">
        <w:rPr>
          <w:rFonts w:cstheme="minorHAnsi"/>
          <w:sz w:val="24"/>
          <w:szCs w:val="24"/>
          <w:lang w:val="en-GB"/>
        </w:rPr>
        <w:t>, even for the first and the last events which did not occur with a significant Day 1 AR.</w:t>
      </w:r>
    </w:p>
    <w:p w14:paraId="58B58C94" w14:textId="686D74A0" w:rsidR="004F242F" w:rsidRDefault="004F242F" w:rsidP="004F242F">
      <w:pPr>
        <w:rPr>
          <w:rFonts w:cstheme="minorHAnsi"/>
          <w:sz w:val="24"/>
          <w:szCs w:val="24"/>
          <w:lang w:val="en-GB"/>
        </w:rPr>
      </w:pPr>
      <w:r>
        <w:rPr>
          <w:rFonts w:cstheme="minorHAnsi"/>
          <w:sz w:val="24"/>
          <w:szCs w:val="24"/>
          <w:lang w:val="en-GB"/>
        </w:rPr>
        <w:t xml:space="preserve">  </w:t>
      </w:r>
      <w:r w:rsidR="0023434E">
        <w:rPr>
          <w:rFonts w:cstheme="minorHAnsi"/>
          <w:sz w:val="24"/>
          <w:szCs w:val="24"/>
          <w:lang w:val="en-GB"/>
        </w:rPr>
        <w:t>With no insider trading occurr</w:t>
      </w:r>
      <w:r w:rsidR="0099537D">
        <w:rPr>
          <w:rFonts w:cstheme="minorHAnsi"/>
          <w:sz w:val="24"/>
          <w:szCs w:val="24"/>
          <w:lang w:val="en-GB"/>
        </w:rPr>
        <w:t>ing</w:t>
      </w:r>
      <w:r w:rsidR="0023434E">
        <w:rPr>
          <w:rFonts w:cstheme="minorHAnsi"/>
          <w:sz w:val="24"/>
          <w:szCs w:val="24"/>
          <w:lang w:val="en-GB"/>
        </w:rPr>
        <w:t xml:space="preserve"> in any of the event windows, a</w:t>
      </w:r>
      <w:r>
        <w:rPr>
          <w:rFonts w:cstheme="minorHAnsi"/>
          <w:sz w:val="24"/>
          <w:szCs w:val="24"/>
          <w:lang w:val="en-GB"/>
        </w:rPr>
        <w:t xml:space="preserve"> possible explanation for the insignificance of day 1 in the first event can be the </w:t>
      </w:r>
      <w:proofErr w:type="gramStart"/>
      <w:r>
        <w:rPr>
          <w:rFonts w:cstheme="minorHAnsi"/>
          <w:sz w:val="24"/>
          <w:szCs w:val="24"/>
          <w:lang w:val="en-GB"/>
        </w:rPr>
        <w:t>aforementioned reason</w:t>
      </w:r>
      <w:proofErr w:type="gramEnd"/>
      <w:r>
        <w:rPr>
          <w:rFonts w:cstheme="minorHAnsi"/>
          <w:sz w:val="24"/>
          <w:szCs w:val="24"/>
          <w:lang w:val="en-GB"/>
        </w:rPr>
        <w:t xml:space="preserve"> of investors interpreting the new information. As for the last event, </w:t>
      </w:r>
      <w:r w:rsidR="00FA45DA">
        <w:rPr>
          <w:rFonts w:cstheme="minorHAnsi"/>
          <w:sz w:val="24"/>
          <w:szCs w:val="24"/>
          <w:lang w:val="en-GB"/>
        </w:rPr>
        <w:t>a possible cause for the insignificance in both the event window and the insider trading window is due to the event is insignificant, where investors expected the implementation of the verification system after the first two events. Another interpretation can be despite the event is a respond to the government intervention, it itself was a strategic choice conducted by Tencent</w:t>
      </w:r>
      <w:r w:rsidR="00EA474A">
        <w:rPr>
          <w:rFonts w:cstheme="minorHAnsi"/>
          <w:sz w:val="24"/>
          <w:szCs w:val="24"/>
          <w:lang w:val="en-GB"/>
        </w:rPr>
        <w:t xml:space="preserve">, and possibly with the government. There is a likelihood that the choice is leaked by any of the party and reflected before the event and insider trading window. </w:t>
      </w:r>
    </w:p>
    <w:p w14:paraId="109500D0" w14:textId="3B1FF15D" w:rsidR="00363F63" w:rsidRPr="00363F63" w:rsidRDefault="004F242F" w:rsidP="004F242F">
      <w:pPr>
        <w:rPr>
          <w:rFonts w:cstheme="minorHAnsi"/>
          <w:sz w:val="24"/>
          <w:szCs w:val="24"/>
          <w:lang w:val="en-GB"/>
        </w:rPr>
      </w:pPr>
      <w:r w:rsidRPr="00363F63">
        <w:rPr>
          <w:rFonts w:cstheme="minorHAnsi"/>
          <w:sz w:val="24"/>
          <w:szCs w:val="24"/>
          <w:lang w:val="en-GB"/>
        </w:rPr>
        <w:t xml:space="preserve"> </w:t>
      </w:r>
    </w:p>
    <w:p w14:paraId="3F4CE149" w14:textId="77777777" w:rsidR="00363F63" w:rsidRPr="00363F63" w:rsidRDefault="00363F63" w:rsidP="008862BD">
      <w:pPr>
        <w:pStyle w:val="Heading1"/>
        <w:rPr>
          <w:lang w:val="en-GB"/>
        </w:rPr>
      </w:pPr>
      <w:r w:rsidRPr="00363F63">
        <w:rPr>
          <w:lang w:val="en-GB"/>
        </w:rPr>
        <w:t>Further hypothesis testing</w:t>
      </w:r>
    </w:p>
    <w:p w14:paraId="036B906E" w14:textId="4268BDB2" w:rsidR="0019191E" w:rsidRDefault="00363F63" w:rsidP="00363F63">
      <w:pPr>
        <w:rPr>
          <w:rFonts w:cstheme="minorHAnsi"/>
          <w:sz w:val="24"/>
          <w:szCs w:val="24"/>
          <w:lang w:val="en-GB"/>
        </w:rPr>
      </w:pPr>
      <w:r w:rsidRPr="00363F63">
        <w:rPr>
          <w:rFonts w:cstheme="minorHAnsi"/>
          <w:sz w:val="24"/>
          <w:szCs w:val="24"/>
          <w:lang w:val="en-GB"/>
        </w:rPr>
        <w:t xml:space="preserve">  Further hypothesis testing </w:t>
      </w:r>
      <w:r w:rsidR="005E346E">
        <w:rPr>
          <w:rFonts w:cstheme="minorHAnsi"/>
          <w:sz w:val="24"/>
          <w:szCs w:val="24"/>
          <w:lang w:val="en-GB"/>
        </w:rPr>
        <w:t>is</w:t>
      </w:r>
      <w:r w:rsidRPr="00363F63">
        <w:rPr>
          <w:rFonts w:cstheme="minorHAnsi"/>
          <w:sz w:val="24"/>
          <w:szCs w:val="24"/>
          <w:lang w:val="en-GB"/>
        </w:rPr>
        <w:t xml:space="preserve"> carried out to test whether the change is share price </w:t>
      </w:r>
      <w:r w:rsidR="005E346E">
        <w:rPr>
          <w:rFonts w:cstheme="minorHAnsi"/>
          <w:sz w:val="24"/>
          <w:szCs w:val="24"/>
          <w:lang w:val="en-GB"/>
        </w:rPr>
        <w:t>from</w:t>
      </w:r>
      <w:r w:rsidRPr="00363F63">
        <w:rPr>
          <w:rFonts w:cstheme="minorHAnsi"/>
          <w:sz w:val="24"/>
          <w:szCs w:val="24"/>
          <w:lang w:val="en-GB"/>
        </w:rPr>
        <w:t xml:space="preserve"> the events are solely a fluctuation within Tencent, or it affects the whole game sector. The share price of NetEase, the second biggest gaming company in China will be tested in the same event windows. The AR can be examined with the market model, creating the linear </w:t>
      </w:r>
      <w:r w:rsidRPr="00363F63">
        <w:rPr>
          <w:rFonts w:cstheme="minorHAnsi"/>
          <w:sz w:val="24"/>
          <w:szCs w:val="24"/>
          <w:lang w:val="en-GB"/>
        </w:rPr>
        <w:lastRenderedPageBreak/>
        <w:t>relationship between the return of NetEase and the market index, NASDAQ. The result of the 3 events windows are as followed:</w:t>
      </w:r>
    </w:p>
    <w:p w14:paraId="47423233" w14:textId="77777777" w:rsidR="00E47217" w:rsidRDefault="00E47217" w:rsidP="00363F63">
      <w:pPr>
        <w:rPr>
          <w:lang w:val="en-GB"/>
        </w:rPr>
      </w:pPr>
    </w:p>
    <w:p w14:paraId="50907672" w14:textId="13C5C91D" w:rsidR="00B67C25" w:rsidRDefault="001C7D7B" w:rsidP="0019191E">
      <w:pPr>
        <w:rPr>
          <w:lang w:val="en-GB"/>
        </w:rPr>
      </w:pPr>
      <w:r>
        <w:rPr>
          <w:noProof/>
        </w:rPr>
        <w:drawing>
          <wp:inline distT="0" distB="0" distL="0" distR="0" wp14:anchorId="18FE28E8" wp14:editId="2DE196F3">
            <wp:extent cx="5731510" cy="2438400"/>
            <wp:effectExtent l="0" t="0" r="2540" b="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5731510" cy="2438400"/>
                    </a:xfrm>
                    <a:prstGeom prst="rect">
                      <a:avLst/>
                    </a:prstGeom>
                  </pic:spPr>
                </pic:pic>
              </a:graphicData>
            </a:graphic>
          </wp:inline>
        </w:drawing>
      </w:r>
    </w:p>
    <w:p w14:paraId="3616DEA6" w14:textId="51D59ED3" w:rsidR="00AC10AC" w:rsidRDefault="00AC10AC" w:rsidP="0019191E">
      <w:pPr>
        <w:rPr>
          <w:lang w:val="en-GB"/>
        </w:rPr>
      </w:pPr>
    </w:p>
    <w:p w14:paraId="7BA37BB7" w14:textId="55C0312D" w:rsidR="00080E08" w:rsidRDefault="00080E08" w:rsidP="0019191E">
      <w:pPr>
        <w:rPr>
          <w:lang w:val="en-GB"/>
        </w:rPr>
      </w:pPr>
    </w:p>
    <w:tbl>
      <w:tblPr>
        <w:tblStyle w:val="TableGridLight"/>
        <w:tblW w:w="8126" w:type="dxa"/>
        <w:jc w:val="center"/>
        <w:tblLook w:val="04A0" w:firstRow="1" w:lastRow="0" w:firstColumn="1" w:lastColumn="0" w:noHBand="0" w:noVBand="1"/>
      </w:tblPr>
      <w:tblGrid>
        <w:gridCol w:w="1388"/>
        <w:gridCol w:w="1118"/>
        <w:gridCol w:w="1118"/>
        <w:gridCol w:w="1118"/>
        <w:gridCol w:w="1118"/>
        <w:gridCol w:w="1118"/>
        <w:gridCol w:w="1148"/>
      </w:tblGrid>
      <w:tr w:rsidR="006E007F" w:rsidRPr="006E007F" w14:paraId="1F375234" w14:textId="77777777" w:rsidTr="006E007F">
        <w:trPr>
          <w:trHeight w:val="288"/>
          <w:jc w:val="center"/>
        </w:trPr>
        <w:tc>
          <w:tcPr>
            <w:tcW w:w="1388" w:type="dxa"/>
            <w:noWrap/>
            <w:hideMark/>
          </w:tcPr>
          <w:p w14:paraId="2C351487"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Date</w:t>
            </w:r>
          </w:p>
        </w:tc>
        <w:tc>
          <w:tcPr>
            <w:tcW w:w="1118" w:type="dxa"/>
            <w:noWrap/>
            <w:hideMark/>
          </w:tcPr>
          <w:p w14:paraId="0B6137D8" w14:textId="77777777" w:rsidR="006E007F" w:rsidRPr="006E007F" w:rsidRDefault="006E007F" w:rsidP="006E007F">
            <w:pPr>
              <w:jc w:val="center"/>
              <w:rPr>
                <w:rFonts w:ascii="Calibri" w:eastAsia="Times New Roman" w:hAnsi="Calibri" w:cs="Calibri"/>
                <w:color w:val="000000"/>
              </w:rPr>
            </w:pPr>
            <w:proofErr w:type="spellStart"/>
            <w:r w:rsidRPr="006E007F">
              <w:rPr>
                <w:rFonts w:ascii="Calibri" w:eastAsia="Times New Roman" w:hAnsi="Calibri" w:cs="Calibri"/>
                <w:color w:val="000000"/>
              </w:rPr>
              <w:t>ln_ret</w:t>
            </w:r>
            <w:proofErr w:type="spellEnd"/>
          </w:p>
        </w:tc>
        <w:tc>
          <w:tcPr>
            <w:tcW w:w="1118" w:type="dxa"/>
            <w:noWrap/>
            <w:hideMark/>
          </w:tcPr>
          <w:p w14:paraId="2BA800CF"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ER</w:t>
            </w:r>
          </w:p>
        </w:tc>
        <w:tc>
          <w:tcPr>
            <w:tcW w:w="1118" w:type="dxa"/>
            <w:noWrap/>
            <w:hideMark/>
          </w:tcPr>
          <w:p w14:paraId="6733C689"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AR</w:t>
            </w:r>
          </w:p>
        </w:tc>
        <w:tc>
          <w:tcPr>
            <w:tcW w:w="1118" w:type="dxa"/>
            <w:noWrap/>
            <w:hideMark/>
          </w:tcPr>
          <w:p w14:paraId="48545E98"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AR Beta</w:t>
            </w:r>
          </w:p>
        </w:tc>
        <w:tc>
          <w:tcPr>
            <w:tcW w:w="1118" w:type="dxa"/>
            <w:noWrap/>
            <w:hideMark/>
          </w:tcPr>
          <w:p w14:paraId="67BDCB7A"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CAR</w:t>
            </w:r>
          </w:p>
        </w:tc>
        <w:tc>
          <w:tcPr>
            <w:tcW w:w="1148" w:type="dxa"/>
            <w:noWrap/>
            <w:hideMark/>
          </w:tcPr>
          <w:p w14:paraId="7733F47D"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CAR Beta</w:t>
            </w:r>
          </w:p>
        </w:tc>
      </w:tr>
      <w:tr w:rsidR="006E007F" w:rsidRPr="006E007F" w14:paraId="002AB06E" w14:textId="77777777" w:rsidTr="006E007F">
        <w:trPr>
          <w:trHeight w:val="288"/>
          <w:jc w:val="center"/>
        </w:trPr>
        <w:tc>
          <w:tcPr>
            <w:tcW w:w="1388" w:type="dxa"/>
            <w:noWrap/>
            <w:hideMark/>
          </w:tcPr>
          <w:p w14:paraId="285952DC"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13/08/2018</w:t>
            </w:r>
          </w:p>
        </w:tc>
        <w:tc>
          <w:tcPr>
            <w:tcW w:w="1118" w:type="dxa"/>
            <w:noWrap/>
            <w:hideMark/>
          </w:tcPr>
          <w:p w14:paraId="05CC7DB8"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-0.04033</w:t>
            </w:r>
          </w:p>
        </w:tc>
        <w:tc>
          <w:tcPr>
            <w:tcW w:w="1118" w:type="dxa"/>
            <w:noWrap/>
            <w:hideMark/>
          </w:tcPr>
          <w:p w14:paraId="10FFAD60"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-0.00496</w:t>
            </w:r>
          </w:p>
        </w:tc>
        <w:tc>
          <w:tcPr>
            <w:tcW w:w="1118" w:type="dxa"/>
            <w:noWrap/>
            <w:hideMark/>
          </w:tcPr>
          <w:p w14:paraId="3BAAF1D3"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-0.03537</w:t>
            </w:r>
          </w:p>
        </w:tc>
        <w:tc>
          <w:tcPr>
            <w:tcW w:w="1118" w:type="dxa"/>
            <w:noWrap/>
            <w:hideMark/>
          </w:tcPr>
          <w:p w14:paraId="280BFD1A"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-1.89863</w:t>
            </w:r>
          </w:p>
        </w:tc>
        <w:tc>
          <w:tcPr>
            <w:tcW w:w="1118" w:type="dxa"/>
            <w:noWrap/>
            <w:hideMark/>
          </w:tcPr>
          <w:p w14:paraId="6EF992ED"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-0.03537</w:t>
            </w:r>
          </w:p>
        </w:tc>
        <w:tc>
          <w:tcPr>
            <w:tcW w:w="1148" w:type="dxa"/>
            <w:noWrap/>
            <w:hideMark/>
          </w:tcPr>
          <w:p w14:paraId="77868F0C"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-0.94932</w:t>
            </w:r>
          </w:p>
        </w:tc>
      </w:tr>
      <w:tr w:rsidR="006E007F" w:rsidRPr="006E007F" w14:paraId="3BCD98D0" w14:textId="77777777" w:rsidTr="006E007F">
        <w:trPr>
          <w:trHeight w:val="288"/>
          <w:jc w:val="center"/>
        </w:trPr>
        <w:tc>
          <w:tcPr>
            <w:tcW w:w="1388" w:type="dxa"/>
            <w:noWrap/>
            <w:hideMark/>
          </w:tcPr>
          <w:p w14:paraId="00BF2330"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14/08/2018</w:t>
            </w:r>
          </w:p>
        </w:tc>
        <w:tc>
          <w:tcPr>
            <w:tcW w:w="1118" w:type="dxa"/>
            <w:noWrap/>
            <w:hideMark/>
          </w:tcPr>
          <w:p w14:paraId="3FB596E5"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-0.03576</w:t>
            </w:r>
          </w:p>
        </w:tc>
        <w:tc>
          <w:tcPr>
            <w:tcW w:w="1118" w:type="dxa"/>
            <w:noWrap/>
            <w:hideMark/>
          </w:tcPr>
          <w:p w14:paraId="346AA8B8"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0.00453</w:t>
            </w:r>
          </w:p>
        </w:tc>
        <w:tc>
          <w:tcPr>
            <w:tcW w:w="1118" w:type="dxa"/>
            <w:noWrap/>
            <w:hideMark/>
          </w:tcPr>
          <w:p w14:paraId="7AD76B9D"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-0.04029</w:t>
            </w:r>
          </w:p>
        </w:tc>
        <w:tc>
          <w:tcPr>
            <w:tcW w:w="1118" w:type="dxa"/>
            <w:noWrap/>
            <w:hideMark/>
          </w:tcPr>
          <w:p w14:paraId="35485EE5"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-2.16297</w:t>
            </w:r>
          </w:p>
        </w:tc>
        <w:tc>
          <w:tcPr>
            <w:tcW w:w="1118" w:type="dxa"/>
            <w:noWrap/>
            <w:hideMark/>
          </w:tcPr>
          <w:p w14:paraId="346D5095"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-0.07566</w:t>
            </w:r>
          </w:p>
        </w:tc>
        <w:tc>
          <w:tcPr>
            <w:tcW w:w="1148" w:type="dxa"/>
            <w:noWrap/>
            <w:hideMark/>
          </w:tcPr>
          <w:p w14:paraId="60B9325A"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-2.0308</w:t>
            </w:r>
          </w:p>
        </w:tc>
      </w:tr>
      <w:tr w:rsidR="006E007F" w:rsidRPr="006E007F" w14:paraId="0AF2E8F5" w14:textId="77777777" w:rsidTr="006E007F">
        <w:trPr>
          <w:trHeight w:val="288"/>
          <w:jc w:val="center"/>
        </w:trPr>
        <w:tc>
          <w:tcPr>
            <w:tcW w:w="1388" w:type="dxa"/>
            <w:noWrap/>
            <w:hideMark/>
          </w:tcPr>
          <w:p w14:paraId="596C2F8A"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15/08/2018</w:t>
            </w:r>
          </w:p>
        </w:tc>
        <w:tc>
          <w:tcPr>
            <w:tcW w:w="1118" w:type="dxa"/>
            <w:noWrap/>
            <w:hideMark/>
          </w:tcPr>
          <w:p w14:paraId="2668A204"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-0.03699</w:t>
            </w:r>
          </w:p>
        </w:tc>
        <w:tc>
          <w:tcPr>
            <w:tcW w:w="1118" w:type="dxa"/>
            <w:noWrap/>
            <w:hideMark/>
          </w:tcPr>
          <w:p w14:paraId="171C47FA"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-0.01539</w:t>
            </w:r>
          </w:p>
        </w:tc>
        <w:tc>
          <w:tcPr>
            <w:tcW w:w="1118" w:type="dxa"/>
            <w:noWrap/>
            <w:hideMark/>
          </w:tcPr>
          <w:p w14:paraId="3301F11A"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-0.02159</w:t>
            </w:r>
          </w:p>
        </w:tc>
        <w:tc>
          <w:tcPr>
            <w:tcW w:w="1118" w:type="dxa"/>
            <w:noWrap/>
            <w:hideMark/>
          </w:tcPr>
          <w:p w14:paraId="6C8B3D85"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-1.15924</w:t>
            </w:r>
          </w:p>
        </w:tc>
        <w:tc>
          <w:tcPr>
            <w:tcW w:w="1118" w:type="dxa"/>
            <w:noWrap/>
            <w:hideMark/>
          </w:tcPr>
          <w:p w14:paraId="34C417AB"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-0.09725</w:t>
            </w:r>
          </w:p>
        </w:tc>
        <w:tc>
          <w:tcPr>
            <w:tcW w:w="1148" w:type="dxa"/>
            <w:noWrap/>
            <w:hideMark/>
          </w:tcPr>
          <w:p w14:paraId="61CCDACE"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-2.61042</w:t>
            </w:r>
          </w:p>
        </w:tc>
      </w:tr>
      <w:tr w:rsidR="006E007F" w:rsidRPr="006E007F" w14:paraId="1F9EADE1" w14:textId="77777777" w:rsidTr="006E007F">
        <w:trPr>
          <w:trHeight w:val="288"/>
          <w:jc w:val="center"/>
        </w:trPr>
        <w:tc>
          <w:tcPr>
            <w:tcW w:w="1388" w:type="dxa"/>
            <w:noWrap/>
            <w:hideMark/>
          </w:tcPr>
          <w:p w14:paraId="23DFA37F"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16/08/2018</w:t>
            </w:r>
          </w:p>
        </w:tc>
        <w:tc>
          <w:tcPr>
            <w:tcW w:w="1118" w:type="dxa"/>
            <w:noWrap/>
            <w:hideMark/>
          </w:tcPr>
          <w:p w14:paraId="55900438"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-0.002</w:t>
            </w:r>
          </w:p>
        </w:tc>
        <w:tc>
          <w:tcPr>
            <w:tcW w:w="1118" w:type="dxa"/>
            <w:noWrap/>
            <w:hideMark/>
          </w:tcPr>
          <w:p w14:paraId="10FEC452"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0.00204</w:t>
            </w:r>
          </w:p>
        </w:tc>
        <w:tc>
          <w:tcPr>
            <w:tcW w:w="1118" w:type="dxa"/>
            <w:noWrap/>
            <w:hideMark/>
          </w:tcPr>
          <w:p w14:paraId="18BE2774"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-0.00403</w:t>
            </w:r>
          </w:p>
        </w:tc>
        <w:tc>
          <w:tcPr>
            <w:tcW w:w="1118" w:type="dxa"/>
            <w:noWrap/>
            <w:hideMark/>
          </w:tcPr>
          <w:p w14:paraId="51FC4051"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-0.21653</w:t>
            </w:r>
          </w:p>
        </w:tc>
        <w:tc>
          <w:tcPr>
            <w:tcW w:w="1118" w:type="dxa"/>
            <w:noWrap/>
            <w:hideMark/>
          </w:tcPr>
          <w:p w14:paraId="553C3F96"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-0.10128</w:t>
            </w:r>
          </w:p>
        </w:tc>
        <w:tc>
          <w:tcPr>
            <w:tcW w:w="1148" w:type="dxa"/>
            <w:noWrap/>
            <w:hideMark/>
          </w:tcPr>
          <w:p w14:paraId="0360475F"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-2.71869</w:t>
            </w:r>
          </w:p>
        </w:tc>
      </w:tr>
    </w:tbl>
    <w:p w14:paraId="4EF93BEC" w14:textId="350C1789" w:rsidR="00080E08" w:rsidRDefault="00080E08" w:rsidP="0019191E">
      <w:pPr>
        <w:rPr>
          <w:lang w:val="en-GB"/>
        </w:rPr>
      </w:pPr>
    </w:p>
    <w:tbl>
      <w:tblPr>
        <w:tblStyle w:val="TableGridLight"/>
        <w:tblW w:w="8059" w:type="dxa"/>
        <w:jc w:val="center"/>
        <w:tblLook w:val="04A0" w:firstRow="1" w:lastRow="0" w:firstColumn="1" w:lastColumn="0" w:noHBand="0" w:noVBand="1"/>
      </w:tblPr>
      <w:tblGrid>
        <w:gridCol w:w="1388"/>
        <w:gridCol w:w="1118"/>
        <w:gridCol w:w="1118"/>
        <w:gridCol w:w="1118"/>
        <w:gridCol w:w="1118"/>
        <w:gridCol w:w="1051"/>
        <w:gridCol w:w="1148"/>
      </w:tblGrid>
      <w:tr w:rsidR="006E007F" w:rsidRPr="006E007F" w14:paraId="2DE5689A" w14:textId="77777777" w:rsidTr="00D40770">
        <w:trPr>
          <w:trHeight w:val="288"/>
          <w:jc w:val="center"/>
        </w:trPr>
        <w:tc>
          <w:tcPr>
            <w:tcW w:w="1388" w:type="dxa"/>
            <w:noWrap/>
            <w:hideMark/>
          </w:tcPr>
          <w:p w14:paraId="6705E619"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Date</w:t>
            </w:r>
          </w:p>
        </w:tc>
        <w:tc>
          <w:tcPr>
            <w:tcW w:w="1118" w:type="dxa"/>
            <w:noWrap/>
            <w:hideMark/>
          </w:tcPr>
          <w:p w14:paraId="68593049" w14:textId="77777777" w:rsidR="006E007F" w:rsidRPr="006E007F" w:rsidRDefault="006E007F" w:rsidP="006E007F">
            <w:pPr>
              <w:jc w:val="center"/>
              <w:rPr>
                <w:rFonts w:ascii="Calibri" w:eastAsia="Times New Roman" w:hAnsi="Calibri" w:cs="Calibri"/>
                <w:color w:val="000000"/>
              </w:rPr>
            </w:pPr>
            <w:proofErr w:type="spellStart"/>
            <w:r w:rsidRPr="006E007F">
              <w:rPr>
                <w:rFonts w:ascii="Calibri" w:eastAsia="Times New Roman" w:hAnsi="Calibri" w:cs="Calibri"/>
                <w:color w:val="000000"/>
              </w:rPr>
              <w:t>ln_ret</w:t>
            </w:r>
            <w:proofErr w:type="spellEnd"/>
          </w:p>
        </w:tc>
        <w:tc>
          <w:tcPr>
            <w:tcW w:w="1118" w:type="dxa"/>
            <w:noWrap/>
            <w:hideMark/>
          </w:tcPr>
          <w:p w14:paraId="409E4D3E"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ER</w:t>
            </w:r>
          </w:p>
        </w:tc>
        <w:tc>
          <w:tcPr>
            <w:tcW w:w="1118" w:type="dxa"/>
            <w:noWrap/>
            <w:hideMark/>
          </w:tcPr>
          <w:p w14:paraId="14060C82"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AR</w:t>
            </w:r>
          </w:p>
        </w:tc>
        <w:tc>
          <w:tcPr>
            <w:tcW w:w="1118" w:type="dxa"/>
            <w:noWrap/>
            <w:hideMark/>
          </w:tcPr>
          <w:p w14:paraId="471A878E"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AR Beta</w:t>
            </w:r>
          </w:p>
        </w:tc>
        <w:tc>
          <w:tcPr>
            <w:tcW w:w="1051" w:type="dxa"/>
            <w:noWrap/>
            <w:hideMark/>
          </w:tcPr>
          <w:p w14:paraId="5FCF327E"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CAR</w:t>
            </w:r>
          </w:p>
        </w:tc>
        <w:tc>
          <w:tcPr>
            <w:tcW w:w="1148" w:type="dxa"/>
            <w:noWrap/>
            <w:hideMark/>
          </w:tcPr>
          <w:p w14:paraId="2AD0F8CC"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CAR Beta</w:t>
            </w:r>
          </w:p>
        </w:tc>
      </w:tr>
      <w:tr w:rsidR="006E007F" w:rsidRPr="006E007F" w14:paraId="0957C473" w14:textId="77777777" w:rsidTr="00D40770">
        <w:trPr>
          <w:trHeight w:val="288"/>
          <w:jc w:val="center"/>
        </w:trPr>
        <w:tc>
          <w:tcPr>
            <w:tcW w:w="1388" w:type="dxa"/>
            <w:noWrap/>
            <w:hideMark/>
          </w:tcPr>
          <w:p w14:paraId="54EAA227"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31/08/2018</w:t>
            </w:r>
          </w:p>
        </w:tc>
        <w:tc>
          <w:tcPr>
            <w:tcW w:w="1118" w:type="dxa"/>
            <w:noWrap/>
            <w:hideMark/>
          </w:tcPr>
          <w:p w14:paraId="485B9393"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0.01693</w:t>
            </w:r>
          </w:p>
        </w:tc>
        <w:tc>
          <w:tcPr>
            <w:tcW w:w="1118" w:type="dxa"/>
            <w:noWrap/>
            <w:hideMark/>
          </w:tcPr>
          <w:p w14:paraId="7C394D55"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0.00041</w:t>
            </w:r>
          </w:p>
        </w:tc>
        <w:tc>
          <w:tcPr>
            <w:tcW w:w="1118" w:type="dxa"/>
            <w:noWrap/>
            <w:hideMark/>
          </w:tcPr>
          <w:p w14:paraId="3D58BB67"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0.01653</w:t>
            </w:r>
          </w:p>
        </w:tc>
        <w:tc>
          <w:tcPr>
            <w:tcW w:w="1118" w:type="dxa"/>
            <w:noWrap/>
            <w:hideMark/>
          </w:tcPr>
          <w:p w14:paraId="101A2C46"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0.88721</w:t>
            </w:r>
          </w:p>
        </w:tc>
        <w:tc>
          <w:tcPr>
            <w:tcW w:w="1051" w:type="dxa"/>
            <w:noWrap/>
            <w:hideMark/>
          </w:tcPr>
          <w:p w14:paraId="57212257"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0.01653</w:t>
            </w:r>
          </w:p>
        </w:tc>
        <w:tc>
          <w:tcPr>
            <w:tcW w:w="1148" w:type="dxa"/>
            <w:noWrap/>
            <w:hideMark/>
          </w:tcPr>
          <w:p w14:paraId="2D2F4431"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0.4436</w:t>
            </w:r>
          </w:p>
        </w:tc>
      </w:tr>
      <w:tr w:rsidR="006E007F" w:rsidRPr="006E007F" w14:paraId="0156F3A1" w14:textId="77777777" w:rsidTr="00D40770">
        <w:trPr>
          <w:trHeight w:val="288"/>
          <w:jc w:val="center"/>
        </w:trPr>
        <w:tc>
          <w:tcPr>
            <w:tcW w:w="1388" w:type="dxa"/>
            <w:noWrap/>
            <w:hideMark/>
          </w:tcPr>
          <w:p w14:paraId="07182F8C"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04/09/2018</w:t>
            </w:r>
          </w:p>
        </w:tc>
        <w:tc>
          <w:tcPr>
            <w:tcW w:w="1118" w:type="dxa"/>
            <w:noWrap/>
            <w:hideMark/>
          </w:tcPr>
          <w:p w14:paraId="45E4B113"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-0.00223</w:t>
            </w:r>
          </w:p>
        </w:tc>
        <w:tc>
          <w:tcPr>
            <w:tcW w:w="1118" w:type="dxa"/>
            <w:noWrap/>
            <w:hideMark/>
          </w:tcPr>
          <w:p w14:paraId="716A0DFA"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-0.00473</w:t>
            </w:r>
          </w:p>
        </w:tc>
        <w:tc>
          <w:tcPr>
            <w:tcW w:w="1118" w:type="dxa"/>
            <w:noWrap/>
            <w:hideMark/>
          </w:tcPr>
          <w:p w14:paraId="0CA71520"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0.0025</w:t>
            </w:r>
          </w:p>
        </w:tc>
        <w:tc>
          <w:tcPr>
            <w:tcW w:w="1118" w:type="dxa"/>
            <w:noWrap/>
            <w:hideMark/>
          </w:tcPr>
          <w:p w14:paraId="00E23649"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0.13425</w:t>
            </w:r>
          </w:p>
        </w:tc>
        <w:tc>
          <w:tcPr>
            <w:tcW w:w="1051" w:type="dxa"/>
            <w:noWrap/>
            <w:hideMark/>
          </w:tcPr>
          <w:p w14:paraId="014930D7"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0.01903</w:t>
            </w:r>
          </w:p>
        </w:tc>
        <w:tc>
          <w:tcPr>
            <w:tcW w:w="1148" w:type="dxa"/>
            <w:noWrap/>
            <w:hideMark/>
          </w:tcPr>
          <w:p w14:paraId="6FE362EC"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0.51073</w:t>
            </w:r>
          </w:p>
        </w:tc>
      </w:tr>
      <w:tr w:rsidR="006E007F" w:rsidRPr="006E007F" w14:paraId="332B0C0D" w14:textId="77777777" w:rsidTr="00D40770">
        <w:trPr>
          <w:trHeight w:val="288"/>
          <w:jc w:val="center"/>
        </w:trPr>
        <w:tc>
          <w:tcPr>
            <w:tcW w:w="1388" w:type="dxa"/>
            <w:noWrap/>
            <w:hideMark/>
          </w:tcPr>
          <w:p w14:paraId="7FCD2467"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05/09/2018</w:t>
            </w:r>
          </w:p>
        </w:tc>
        <w:tc>
          <w:tcPr>
            <w:tcW w:w="1118" w:type="dxa"/>
            <w:noWrap/>
            <w:hideMark/>
          </w:tcPr>
          <w:p w14:paraId="7BFA771B"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-0.03887</w:t>
            </w:r>
          </w:p>
        </w:tc>
        <w:tc>
          <w:tcPr>
            <w:tcW w:w="1118" w:type="dxa"/>
            <w:noWrap/>
            <w:hideMark/>
          </w:tcPr>
          <w:p w14:paraId="52B83D92"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-0.01494</w:t>
            </w:r>
          </w:p>
        </w:tc>
        <w:tc>
          <w:tcPr>
            <w:tcW w:w="1118" w:type="dxa"/>
            <w:noWrap/>
            <w:hideMark/>
          </w:tcPr>
          <w:p w14:paraId="011EE023"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-0.02392</w:t>
            </w:r>
          </w:p>
        </w:tc>
        <w:tc>
          <w:tcPr>
            <w:tcW w:w="1118" w:type="dxa"/>
            <w:noWrap/>
            <w:hideMark/>
          </w:tcPr>
          <w:p w14:paraId="188946E1"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-1.28438</w:t>
            </w:r>
          </w:p>
        </w:tc>
        <w:tc>
          <w:tcPr>
            <w:tcW w:w="1051" w:type="dxa"/>
            <w:noWrap/>
            <w:hideMark/>
          </w:tcPr>
          <w:p w14:paraId="6570E700"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-0.0049</w:t>
            </w:r>
          </w:p>
        </w:tc>
        <w:tc>
          <w:tcPr>
            <w:tcW w:w="1148" w:type="dxa"/>
            <w:noWrap/>
            <w:hideMark/>
          </w:tcPr>
          <w:p w14:paraId="375AD85C"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-0.13146</w:t>
            </w:r>
          </w:p>
        </w:tc>
      </w:tr>
      <w:tr w:rsidR="006E007F" w:rsidRPr="006E007F" w14:paraId="7F393508" w14:textId="77777777" w:rsidTr="00D40770">
        <w:trPr>
          <w:trHeight w:val="288"/>
          <w:jc w:val="center"/>
        </w:trPr>
        <w:tc>
          <w:tcPr>
            <w:tcW w:w="1388" w:type="dxa"/>
            <w:noWrap/>
            <w:hideMark/>
          </w:tcPr>
          <w:p w14:paraId="157A2545"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06/09/2018</w:t>
            </w:r>
          </w:p>
        </w:tc>
        <w:tc>
          <w:tcPr>
            <w:tcW w:w="1118" w:type="dxa"/>
            <w:noWrap/>
            <w:hideMark/>
          </w:tcPr>
          <w:p w14:paraId="09F473AE"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0.00756</w:t>
            </w:r>
          </w:p>
        </w:tc>
        <w:tc>
          <w:tcPr>
            <w:tcW w:w="1118" w:type="dxa"/>
            <w:noWrap/>
            <w:hideMark/>
          </w:tcPr>
          <w:p w14:paraId="020682C0"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-0.01194</w:t>
            </w:r>
          </w:p>
        </w:tc>
        <w:tc>
          <w:tcPr>
            <w:tcW w:w="1118" w:type="dxa"/>
            <w:noWrap/>
            <w:hideMark/>
          </w:tcPr>
          <w:p w14:paraId="4ED2BD7E"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0.01951</w:t>
            </w:r>
          </w:p>
        </w:tc>
        <w:tc>
          <w:tcPr>
            <w:tcW w:w="1118" w:type="dxa"/>
            <w:noWrap/>
            <w:hideMark/>
          </w:tcPr>
          <w:p w14:paraId="05BC5808"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1.04715</w:t>
            </w:r>
          </w:p>
        </w:tc>
        <w:tc>
          <w:tcPr>
            <w:tcW w:w="1051" w:type="dxa"/>
            <w:noWrap/>
            <w:hideMark/>
          </w:tcPr>
          <w:p w14:paraId="2589D970"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0.01461</w:t>
            </w:r>
          </w:p>
        </w:tc>
        <w:tc>
          <w:tcPr>
            <w:tcW w:w="1148" w:type="dxa"/>
            <w:noWrap/>
            <w:hideMark/>
          </w:tcPr>
          <w:p w14:paraId="34676FCF" w14:textId="77777777" w:rsidR="006E007F" w:rsidRPr="006E007F" w:rsidRDefault="006E007F" w:rsidP="006E007F">
            <w:pPr>
              <w:jc w:val="center"/>
              <w:rPr>
                <w:rFonts w:ascii="Calibri" w:eastAsia="Times New Roman" w:hAnsi="Calibri" w:cs="Calibri"/>
                <w:color w:val="000000"/>
              </w:rPr>
            </w:pPr>
            <w:r w:rsidRPr="006E007F">
              <w:rPr>
                <w:rFonts w:ascii="Calibri" w:eastAsia="Times New Roman" w:hAnsi="Calibri" w:cs="Calibri"/>
                <w:color w:val="000000"/>
              </w:rPr>
              <w:t>0.39211</w:t>
            </w:r>
          </w:p>
        </w:tc>
      </w:tr>
    </w:tbl>
    <w:p w14:paraId="74B8A7D3" w14:textId="3B86ED6A" w:rsidR="00527D65" w:rsidRDefault="00527D65" w:rsidP="004D4828">
      <w:pPr>
        <w:rPr>
          <w:lang w:val="en-GB"/>
        </w:rPr>
      </w:pPr>
    </w:p>
    <w:tbl>
      <w:tblPr>
        <w:tblStyle w:val="TableGridLight"/>
        <w:tblW w:w="8016" w:type="dxa"/>
        <w:jc w:val="center"/>
        <w:tblLook w:val="04A0" w:firstRow="1" w:lastRow="0" w:firstColumn="1" w:lastColumn="0" w:noHBand="0" w:noVBand="1"/>
      </w:tblPr>
      <w:tblGrid>
        <w:gridCol w:w="1278"/>
        <w:gridCol w:w="1118"/>
        <w:gridCol w:w="1118"/>
        <w:gridCol w:w="1118"/>
        <w:gridCol w:w="1118"/>
        <w:gridCol w:w="1118"/>
        <w:gridCol w:w="1148"/>
      </w:tblGrid>
      <w:tr w:rsidR="00114176" w:rsidRPr="00114176" w14:paraId="4C867AA4" w14:textId="77777777" w:rsidTr="006E007F">
        <w:trPr>
          <w:trHeight w:val="288"/>
          <w:jc w:val="center"/>
        </w:trPr>
        <w:tc>
          <w:tcPr>
            <w:tcW w:w="1278" w:type="dxa"/>
            <w:noWrap/>
            <w:hideMark/>
          </w:tcPr>
          <w:p w14:paraId="460807BE"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Date</w:t>
            </w:r>
          </w:p>
        </w:tc>
        <w:tc>
          <w:tcPr>
            <w:tcW w:w="1118" w:type="dxa"/>
            <w:noWrap/>
            <w:hideMark/>
          </w:tcPr>
          <w:p w14:paraId="3D1DD9E4" w14:textId="77777777" w:rsidR="00114176" w:rsidRPr="00114176" w:rsidRDefault="00114176" w:rsidP="006E007F">
            <w:pPr>
              <w:jc w:val="center"/>
              <w:rPr>
                <w:rFonts w:ascii="Calibri" w:eastAsia="Times New Roman" w:hAnsi="Calibri" w:cs="Calibri"/>
                <w:color w:val="000000"/>
              </w:rPr>
            </w:pPr>
            <w:proofErr w:type="spellStart"/>
            <w:r w:rsidRPr="00114176">
              <w:rPr>
                <w:rFonts w:ascii="Calibri" w:eastAsia="Times New Roman" w:hAnsi="Calibri" w:cs="Calibri"/>
                <w:color w:val="000000"/>
              </w:rPr>
              <w:t>ln_ret</w:t>
            </w:r>
            <w:proofErr w:type="spellEnd"/>
          </w:p>
        </w:tc>
        <w:tc>
          <w:tcPr>
            <w:tcW w:w="1118" w:type="dxa"/>
            <w:noWrap/>
            <w:hideMark/>
          </w:tcPr>
          <w:p w14:paraId="3D3CDFD0"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ER</w:t>
            </w:r>
          </w:p>
        </w:tc>
        <w:tc>
          <w:tcPr>
            <w:tcW w:w="1118" w:type="dxa"/>
            <w:noWrap/>
            <w:hideMark/>
          </w:tcPr>
          <w:p w14:paraId="6362FC30"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AR</w:t>
            </w:r>
          </w:p>
        </w:tc>
        <w:tc>
          <w:tcPr>
            <w:tcW w:w="1118" w:type="dxa"/>
            <w:noWrap/>
            <w:hideMark/>
          </w:tcPr>
          <w:p w14:paraId="67719E2B"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AR Beta</w:t>
            </w:r>
          </w:p>
        </w:tc>
        <w:tc>
          <w:tcPr>
            <w:tcW w:w="1118" w:type="dxa"/>
            <w:noWrap/>
            <w:hideMark/>
          </w:tcPr>
          <w:p w14:paraId="0CCDC492"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CAR</w:t>
            </w:r>
          </w:p>
        </w:tc>
        <w:tc>
          <w:tcPr>
            <w:tcW w:w="1148" w:type="dxa"/>
            <w:noWrap/>
            <w:hideMark/>
          </w:tcPr>
          <w:p w14:paraId="4CFACC8F"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CAR Beta</w:t>
            </w:r>
          </w:p>
        </w:tc>
      </w:tr>
      <w:tr w:rsidR="00114176" w:rsidRPr="00114176" w14:paraId="20A9BECE" w14:textId="77777777" w:rsidTr="006E007F">
        <w:trPr>
          <w:trHeight w:val="288"/>
          <w:jc w:val="center"/>
        </w:trPr>
        <w:tc>
          <w:tcPr>
            <w:tcW w:w="1278" w:type="dxa"/>
            <w:noWrap/>
            <w:hideMark/>
          </w:tcPr>
          <w:p w14:paraId="5E1BC69C"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07/09/2018</w:t>
            </w:r>
          </w:p>
        </w:tc>
        <w:tc>
          <w:tcPr>
            <w:tcW w:w="1118" w:type="dxa"/>
            <w:noWrap/>
            <w:hideMark/>
          </w:tcPr>
          <w:p w14:paraId="6A9F3120"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0.01123</w:t>
            </w:r>
          </w:p>
        </w:tc>
        <w:tc>
          <w:tcPr>
            <w:tcW w:w="1118" w:type="dxa"/>
            <w:noWrap/>
            <w:hideMark/>
          </w:tcPr>
          <w:p w14:paraId="782C8C63"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-0.00504</w:t>
            </w:r>
          </w:p>
        </w:tc>
        <w:tc>
          <w:tcPr>
            <w:tcW w:w="1118" w:type="dxa"/>
            <w:noWrap/>
            <w:hideMark/>
          </w:tcPr>
          <w:p w14:paraId="6012A427"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0.01627</w:t>
            </w:r>
          </w:p>
        </w:tc>
        <w:tc>
          <w:tcPr>
            <w:tcW w:w="1118" w:type="dxa"/>
            <w:noWrap/>
            <w:hideMark/>
          </w:tcPr>
          <w:p w14:paraId="4630657A"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0.87355</w:t>
            </w:r>
          </w:p>
        </w:tc>
        <w:tc>
          <w:tcPr>
            <w:tcW w:w="1118" w:type="dxa"/>
            <w:noWrap/>
            <w:hideMark/>
          </w:tcPr>
          <w:p w14:paraId="49B1D615"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0.01627</w:t>
            </w:r>
          </w:p>
        </w:tc>
        <w:tc>
          <w:tcPr>
            <w:tcW w:w="1148" w:type="dxa"/>
            <w:noWrap/>
            <w:hideMark/>
          </w:tcPr>
          <w:p w14:paraId="466EB886"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0.43678</w:t>
            </w:r>
          </w:p>
        </w:tc>
      </w:tr>
      <w:tr w:rsidR="00114176" w:rsidRPr="00114176" w14:paraId="7873CAC8" w14:textId="77777777" w:rsidTr="006E007F">
        <w:trPr>
          <w:trHeight w:val="288"/>
          <w:jc w:val="center"/>
        </w:trPr>
        <w:tc>
          <w:tcPr>
            <w:tcW w:w="1278" w:type="dxa"/>
            <w:noWrap/>
            <w:hideMark/>
          </w:tcPr>
          <w:p w14:paraId="2B099B4F"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10/09/2018</w:t>
            </w:r>
          </w:p>
        </w:tc>
        <w:tc>
          <w:tcPr>
            <w:tcW w:w="1118" w:type="dxa"/>
            <w:noWrap/>
            <w:hideMark/>
          </w:tcPr>
          <w:p w14:paraId="2A980190"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-0.02599</w:t>
            </w:r>
          </w:p>
        </w:tc>
        <w:tc>
          <w:tcPr>
            <w:tcW w:w="1118" w:type="dxa"/>
            <w:noWrap/>
            <w:hideMark/>
          </w:tcPr>
          <w:p w14:paraId="2480BF51"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0.00053</w:t>
            </w:r>
          </w:p>
        </w:tc>
        <w:tc>
          <w:tcPr>
            <w:tcW w:w="1118" w:type="dxa"/>
            <w:noWrap/>
            <w:hideMark/>
          </w:tcPr>
          <w:p w14:paraId="7A383D45"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-0.02652</w:t>
            </w:r>
          </w:p>
        </w:tc>
        <w:tc>
          <w:tcPr>
            <w:tcW w:w="1118" w:type="dxa"/>
            <w:noWrap/>
            <w:hideMark/>
          </w:tcPr>
          <w:p w14:paraId="5A937EC5"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-1.42373</w:t>
            </w:r>
          </w:p>
        </w:tc>
        <w:tc>
          <w:tcPr>
            <w:tcW w:w="1118" w:type="dxa"/>
            <w:noWrap/>
            <w:hideMark/>
          </w:tcPr>
          <w:p w14:paraId="67732B66"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-0.01025</w:t>
            </w:r>
          </w:p>
        </w:tc>
        <w:tc>
          <w:tcPr>
            <w:tcW w:w="1148" w:type="dxa"/>
            <w:noWrap/>
            <w:hideMark/>
          </w:tcPr>
          <w:p w14:paraId="4854CE1B"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-0.27509</w:t>
            </w:r>
          </w:p>
        </w:tc>
      </w:tr>
      <w:tr w:rsidR="00114176" w:rsidRPr="00114176" w14:paraId="652B2AFB" w14:textId="77777777" w:rsidTr="006E007F">
        <w:trPr>
          <w:trHeight w:val="288"/>
          <w:jc w:val="center"/>
        </w:trPr>
        <w:tc>
          <w:tcPr>
            <w:tcW w:w="1278" w:type="dxa"/>
            <w:noWrap/>
            <w:hideMark/>
          </w:tcPr>
          <w:p w14:paraId="0D3746DB"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11/09/2018</w:t>
            </w:r>
          </w:p>
        </w:tc>
        <w:tc>
          <w:tcPr>
            <w:tcW w:w="1118" w:type="dxa"/>
            <w:noWrap/>
            <w:hideMark/>
          </w:tcPr>
          <w:p w14:paraId="1CA5FE20"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0.00212</w:t>
            </w:r>
          </w:p>
        </w:tc>
        <w:tc>
          <w:tcPr>
            <w:tcW w:w="1118" w:type="dxa"/>
            <w:noWrap/>
            <w:hideMark/>
          </w:tcPr>
          <w:p w14:paraId="2712DECE"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0.00406</w:t>
            </w:r>
          </w:p>
        </w:tc>
        <w:tc>
          <w:tcPr>
            <w:tcW w:w="1118" w:type="dxa"/>
            <w:noWrap/>
            <w:hideMark/>
          </w:tcPr>
          <w:p w14:paraId="19FA3BC3"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-0.00194</w:t>
            </w:r>
          </w:p>
        </w:tc>
        <w:tc>
          <w:tcPr>
            <w:tcW w:w="1118" w:type="dxa"/>
            <w:noWrap/>
            <w:hideMark/>
          </w:tcPr>
          <w:p w14:paraId="2FD360C9"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-0.10413</w:t>
            </w:r>
          </w:p>
        </w:tc>
        <w:tc>
          <w:tcPr>
            <w:tcW w:w="1118" w:type="dxa"/>
            <w:noWrap/>
            <w:hideMark/>
          </w:tcPr>
          <w:p w14:paraId="5B34DAA8"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-0.01219</w:t>
            </w:r>
          </w:p>
        </w:tc>
        <w:tc>
          <w:tcPr>
            <w:tcW w:w="1148" w:type="dxa"/>
            <w:noWrap/>
            <w:hideMark/>
          </w:tcPr>
          <w:p w14:paraId="15B53E7E"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-0.32716</w:t>
            </w:r>
          </w:p>
        </w:tc>
      </w:tr>
      <w:tr w:rsidR="00114176" w:rsidRPr="00114176" w14:paraId="22996938" w14:textId="77777777" w:rsidTr="006E007F">
        <w:trPr>
          <w:trHeight w:val="288"/>
          <w:jc w:val="center"/>
        </w:trPr>
        <w:tc>
          <w:tcPr>
            <w:tcW w:w="1278" w:type="dxa"/>
            <w:noWrap/>
            <w:hideMark/>
          </w:tcPr>
          <w:p w14:paraId="441CDCC3"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12/09/2018</w:t>
            </w:r>
          </w:p>
        </w:tc>
        <w:tc>
          <w:tcPr>
            <w:tcW w:w="1118" w:type="dxa"/>
            <w:noWrap/>
            <w:hideMark/>
          </w:tcPr>
          <w:p w14:paraId="224E0F2A"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0.01472</w:t>
            </w:r>
          </w:p>
        </w:tc>
        <w:tc>
          <w:tcPr>
            <w:tcW w:w="1118" w:type="dxa"/>
            <w:noWrap/>
            <w:hideMark/>
          </w:tcPr>
          <w:p w14:paraId="27A88E6F"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-0.00476</w:t>
            </w:r>
          </w:p>
        </w:tc>
        <w:tc>
          <w:tcPr>
            <w:tcW w:w="1118" w:type="dxa"/>
            <w:noWrap/>
            <w:hideMark/>
          </w:tcPr>
          <w:p w14:paraId="086CF971"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0.01949</w:t>
            </w:r>
          </w:p>
        </w:tc>
        <w:tc>
          <w:tcPr>
            <w:tcW w:w="1118" w:type="dxa"/>
            <w:noWrap/>
            <w:hideMark/>
          </w:tcPr>
          <w:p w14:paraId="57AA119B"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1.04611</w:t>
            </w:r>
          </w:p>
        </w:tc>
        <w:tc>
          <w:tcPr>
            <w:tcW w:w="1118" w:type="dxa"/>
            <w:noWrap/>
            <w:hideMark/>
          </w:tcPr>
          <w:p w14:paraId="327251EF"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0.0073</w:t>
            </w:r>
          </w:p>
        </w:tc>
        <w:tc>
          <w:tcPr>
            <w:tcW w:w="1148" w:type="dxa"/>
            <w:noWrap/>
            <w:hideMark/>
          </w:tcPr>
          <w:p w14:paraId="66BE0381" w14:textId="77777777" w:rsidR="00114176" w:rsidRPr="00114176" w:rsidRDefault="00114176" w:rsidP="006E007F">
            <w:pPr>
              <w:jc w:val="center"/>
              <w:rPr>
                <w:rFonts w:ascii="Calibri" w:eastAsia="Times New Roman" w:hAnsi="Calibri" w:cs="Calibri"/>
                <w:color w:val="000000"/>
              </w:rPr>
            </w:pPr>
            <w:r w:rsidRPr="00114176">
              <w:rPr>
                <w:rFonts w:ascii="Calibri" w:eastAsia="Times New Roman" w:hAnsi="Calibri" w:cs="Calibri"/>
                <w:color w:val="000000"/>
              </w:rPr>
              <w:t>0.1959</w:t>
            </w:r>
          </w:p>
        </w:tc>
      </w:tr>
    </w:tbl>
    <w:p w14:paraId="5FC047DE" w14:textId="77777777" w:rsidR="00114176" w:rsidRDefault="00114176" w:rsidP="0019191E">
      <w:pPr>
        <w:rPr>
          <w:lang w:val="en-GB"/>
        </w:rPr>
      </w:pPr>
    </w:p>
    <w:p w14:paraId="13F43C70" w14:textId="04AFAFB9" w:rsidR="00527D65" w:rsidRDefault="00527D65" w:rsidP="0019191E">
      <w:pPr>
        <w:rPr>
          <w:lang w:val="en-GB"/>
        </w:rPr>
      </w:pPr>
    </w:p>
    <w:p w14:paraId="1BBF4C10" w14:textId="5900E373" w:rsidR="00363F63" w:rsidRPr="00363F63" w:rsidRDefault="003826FA" w:rsidP="003826FA">
      <w:pPr>
        <w:rPr>
          <w:lang w:val="en-GB"/>
        </w:rPr>
      </w:pPr>
      <w:r>
        <w:rPr>
          <w:lang w:val="en-GB"/>
        </w:rPr>
        <w:t xml:space="preserve">  </w:t>
      </w:r>
      <w:r w:rsidR="00363F63" w:rsidRPr="00363F63">
        <w:rPr>
          <w:lang w:val="en-GB"/>
        </w:rPr>
        <w:t xml:space="preserve">The AR will be statistically significant if the government interventions affected the share price of NetEase and the first event indeed showed significance in the hypothesis testing. The AR of day 0 of the first event was -0.03537, with the variance of 0.01863, the value of θ is -1.8986. It is statistically significant at 94% level of significance and thus rejecting the null hypothesis of the event has no impact on the share price of NetEase. The impact is strengthened in day 1 as the AR on day 1 </w:t>
      </w:r>
      <w:r w:rsidR="00363F63" w:rsidRPr="00363F63">
        <w:rPr>
          <w:lang w:val="en-GB"/>
        </w:rPr>
        <w:lastRenderedPageBreak/>
        <w:t xml:space="preserve">decreased to -0.04029 and the value of θ decreased to -2.16297. The CAR on the first event as well showed significance, with the CAR on the last day in the event window of -0.10128, the value of θ is -2.71869, implying strong evidence against the null hypothesis. This can be interpreted as the event of taking down the big hit Monster Hunter did provide a deterrence effect, which is not only retained within Tencent but spread across the whole gaming sector. That said, despite being the second biggest gaming company in China, it is failed to reject the other events do not affect the share price of NetEase. A possible explanation is the US market already acknowledge the dominance and the attitude of the Chinese government </w:t>
      </w:r>
      <w:r w:rsidR="00C00021">
        <w:rPr>
          <w:lang w:val="en-GB"/>
        </w:rPr>
        <w:t xml:space="preserve">towards the gaming sector </w:t>
      </w:r>
      <w:r w:rsidR="00363F63" w:rsidRPr="00363F63">
        <w:rPr>
          <w:lang w:val="en-GB"/>
        </w:rPr>
        <w:t xml:space="preserve">within the first incident, where the government would and could do anything to intervene Tencent and the gaming sector if they must. To put it another way, the second and the third event did not exceed the expectation of the US market and hence the market did not recognise the importance of </w:t>
      </w:r>
      <w:r w:rsidR="002B74AB">
        <w:rPr>
          <w:lang w:val="en-GB"/>
        </w:rPr>
        <w:t>the events</w:t>
      </w:r>
      <w:r w:rsidR="00363F63" w:rsidRPr="00363F63">
        <w:rPr>
          <w:lang w:val="en-GB"/>
        </w:rPr>
        <w:t xml:space="preserve">. As for the last event, since it </w:t>
      </w:r>
      <w:r w:rsidR="00200995">
        <w:rPr>
          <w:lang w:val="en-GB"/>
        </w:rPr>
        <w:t>was</w:t>
      </w:r>
      <w:r w:rsidR="00363F63" w:rsidRPr="00363F63">
        <w:rPr>
          <w:lang w:val="en-GB"/>
        </w:rPr>
        <w:t xml:space="preserve"> a policy change within Tencent's "Honour of the King" and at the same time</w:t>
      </w:r>
      <w:r w:rsidR="00990103">
        <w:rPr>
          <w:lang w:val="en-GB"/>
        </w:rPr>
        <w:t>,</w:t>
      </w:r>
      <w:r w:rsidR="002F0BAB">
        <w:rPr>
          <w:lang w:val="en-GB"/>
        </w:rPr>
        <w:t xml:space="preserve"> </w:t>
      </w:r>
      <w:r w:rsidR="00363F63" w:rsidRPr="00363F63">
        <w:rPr>
          <w:lang w:val="en-GB"/>
        </w:rPr>
        <w:t>investors d</w:t>
      </w:r>
      <w:r w:rsidR="00200995">
        <w:rPr>
          <w:lang w:val="en-GB"/>
        </w:rPr>
        <w:t>id</w:t>
      </w:r>
      <w:r w:rsidR="00363F63" w:rsidRPr="00363F63">
        <w:rPr>
          <w:lang w:val="en-GB"/>
        </w:rPr>
        <w:t xml:space="preserve"> not worry NetEase would take a similar approach, the event is insignificant to NetEase.</w:t>
      </w:r>
    </w:p>
    <w:p w14:paraId="14D5D536" w14:textId="05DA4968" w:rsidR="0061765A" w:rsidRDefault="00363F63" w:rsidP="00363F63">
      <w:pPr>
        <w:rPr>
          <w:lang w:val="en-GB"/>
        </w:rPr>
      </w:pPr>
      <w:r w:rsidRPr="00363F63">
        <w:rPr>
          <w:lang w:val="en-GB"/>
        </w:rPr>
        <w:t xml:space="preserve">  On the other hand, another non-gaming tech firm from China is going to be tested. Alibaba is the world largest e-commerce retailer from China. Share price in the same event window of another firm, Alibaba, is tested in order to demonstrate the interventions had impact on the gaming sector but not to other tech sectors. The result is as follow.</w:t>
      </w:r>
    </w:p>
    <w:p w14:paraId="223EC1F9" w14:textId="34CD4811" w:rsidR="00AC10AC" w:rsidRDefault="00AC10AC" w:rsidP="00363F63">
      <w:pPr>
        <w:rPr>
          <w:lang w:val="en-GB"/>
        </w:rPr>
      </w:pPr>
    </w:p>
    <w:p w14:paraId="42528373" w14:textId="7289B35B" w:rsidR="00AC10AC" w:rsidRDefault="00AC10AC" w:rsidP="00363F63">
      <w:pPr>
        <w:rPr>
          <w:lang w:val="en-GB"/>
        </w:rPr>
      </w:pPr>
    </w:p>
    <w:p w14:paraId="27B2AF6F" w14:textId="28E75F01" w:rsidR="00AC10AC" w:rsidRDefault="00B42B6D" w:rsidP="00363F63">
      <w:pPr>
        <w:rPr>
          <w:lang w:val="en-GB"/>
        </w:rPr>
      </w:pPr>
      <w:r>
        <w:rPr>
          <w:noProof/>
        </w:rPr>
        <w:drawing>
          <wp:inline distT="0" distB="0" distL="0" distR="0" wp14:anchorId="12C58EE8" wp14:editId="2E5FB674">
            <wp:extent cx="5731510" cy="2277745"/>
            <wp:effectExtent l="0" t="0" r="2540" b="8255"/>
            <wp:docPr id="24" name="Picture 2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731510" cy="2277745"/>
                    </a:xfrm>
                    <a:prstGeom prst="rect">
                      <a:avLst/>
                    </a:prstGeom>
                  </pic:spPr>
                </pic:pic>
              </a:graphicData>
            </a:graphic>
          </wp:inline>
        </w:drawing>
      </w:r>
    </w:p>
    <w:p w14:paraId="78C73CEF" w14:textId="6DA7372F" w:rsidR="00AC10AC" w:rsidRDefault="00AC10AC" w:rsidP="00363F63">
      <w:pPr>
        <w:rPr>
          <w:lang w:val="en-GB"/>
        </w:rPr>
      </w:pPr>
    </w:p>
    <w:p w14:paraId="6A613276" w14:textId="77777777" w:rsidR="00363F63" w:rsidRDefault="00363F63" w:rsidP="00363F63">
      <w:pPr>
        <w:rPr>
          <w:lang w:val="en-GB"/>
        </w:rPr>
      </w:pPr>
    </w:p>
    <w:tbl>
      <w:tblPr>
        <w:tblStyle w:val="TableGridLight"/>
        <w:tblW w:w="8126" w:type="dxa"/>
        <w:jc w:val="center"/>
        <w:tblLook w:val="04A0" w:firstRow="1" w:lastRow="0" w:firstColumn="1" w:lastColumn="0" w:noHBand="0" w:noVBand="1"/>
      </w:tblPr>
      <w:tblGrid>
        <w:gridCol w:w="1388"/>
        <w:gridCol w:w="1118"/>
        <w:gridCol w:w="1118"/>
        <w:gridCol w:w="1118"/>
        <w:gridCol w:w="1118"/>
        <w:gridCol w:w="1118"/>
        <w:gridCol w:w="1148"/>
      </w:tblGrid>
      <w:tr w:rsidR="00184DB9" w:rsidRPr="00184DB9" w14:paraId="2649E3EE" w14:textId="77777777" w:rsidTr="00184DB9">
        <w:trPr>
          <w:trHeight w:val="288"/>
          <w:jc w:val="center"/>
        </w:trPr>
        <w:tc>
          <w:tcPr>
            <w:tcW w:w="1388" w:type="dxa"/>
            <w:noWrap/>
            <w:hideMark/>
          </w:tcPr>
          <w:p w14:paraId="5E3217F4"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Date</w:t>
            </w:r>
          </w:p>
        </w:tc>
        <w:tc>
          <w:tcPr>
            <w:tcW w:w="1118" w:type="dxa"/>
            <w:noWrap/>
            <w:hideMark/>
          </w:tcPr>
          <w:p w14:paraId="42CDCF1C" w14:textId="77777777" w:rsidR="00184DB9" w:rsidRPr="00184DB9" w:rsidRDefault="00184DB9" w:rsidP="00184DB9">
            <w:pPr>
              <w:jc w:val="center"/>
              <w:rPr>
                <w:rFonts w:ascii="Calibri" w:eastAsia="Times New Roman" w:hAnsi="Calibri" w:cs="Calibri"/>
                <w:color w:val="000000"/>
              </w:rPr>
            </w:pPr>
            <w:proofErr w:type="spellStart"/>
            <w:r w:rsidRPr="00184DB9">
              <w:rPr>
                <w:rFonts w:ascii="Calibri" w:eastAsia="Times New Roman" w:hAnsi="Calibri" w:cs="Calibri"/>
                <w:color w:val="000000"/>
              </w:rPr>
              <w:t>ln_ret</w:t>
            </w:r>
            <w:proofErr w:type="spellEnd"/>
          </w:p>
        </w:tc>
        <w:tc>
          <w:tcPr>
            <w:tcW w:w="1118" w:type="dxa"/>
            <w:noWrap/>
            <w:hideMark/>
          </w:tcPr>
          <w:p w14:paraId="6C8F30B2"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ER</w:t>
            </w:r>
          </w:p>
        </w:tc>
        <w:tc>
          <w:tcPr>
            <w:tcW w:w="1118" w:type="dxa"/>
            <w:noWrap/>
            <w:hideMark/>
          </w:tcPr>
          <w:p w14:paraId="4C4C2076"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AR</w:t>
            </w:r>
          </w:p>
        </w:tc>
        <w:tc>
          <w:tcPr>
            <w:tcW w:w="1118" w:type="dxa"/>
            <w:noWrap/>
            <w:hideMark/>
          </w:tcPr>
          <w:p w14:paraId="1F863C31"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AR Beta</w:t>
            </w:r>
          </w:p>
        </w:tc>
        <w:tc>
          <w:tcPr>
            <w:tcW w:w="1118" w:type="dxa"/>
            <w:noWrap/>
            <w:hideMark/>
          </w:tcPr>
          <w:p w14:paraId="7BBFD7CC"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CAR</w:t>
            </w:r>
          </w:p>
        </w:tc>
        <w:tc>
          <w:tcPr>
            <w:tcW w:w="1148" w:type="dxa"/>
            <w:noWrap/>
            <w:hideMark/>
          </w:tcPr>
          <w:p w14:paraId="09C6AF90"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CAR Beta</w:t>
            </w:r>
          </w:p>
        </w:tc>
      </w:tr>
      <w:tr w:rsidR="00184DB9" w:rsidRPr="00184DB9" w14:paraId="2C46DD78" w14:textId="77777777" w:rsidTr="00184DB9">
        <w:trPr>
          <w:trHeight w:val="288"/>
          <w:jc w:val="center"/>
        </w:trPr>
        <w:tc>
          <w:tcPr>
            <w:tcW w:w="1388" w:type="dxa"/>
            <w:noWrap/>
            <w:hideMark/>
          </w:tcPr>
          <w:p w14:paraId="7BB9F946"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13/08/2019</w:t>
            </w:r>
          </w:p>
        </w:tc>
        <w:tc>
          <w:tcPr>
            <w:tcW w:w="1118" w:type="dxa"/>
            <w:noWrap/>
            <w:hideMark/>
          </w:tcPr>
          <w:p w14:paraId="289CEE23"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-0.01303</w:t>
            </w:r>
          </w:p>
        </w:tc>
        <w:tc>
          <w:tcPr>
            <w:tcW w:w="1118" w:type="dxa"/>
            <w:noWrap/>
            <w:hideMark/>
          </w:tcPr>
          <w:p w14:paraId="27688A5C"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-0.0107</w:t>
            </w:r>
          </w:p>
        </w:tc>
        <w:tc>
          <w:tcPr>
            <w:tcW w:w="1118" w:type="dxa"/>
            <w:noWrap/>
            <w:hideMark/>
          </w:tcPr>
          <w:p w14:paraId="7090B67F"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-0.00233</w:t>
            </w:r>
          </w:p>
        </w:tc>
        <w:tc>
          <w:tcPr>
            <w:tcW w:w="1118" w:type="dxa"/>
            <w:noWrap/>
            <w:hideMark/>
          </w:tcPr>
          <w:p w14:paraId="7AB6267C"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-0.14833</w:t>
            </w:r>
          </w:p>
        </w:tc>
        <w:tc>
          <w:tcPr>
            <w:tcW w:w="1118" w:type="dxa"/>
            <w:noWrap/>
            <w:hideMark/>
          </w:tcPr>
          <w:p w14:paraId="38EF6918"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-0.00233</w:t>
            </w:r>
          </w:p>
        </w:tc>
        <w:tc>
          <w:tcPr>
            <w:tcW w:w="1148" w:type="dxa"/>
            <w:noWrap/>
            <w:hideMark/>
          </w:tcPr>
          <w:p w14:paraId="539F95E9"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-0.07416</w:t>
            </w:r>
          </w:p>
        </w:tc>
      </w:tr>
      <w:tr w:rsidR="00184DB9" w:rsidRPr="00184DB9" w14:paraId="3C2A8269" w14:textId="77777777" w:rsidTr="00184DB9">
        <w:trPr>
          <w:trHeight w:val="288"/>
          <w:jc w:val="center"/>
        </w:trPr>
        <w:tc>
          <w:tcPr>
            <w:tcW w:w="1388" w:type="dxa"/>
            <w:noWrap/>
            <w:hideMark/>
          </w:tcPr>
          <w:p w14:paraId="35AB058F"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14/08/2019</w:t>
            </w:r>
          </w:p>
        </w:tc>
        <w:tc>
          <w:tcPr>
            <w:tcW w:w="1118" w:type="dxa"/>
            <w:noWrap/>
            <w:hideMark/>
          </w:tcPr>
          <w:p w14:paraId="7D0104EE"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-0.02941</w:t>
            </w:r>
          </w:p>
        </w:tc>
        <w:tc>
          <w:tcPr>
            <w:tcW w:w="1118" w:type="dxa"/>
            <w:noWrap/>
            <w:hideMark/>
          </w:tcPr>
          <w:p w14:paraId="2B271154"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0.00972</w:t>
            </w:r>
          </w:p>
        </w:tc>
        <w:tc>
          <w:tcPr>
            <w:tcW w:w="1118" w:type="dxa"/>
            <w:noWrap/>
            <w:hideMark/>
          </w:tcPr>
          <w:p w14:paraId="14D08887"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-0.03913</w:t>
            </w:r>
          </w:p>
        </w:tc>
        <w:tc>
          <w:tcPr>
            <w:tcW w:w="1118" w:type="dxa"/>
            <w:noWrap/>
            <w:hideMark/>
          </w:tcPr>
          <w:p w14:paraId="1F1261AF"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-2.48955</w:t>
            </w:r>
          </w:p>
        </w:tc>
        <w:tc>
          <w:tcPr>
            <w:tcW w:w="1118" w:type="dxa"/>
            <w:noWrap/>
            <w:hideMark/>
          </w:tcPr>
          <w:p w14:paraId="1F3A4AB9"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-0.04146</w:t>
            </w:r>
          </w:p>
        </w:tc>
        <w:tc>
          <w:tcPr>
            <w:tcW w:w="1148" w:type="dxa"/>
            <w:noWrap/>
            <w:hideMark/>
          </w:tcPr>
          <w:p w14:paraId="1A514E03"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-1.31894</w:t>
            </w:r>
          </w:p>
        </w:tc>
      </w:tr>
      <w:tr w:rsidR="00184DB9" w:rsidRPr="00184DB9" w14:paraId="679477D8" w14:textId="77777777" w:rsidTr="00184DB9">
        <w:trPr>
          <w:trHeight w:val="288"/>
          <w:jc w:val="center"/>
        </w:trPr>
        <w:tc>
          <w:tcPr>
            <w:tcW w:w="1388" w:type="dxa"/>
            <w:noWrap/>
            <w:hideMark/>
          </w:tcPr>
          <w:p w14:paraId="45D9CE43"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15/08/2019</w:t>
            </w:r>
          </w:p>
        </w:tc>
        <w:tc>
          <w:tcPr>
            <w:tcW w:w="1118" w:type="dxa"/>
            <w:noWrap/>
            <w:hideMark/>
          </w:tcPr>
          <w:p w14:paraId="4FCAAB31"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-0.01577</w:t>
            </w:r>
          </w:p>
        </w:tc>
        <w:tc>
          <w:tcPr>
            <w:tcW w:w="1118" w:type="dxa"/>
            <w:noWrap/>
            <w:hideMark/>
          </w:tcPr>
          <w:p w14:paraId="2D166240"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-0.01509</w:t>
            </w:r>
          </w:p>
        </w:tc>
        <w:tc>
          <w:tcPr>
            <w:tcW w:w="1118" w:type="dxa"/>
            <w:noWrap/>
            <w:hideMark/>
          </w:tcPr>
          <w:p w14:paraId="4EC3F6DC"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-0.00068</w:t>
            </w:r>
          </w:p>
        </w:tc>
        <w:tc>
          <w:tcPr>
            <w:tcW w:w="1118" w:type="dxa"/>
            <w:noWrap/>
            <w:hideMark/>
          </w:tcPr>
          <w:p w14:paraId="4EE225F2"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-0.04347</w:t>
            </w:r>
          </w:p>
        </w:tc>
        <w:tc>
          <w:tcPr>
            <w:tcW w:w="1118" w:type="dxa"/>
            <w:noWrap/>
            <w:hideMark/>
          </w:tcPr>
          <w:p w14:paraId="54D68E74"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-0.04214</w:t>
            </w:r>
          </w:p>
        </w:tc>
        <w:tc>
          <w:tcPr>
            <w:tcW w:w="1148" w:type="dxa"/>
            <w:noWrap/>
            <w:hideMark/>
          </w:tcPr>
          <w:p w14:paraId="4623D44D"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-1.34067</w:t>
            </w:r>
          </w:p>
        </w:tc>
      </w:tr>
      <w:tr w:rsidR="00184DB9" w:rsidRPr="00184DB9" w14:paraId="7C3155B5" w14:textId="77777777" w:rsidTr="00184DB9">
        <w:trPr>
          <w:trHeight w:val="288"/>
          <w:jc w:val="center"/>
        </w:trPr>
        <w:tc>
          <w:tcPr>
            <w:tcW w:w="1388" w:type="dxa"/>
            <w:noWrap/>
            <w:hideMark/>
          </w:tcPr>
          <w:p w14:paraId="45C68C8F"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16/08/2019</w:t>
            </w:r>
          </w:p>
        </w:tc>
        <w:tc>
          <w:tcPr>
            <w:tcW w:w="1118" w:type="dxa"/>
            <w:noWrap/>
            <w:hideMark/>
          </w:tcPr>
          <w:p w14:paraId="6D0B23C9"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0.01264</w:t>
            </w:r>
          </w:p>
        </w:tc>
        <w:tc>
          <w:tcPr>
            <w:tcW w:w="1118" w:type="dxa"/>
            <w:noWrap/>
            <w:hideMark/>
          </w:tcPr>
          <w:p w14:paraId="5F68CE0E"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0.01601</w:t>
            </w:r>
          </w:p>
        </w:tc>
        <w:tc>
          <w:tcPr>
            <w:tcW w:w="1118" w:type="dxa"/>
            <w:noWrap/>
            <w:hideMark/>
          </w:tcPr>
          <w:p w14:paraId="52B5C8A0"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-0.00337</w:t>
            </w:r>
          </w:p>
        </w:tc>
        <w:tc>
          <w:tcPr>
            <w:tcW w:w="1118" w:type="dxa"/>
            <w:noWrap/>
            <w:hideMark/>
          </w:tcPr>
          <w:p w14:paraId="22DE7E4A"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-0.21452</w:t>
            </w:r>
          </w:p>
        </w:tc>
        <w:tc>
          <w:tcPr>
            <w:tcW w:w="1118" w:type="dxa"/>
            <w:noWrap/>
            <w:hideMark/>
          </w:tcPr>
          <w:p w14:paraId="4C9FA065"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-0.04552</w:t>
            </w:r>
          </w:p>
        </w:tc>
        <w:tc>
          <w:tcPr>
            <w:tcW w:w="1148" w:type="dxa"/>
            <w:noWrap/>
            <w:hideMark/>
          </w:tcPr>
          <w:p w14:paraId="22D90F6C"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-1.44794</w:t>
            </w:r>
          </w:p>
        </w:tc>
      </w:tr>
    </w:tbl>
    <w:p w14:paraId="49500231" w14:textId="2C4260CB" w:rsidR="00CB51C3" w:rsidRDefault="00CB51C3" w:rsidP="0061765A">
      <w:pPr>
        <w:jc w:val="center"/>
        <w:rPr>
          <w:lang w:val="en-GB"/>
        </w:rPr>
      </w:pPr>
    </w:p>
    <w:tbl>
      <w:tblPr>
        <w:tblStyle w:val="TableGridLight"/>
        <w:tblW w:w="8126" w:type="dxa"/>
        <w:jc w:val="center"/>
        <w:tblLook w:val="04A0" w:firstRow="1" w:lastRow="0" w:firstColumn="1" w:lastColumn="0" w:noHBand="0" w:noVBand="1"/>
      </w:tblPr>
      <w:tblGrid>
        <w:gridCol w:w="1388"/>
        <w:gridCol w:w="1118"/>
        <w:gridCol w:w="1118"/>
        <w:gridCol w:w="1118"/>
        <w:gridCol w:w="1118"/>
        <w:gridCol w:w="1118"/>
        <w:gridCol w:w="1148"/>
      </w:tblGrid>
      <w:tr w:rsidR="00184DB9" w:rsidRPr="00184DB9" w14:paraId="3E47C2B9" w14:textId="77777777" w:rsidTr="00184DB9">
        <w:trPr>
          <w:trHeight w:val="288"/>
          <w:jc w:val="center"/>
        </w:trPr>
        <w:tc>
          <w:tcPr>
            <w:tcW w:w="1388" w:type="dxa"/>
            <w:noWrap/>
            <w:hideMark/>
          </w:tcPr>
          <w:p w14:paraId="642E78F2"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Date</w:t>
            </w:r>
          </w:p>
        </w:tc>
        <w:tc>
          <w:tcPr>
            <w:tcW w:w="1118" w:type="dxa"/>
            <w:noWrap/>
            <w:hideMark/>
          </w:tcPr>
          <w:p w14:paraId="65E2CA6E" w14:textId="77777777" w:rsidR="00184DB9" w:rsidRPr="00184DB9" w:rsidRDefault="00184DB9" w:rsidP="00184DB9">
            <w:pPr>
              <w:jc w:val="center"/>
              <w:rPr>
                <w:rFonts w:ascii="Calibri" w:eastAsia="Times New Roman" w:hAnsi="Calibri" w:cs="Calibri"/>
                <w:color w:val="000000"/>
              </w:rPr>
            </w:pPr>
            <w:proofErr w:type="spellStart"/>
            <w:r w:rsidRPr="00184DB9">
              <w:rPr>
                <w:rFonts w:ascii="Calibri" w:eastAsia="Times New Roman" w:hAnsi="Calibri" w:cs="Calibri"/>
                <w:color w:val="000000"/>
              </w:rPr>
              <w:t>ln_ret</w:t>
            </w:r>
            <w:proofErr w:type="spellEnd"/>
          </w:p>
        </w:tc>
        <w:tc>
          <w:tcPr>
            <w:tcW w:w="1118" w:type="dxa"/>
            <w:noWrap/>
            <w:hideMark/>
          </w:tcPr>
          <w:p w14:paraId="487CDB17"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ER</w:t>
            </w:r>
          </w:p>
        </w:tc>
        <w:tc>
          <w:tcPr>
            <w:tcW w:w="1118" w:type="dxa"/>
            <w:noWrap/>
            <w:hideMark/>
          </w:tcPr>
          <w:p w14:paraId="78EDE83B"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AR</w:t>
            </w:r>
          </w:p>
        </w:tc>
        <w:tc>
          <w:tcPr>
            <w:tcW w:w="1118" w:type="dxa"/>
            <w:noWrap/>
            <w:hideMark/>
          </w:tcPr>
          <w:p w14:paraId="59F30855"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AR Beta</w:t>
            </w:r>
          </w:p>
        </w:tc>
        <w:tc>
          <w:tcPr>
            <w:tcW w:w="1118" w:type="dxa"/>
            <w:noWrap/>
            <w:hideMark/>
          </w:tcPr>
          <w:p w14:paraId="5B938A1B"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CAR</w:t>
            </w:r>
          </w:p>
        </w:tc>
        <w:tc>
          <w:tcPr>
            <w:tcW w:w="1148" w:type="dxa"/>
            <w:noWrap/>
            <w:hideMark/>
          </w:tcPr>
          <w:p w14:paraId="462616DC"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CAR Beta</w:t>
            </w:r>
          </w:p>
        </w:tc>
      </w:tr>
      <w:tr w:rsidR="00184DB9" w:rsidRPr="00184DB9" w14:paraId="7927C53C" w14:textId="77777777" w:rsidTr="00184DB9">
        <w:trPr>
          <w:trHeight w:val="288"/>
          <w:jc w:val="center"/>
        </w:trPr>
        <w:tc>
          <w:tcPr>
            <w:tcW w:w="1388" w:type="dxa"/>
            <w:noWrap/>
            <w:hideMark/>
          </w:tcPr>
          <w:p w14:paraId="62061403"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31/08/2018</w:t>
            </w:r>
          </w:p>
        </w:tc>
        <w:tc>
          <w:tcPr>
            <w:tcW w:w="1118" w:type="dxa"/>
            <w:noWrap/>
            <w:hideMark/>
          </w:tcPr>
          <w:p w14:paraId="1E3AAB02"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0.00235</w:t>
            </w:r>
          </w:p>
        </w:tc>
        <w:tc>
          <w:tcPr>
            <w:tcW w:w="1118" w:type="dxa"/>
            <w:noWrap/>
            <w:hideMark/>
          </w:tcPr>
          <w:p w14:paraId="4BBF1F21"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-0.00299</w:t>
            </w:r>
          </w:p>
        </w:tc>
        <w:tc>
          <w:tcPr>
            <w:tcW w:w="1118" w:type="dxa"/>
            <w:noWrap/>
            <w:hideMark/>
          </w:tcPr>
          <w:p w14:paraId="7E19FFB0"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0.00534</w:t>
            </w:r>
          </w:p>
        </w:tc>
        <w:tc>
          <w:tcPr>
            <w:tcW w:w="1118" w:type="dxa"/>
            <w:noWrap/>
            <w:hideMark/>
          </w:tcPr>
          <w:p w14:paraId="467306D0"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0.33958</w:t>
            </w:r>
          </w:p>
        </w:tc>
        <w:tc>
          <w:tcPr>
            <w:tcW w:w="1118" w:type="dxa"/>
            <w:noWrap/>
            <w:hideMark/>
          </w:tcPr>
          <w:p w14:paraId="45D9276A"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0.00534</w:t>
            </w:r>
          </w:p>
        </w:tc>
        <w:tc>
          <w:tcPr>
            <w:tcW w:w="1148" w:type="dxa"/>
            <w:noWrap/>
            <w:hideMark/>
          </w:tcPr>
          <w:p w14:paraId="36C9DCC8"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0.16979</w:t>
            </w:r>
          </w:p>
        </w:tc>
      </w:tr>
      <w:tr w:rsidR="00184DB9" w:rsidRPr="00184DB9" w14:paraId="54948419" w14:textId="77777777" w:rsidTr="00184DB9">
        <w:trPr>
          <w:trHeight w:val="288"/>
          <w:jc w:val="center"/>
        </w:trPr>
        <w:tc>
          <w:tcPr>
            <w:tcW w:w="1388" w:type="dxa"/>
            <w:noWrap/>
            <w:hideMark/>
          </w:tcPr>
          <w:p w14:paraId="05C6942C"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04/09/2018</w:t>
            </w:r>
          </w:p>
        </w:tc>
        <w:tc>
          <w:tcPr>
            <w:tcW w:w="1118" w:type="dxa"/>
            <w:noWrap/>
            <w:hideMark/>
          </w:tcPr>
          <w:p w14:paraId="2E2F1BC0"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-0.02646</w:t>
            </w:r>
          </w:p>
        </w:tc>
        <w:tc>
          <w:tcPr>
            <w:tcW w:w="1118" w:type="dxa"/>
            <w:noWrap/>
            <w:hideMark/>
          </w:tcPr>
          <w:p w14:paraId="60485E54"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-0.00619</w:t>
            </w:r>
          </w:p>
        </w:tc>
        <w:tc>
          <w:tcPr>
            <w:tcW w:w="1118" w:type="dxa"/>
            <w:noWrap/>
            <w:hideMark/>
          </w:tcPr>
          <w:p w14:paraId="5357A497"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-0.02027</w:t>
            </w:r>
          </w:p>
        </w:tc>
        <w:tc>
          <w:tcPr>
            <w:tcW w:w="1118" w:type="dxa"/>
            <w:noWrap/>
            <w:hideMark/>
          </w:tcPr>
          <w:p w14:paraId="64521A28"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-1.28997</w:t>
            </w:r>
          </w:p>
        </w:tc>
        <w:tc>
          <w:tcPr>
            <w:tcW w:w="1118" w:type="dxa"/>
            <w:noWrap/>
            <w:hideMark/>
          </w:tcPr>
          <w:p w14:paraId="3CC2608D"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-0.01494</w:t>
            </w:r>
          </w:p>
        </w:tc>
        <w:tc>
          <w:tcPr>
            <w:tcW w:w="1148" w:type="dxa"/>
            <w:noWrap/>
            <w:hideMark/>
          </w:tcPr>
          <w:p w14:paraId="07FEC9E8"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-0.4752</w:t>
            </w:r>
          </w:p>
        </w:tc>
      </w:tr>
      <w:tr w:rsidR="00184DB9" w:rsidRPr="00184DB9" w14:paraId="26F7714E" w14:textId="77777777" w:rsidTr="00184DB9">
        <w:trPr>
          <w:trHeight w:val="288"/>
          <w:jc w:val="center"/>
        </w:trPr>
        <w:tc>
          <w:tcPr>
            <w:tcW w:w="1388" w:type="dxa"/>
            <w:noWrap/>
            <w:hideMark/>
          </w:tcPr>
          <w:p w14:paraId="609CA379"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lastRenderedPageBreak/>
              <w:t>05/09/2018</w:t>
            </w:r>
          </w:p>
        </w:tc>
        <w:tc>
          <w:tcPr>
            <w:tcW w:w="1118" w:type="dxa"/>
            <w:noWrap/>
            <w:hideMark/>
          </w:tcPr>
          <w:p w14:paraId="7438447A"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-0.03712</w:t>
            </w:r>
          </w:p>
        </w:tc>
        <w:tc>
          <w:tcPr>
            <w:tcW w:w="1118" w:type="dxa"/>
            <w:noWrap/>
            <w:hideMark/>
          </w:tcPr>
          <w:p w14:paraId="2DA7EF43"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-0.00012</w:t>
            </w:r>
          </w:p>
        </w:tc>
        <w:tc>
          <w:tcPr>
            <w:tcW w:w="1118" w:type="dxa"/>
            <w:noWrap/>
            <w:hideMark/>
          </w:tcPr>
          <w:p w14:paraId="1E92A965"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-0.037</w:t>
            </w:r>
          </w:p>
        </w:tc>
        <w:tc>
          <w:tcPr>
            <w:tcW w:w="1118" w:type="dxa"/>
            <w:noWrap/>
            <w:hideMark/>
          </w:tcPr>
          <w:p w14:paraId="7B79492D"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-2.35411</w:t>
            </w:r>
          </w:p>
        </w:tc>
        <w:tc>
          <w:tcPr>
            <w:tcW w:w="1118" w:type="dxa"/>
            <w:noWrap/>
            <w:hideMark/>
          </w:tcPr>
          <w:p w14:paraId="76F93A1B"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-0.05194</w:t>
            </w:r>
          </w:p>
        </w:tc>
        <w:tc>
          <w:tcPr>
            <w:tcW w:w="1148" w:type="dxa"/>
            <w:noWrap/>
            <w:hideMark/>
          </w:tcPr>
          <w:p w14:paraId="52371A44"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-1.65225</w:t>
            </w:r>
          </w:p>
        </w:tc>
      </w:tr>
      <w:tr w:rsidR="00184DB9" w:rsidRPr="00184DB9" w14:paraId="6637E451" w14:textId="77777777" w:rsidTr="00184DB9">
        <w:trPr>
          <w:trHeight w:val="288"/>
          <w:jc w:val="center"/>
        </w:trPr>
        <w:tc>
          <w:tcPr>
            <w:tcW w:w="1388" w:type="dxa"/>
            <w:noWrap/>
            <w:hideMark/>
          </w:tcPr>
          <w:p w14:paraId="7DC28590"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06/09/2018</w:t>
            </w:r>
          </w:p>
        </w:tc>
        <w:tc>
          <w:tcPr>
            <w:tcW w:w="1118" w:type="dxa"/>
            <w:noWrap/>
            <w:hideMark/>
          </w:tcPr>
          <w:p w14:paraId="2A8AE96A"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-0.02691</w:t>
            </w:r>
          </w:p>
        </w:tc>
        <w:tc>
          <w:tcPr>
            <w:tcW w:w="1118" w:type="dxa"/>
            <w:noWrap/>
            <w:hideMark/>
          </w:tcPr>
          <w:p w14:paraId="2E2943FA"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-0.00389</w:t>
            </w:r>
          </w:p>
        </w:tc>
        <w:tc>
          <w:tcPr>
            <w:tcW w:w="1118" w:type="dxa"/>
            <w:noWrap/>
            <w:hideMark/>
          </w:tcPr>
          <w:p w14:paraId="002197B4"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-0.02302</w:t>
            </w:r>
          </w:p>
        </w:tc>
        <w:tc>
          <w:tcPr>
            <w:tcW w:w="1118" w:type="dxa"/>
            <w:noWrap/>
            <w:hideMark/>
          </w:tcPr>
          <w:p w14:paraId="23C58B9D"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-1.46454</w:t>
            </w:r>
          </w:p>
        </w:tc>
        <w:tc>
          <w:tcPr>
            <w:tcW w:w="1118" w:type="dxa"/>
            <w:noWrap/>
            <w:hideMark/>
          </w:tcPr>
          <w:p w14:paraId="6C89DADA"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-0.07496</w:t>
            </w:r>
          </w:p>
        </w:tc>
        <w:tc>
          <w:tcPr>
            <w:tcW w:w="1148" w:type="dxa"/>
            <w:noWrap/>
            <w:hideMark/>
          </w:tcPr>
          <w:p w14:paraId="7F9DDD18" w14:textId="77777777" w:rsidR="00184DB9" w:rsidRPr="00184DB9" w:rsidRDefault="00184DB9" w:rsidP="00184DB9">
            <w:pPr>
              <w:jc w:val="center"/>
              <w:rPr>
                <w:rFonts w:ascii="Calibri" w:eastAsia="Times New Roman" w:hAnsi="Calibri" w:cs="Calibri"/>
                <w:color w:val="000000"/>
              </w:rPr>
            </w:pPr>
            <w:r w:rsidRPr="00184DB9">
              <w:rPr>
                <w:rFonts w:ascii="Calibri" w:eastAsia="Times New Roman" w:hAnsi="Calibri" w:cs="Calibri"/>
                <w:color w:val="000000"/>
              </w:rPr>
              <w:t>-2.38452</w:t>
            </w:r>
          </w:p>
        </w:tc>
      </w:tr>
    </w:tbl>
    <w:p w14:paraId="76864C6B" w14:textId="77777777" w:rsidR="00CB51C3" w:rsidRDefault="00CB51C3" w:rsidP="00184DB9">
      <w:pPr>
        <w:rPr>
          <w:lang w:val="en-GB"/>
        </w:rPr>
      </w:pPr>
    </w:p>
    <w:tbl>
      <w:tblPr>
        <w:tblStyle w:val="TableGridLight"/>
        <w:tblW w:w="8126" w:type="dxa"/>
        <w:jc w:val="center"/>
        <w:tblLook w:val="04A0" w:firstRow="1" w:lastRow="0" w:firstColumn="1" w:lastColumn="0" w:noHBand="0" w:noVBand="1"/>
      </w:tblPr>
      <w:tblGrid>
        <w:gridCol w:w="1388"/>
        <w:gridCol w:w="1118"/>
        <w:gridCol w:w="1118"/>
        <w:gridCol w:w="1118"/>
        <w:gridCol w:w="1118"/>
        <w:gridCol w:w="1118"/>
        <w:gridCol w:w="1148"/>
      </w:tblGrid>
      <w:tr w:rsidR="00D40770" w:rsidRPr="00D40770" w14:paraId="40352FEF" w14:textId="77777777" w:rsidTr="00184DB9">
        <w:trPr>
          <w:trHeight w:val="288"/>
          <w:jc w:val="center"/>
        </w:trPr>
        <w:tc>
          <w:tcPr>
            <w:tcW w:w="1388" w:type="dxa"/>
            <w:noWrap/>
            <w:hideMark/>
          </w:tcPr>
          <w:p w14:paraId="72AED5DB"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Date</w:t>
            </w:r>
          </w:p>
        </w:tc>
        <w:tc>
          <w:tcPr>
            <w:tcW w:w="1118" w:type="dxa"/>
            <w:noWrap/>
            <w:hideMark/>
          </w:tcPr>
          <w:p w14:paraId="384F3130" w14:textId="77777777" w:rsidR="00D40770" w:rsidRPr="00D40770" w:rsidRDefault="00D40770" w:rsidP="00D40770">
            <w:pPr>
              <w:jc w:val="center"/>
              <w:rPr>
                <w:rFonts w:ascii="Calibri" w:eastAsia="Times New Roman" w:hAnsi="Calibri" w:cs="Calibri"/>
                <w:color w:val="000000"/>
              </w:rPr>
            </w:pPr>
            <w:proofErr w:type="spellStart"/>
            <w:r w:rsidRPr="00D40770">
              <w:rPr>
                <w:rFonts w:ascii="Calibri" w:eastAsia="Times New Roman" w:hAnsi="Calibri" w:cs="Calibri"/>
                <w:color w:val="000000"/>
              </w:rPr>
              <w:t>ln_ret</w:t>
            </w:r>
            <w:proofErr w:type="spellEnd"/>
          </w:p>
        </w:tc>
        <w:tc>
          <w:tcPr>
            <w:tcW w:w="1118" w:type="dxa"/>
            <w:noWrap/>
            <w:hideMark/>
          </w:tcPr>
          <w:p w14:paraId="511ED760"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ER</w:t>
            </w:r>
          </w:p>
        </w:tc>
        <w:tc>
          <w:tcPr>
            <w:tcW w:w="1118" w:type="dxa"/>
            <w:noWrap/>
            <w:hideMark/>
          </w:tcPr>
          <w:p w14:paraId="27396F05"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AR</w:t>
            </w:r>
          </w:p>
        </w:tc>
        <w:tc>
          <w:tcPr>
            <w:tcW w:w="1118" w:type="dxa"/>
            <w:noWrap/>
            <w:hideMark/>
          </w:tcPr>
          <w:p w14:paraId="6164D0EE"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AR Beta</w:t>
            </w:r>
          </w:p>
        </w:tc>
        <w:tc>
          <w:tcPr>
            <w:tcW w:w="1118" w:type="dxa"/>
            <w:noWrap/>
            <w:hideMark/>
          </w:tcPr>
          <w:p w14:paraId="73B02A8D"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CAR</w:t>
            </w:r>
          </w:p>
        </w:tc>
        <w:tc>
          <w:tcPr>
            <w:tcW w:w="1148" w:type="dxa"/>
            <w:noWrap/>
            <w:hideMark/>
          </w:tcPr>
          <w:p w14:paraId="485D593C"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CAR Beta</w:t>
            </w:r>
          </w:p>
        </w:tc>
      </w:tr>
      <w:tr w:rsidR="00D40770" w:rsidRPr="00D40770" w14:paraId="1EC7DE0B" w14:textId="77777777" w:rsidTr="00184DB9">
        <w:trPr>
          <w:trHeight w:val="288"/>
          <w:jc w:val="center"/>
        </w:trPr>
        <w:tc>
          <w:tcPr>
            <w:tcW w:w="1388" w:type="dxa"/>
            <w:noWrap/>
            <w:hideMark/>
          </w:tcPr>
          <w:p w14:paraId="537CB532"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07/09/2018</w:t>
            </w:r>
          </w:p>
        </w:tc>
        <w:tc>
          <w:tcPr>
            <w:tcW w:w="1118" w:type="dxa"/>
            <w:noWrap/>
            <w:hideMark/>
          </w:tcPr>
          <w:p w14:paraId="7240230A"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0.01552</w:t>
            </w:r>
          </w:p>
        </w:tc>
        <w:tc>
          <w:tcPr>
            <w:tcW w:w="1118" w:type="dxa"/>
            <w:noWrap/>
            <w:hideMark/>
          </w:tcPr>
          <w:p w14:paraId="218D3BB5"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-0.00365</w:t>
            </w:r>
          </w:p>
        </w:tc>
        <w:tc>
          <w:tcPr>
            <w:tcW w:w="1118" w:type="dxa"/>
            <w:noWrap/>
            <w:hideMark/>
          </w:tcPr>
          <w:p w14:paraId="42385902"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0.01917</w:t>
            </w:r>
          </w:p>
        </w:tc>
        <w:tc>
          <w:tcPr>
            <w:tcW w:w="1118" w:type="dxa"/>
            <w:noWrap/>
            <w:hideMark/>
          </w:tcPr>
          <w:p w14:paraId="06BB7BCB"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1.21948</w:t>
            </w:r>
          </w:p>
        </w:tc>
        <w:tc>
          <w:tcPr>
            <w:tcW w:w="1118" w:type="dxa"/>
            <w:noWrap/>
            <w:hideMark/>
          </w:tcPr>
          <w:p w14:paraId="6188DAF5"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0.01917</w:t>
            </w:r>
          </w:p>
        </w:tc>
        <w:tc>
          <w:tcPr>
            <w:tcW w:w="1148" w:type="dxa"/>
            <w:noWrap/>
            <w:hideMark/>
          </w:tcPr>
          <w:p w14:paraId="5A44DC64"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0.60974</w:t>
            </w:r>
          </w:p>
        </w:tc>
      </w:tr>
      <w:tr w:rsidR="00D40770" w:rsidRPr="00D40770" w14:paraId="417830AF" w14:textId="77777777" w:rsidTr="00184DB9">
        <w:trPr>
          <w:trHeight w:val="288"/>
          <w:jc w:val="center"/>
        </w:trPr>
        <w:tc>
          <w:tcPr>
            <w:tcW w:w="1388" w:type="dxa"/>
            <w:noWrap/>
            <w:hideMark/>
          </w:tcPr>
          <w:p w14:paraId="749E0D2E"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10/09/2018</w:t>
            </w:r>
          </w:p>
        </w:tc>
        <w:tc>
          <w:tcPr>
            <w:tcW w:w="1118" w:type="dxa"/>
            <w:noWrap/>
            <w:hideMark/>
          </w:tcPr>
          <w:p w14:paraId="6E6C9EF6"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-0.03772</w:t>
            </w:r>
          </w:p>
        </w:tc>
        <w:tc>
          <w:tcPr>
            <w:tcW w:w="1118" w:type="dxa"/>
            <w:noWrap/>
            <w:hideMark/>
          </w:tcPr>
          <w:p w14:paraId="581B29F1"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0.0024</w:t>
            </w:r>
          </w:p>
        </w:tc>
        <w:tc>
          <w:tcPr>
            <w:tcW w:w="1118" w:type="dxa"/>
            <w:noWrap/>
            <w:hideMark/>
          </w:tcPr>
          <w:p w14:paraId="2524F604"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-0.04012</w:t>
            </w:r>
          </w:p>
        </w:tc>
        <w:tc>
          <w:tcPr>
            <w:tcW w:w="1118" w:type="dxa"/>
            <w:noWrap/>
            <w:hideMark/>
          </w:tcPr>
          <w:p w14:paraId="15FECDC6"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-2.55254</w:t>
            </w:r>
          </w:p>
        </w:tc>
        <w:tc>
          <w:tcPr>
            <w:tcW w:w="1118" w:type="dxa"/>
            <w:noWrap/>
            <w:hideMark/>
          </w:tcPr>
          <w:p w14:paraId="6B28E1FE"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-0.02095</w:t>
            </w:r>
          </w:p>
        </w:tc>
        <w:tc>
          <w:tcPr>
            <w:tcW w:w="1148" w:type="dxa"/>
            <w:noWrap/>
            <w:hideMark/>
          </w:tcPr>
          <w:p w14:paraId="1A72CEE7"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-0.66653</w:t>
            </w:r>
          </w:p>
        </w:tc>
      </w:tr>
      <w:tr w:rsidR="00D40770" w:rsidRPr="00D40770" w14:paraId="35F511E0" w14:textId="77777777" w:rsidTr="00184DB9">
        <w:trPr>
          <w:trHeight w:val="288"/>
          <w:jc w:val="center"/>
        </w:trPr>
        <w:tc>
          <w:tcPr>
            <w:tcW w:w="1388" w:type="dxa"/>
            <w:noWrap/>
            <w:hideMark/>
          </w:tcPr>
          <w:p w14:paraId="3AF08F54"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11/09/2018</w:t>
            </w:r>
          </w:p>
        </w:tc>
        <w:tc>
          <w:tcPr>
            <w:tcW w:w="1118" w:type="dxa"/>
            <w:noWrap/>
            <w:hideMark/>
          </w:tcPr>
          <w:p w14:paraId="39B7569E"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0.00701</w:t>
            </w:r>
          </w:p>
        </w:tc>
        <w:tc>
          <w:tcPr>
            <w:tcW w:w="1118" w:type="dxa"/>
            <w:noWrap/>
            <w:hideMark/>
          </w:tcPr>
          <w:p w14:paraId="4982C1B7"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0.00321</w:t>
            </w:r>
          </w:p>
        </w:tc>
        <w:tc>
          <w:tcPr>
            <w:tcW w:w="1118" w:type="dxa"/>
            <w:noWrap/>
            <w:hideMark/>
          </w:tcPr>
          <w:p w14:paraId="384E6CE9"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0.0038</w:t>
            </w:r>
          </w:p>
        </w:tc>
        <w:tc>
          <w:tcPr>
            <w:tcW w:w="1118" w:type="dxa"/>
            <w:noWrap/>
            <w:hideMark/>
          </w:tcPr>
          <w:p w14:paraId="33B501E9"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0.24186</w:t>
            </w:r>
          </w:p>
        </w:tc>
        <w:tc>
          <w:tcPr>
            <w:tcW w:w="1118" w:type="dxa"/>
            <w:noWrap/>
            <w:hideMark/>
          </w:tcPr>
          <w:p w14:paraId="42170443"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-0.01715</w:t>
            </w:r>
          </w:p>
        </w:tc>
        <w:tc>
          <w:tcPr>
            <w:tcW w:w="1148" w:type="dxa"/>
            <w:noWrap/>
            <w:hideMark/>
          </w:tcPr>
          <w:p w14:paraId="080B5629"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-0.54561</w:t>
            </w:r>
          </w:p>
        </w:tc>
      </w:tr>
      <w:tr w:rsidR="00D40770" w:rsidRPr="00D40770" w14:paraId="3D9B7281" w14:textId="77777777" w:rsidTr="00184DB9">
        <w:trPr>
          <w:trHeight w:val="288"/>
          <w:jc w:val="center"/>
        </w:trPr>
        <w:tc>
          <w:tcPr>
            <w:tcW w:w="1388" w:type="dxa"/>
            <w:noWrap/>
            <w:hideMark/>
          </w:tcPr>
          <w:p w14:paraId="15BB93F2"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12/09/2018</w:t>
            </w:r>
          </w:p>
        </w:tc>
        <w:tc>
          <w:tcPr>
            <w:tcW w:w="1118" w:type="dxa"/>
            <w:noWrap/>
            <w:hideMark/>
          </w:tcPr>
          <w:p w14:paraId="58276F06"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0.02509</w:t>
            </w:r>
          </w:p>
        </w:tc>
        <w:tc>
          <w:tcPr>
            <w:tcW w:w="1118" w:type="dxa"/>
            <w:noWrap/>
            <w:hideMark/>
          </w:tcPr>
          <w:p w14:paraId="7BDB1749"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0.00509</w:t>
            </w:r>
          </w:p>
        </w:tc>
        <w:tc>
          <w:tcPr>
            <w:tcW w:w="1118" w:type="dxa"/>
            <w:noWrap/>
            <w:hideMark/>
          </w:tcPr>
          <w:p w14:paraId="1F19511E"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0.02</w:t>
            </w:r>
          </w:p>
        </w:tc>
        <w:tc>
          <w:tcPr>
            <w:tcW w:w="1118" w:type="dxa"/>
            <w:noWrap/>
            <w:hideMark/>
          </w:tcPr>
          <w:p w14:paraId="2949C0A5"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1.27247</w:t>
            </w:r>
          </w:p>
        </w:tc>
        <w:tc>
          <w:tcPr>
            <w:tcW w:w="1118" w:type="dxa"/>
            <w:noWrap/>
            <w:hideMark/>
          </w:tcPr>
          <w:p w14:paraId="0D703E21"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0.00285</w:t>
            </w:r>
          </w:p>
        </w:tc>
        <w:tc>
          <w:tcPr>
            <w:tcW w:w="1148" w:type="dxa"/>
            <w:noWrap/>
            <w:hideMark/>
          </w:tcPr>
          <w:p w14:paraId="260C36B5" w14:textId="77777777" w:rsidR="00D40770" w:rsidRPr="00D40770" w:rsidRDefault="00D40770" w:rsidP="00D40770">
            <w:pPr>
              <w:jc w:val="center"/>
              <w:rPr>
                <w:rFonts w:ascii="Calibri" w:eastAsia="Times New Roman" w:hAnsi="Calibri" w:cs="Calibri"/>
                <w:color w:val="000000"/>
              </w:rPr>
            </w:pPr>
            <w:r w:rsidRPr="00D40770">
              <w:rPr>
                <w:rFonts w:ascii="Calibri" w:eastAsia="Times New Roman" w:hAnsi="Calibri" w:cs="Calibri"/>
                <w:color w:val="000000"/>
              </w:rPr>
              <w:t>0.09063</w:t>
            </w:r>
          </w:p>
        </w:tc>
      </w:tr>
    </w:tbl>
    <w:p w14:paraId="62BFA932" w14:textId="1EFCC60A" w:rsidR="00080E08" w:rsidRDefault="00080E08" w:rsidP="00363F63">
      <w:pPr>
        <w:rPr>
          <w:lang w:val="en-GB"/>
        </w:rPr>
      </w:pPr>
    </w:p>
    <w:p w14:paraId="2478F9E0" w14:textId="73F7C85B" w:rsidR="00363F63" w:rsidRPr="00363F63" w:rsidRDefault="00363F63" w:rsidP="00363F63">
      <w:pPr>
        <w:rPr>
          <w:lang w:val="en-GB"/>
        </w:rPr>
      </w:pPr>
      <w:r w:rsidRPr="00363F63">
        <w:rPr>
          <w:lang w:val="en-GB"/>
        </w:rPr>
        <w:t xml:space="preserve">  Although most of the AR in the event windows are statistically significant, the AR and CAR of the second event is statistically significant. The AR of day 2 in the second event window was -0.3643 and the value of θ is -2.43829. The CAR is -0.07367 on the last day of the event window and the value of θ is -2.46519. This is possibly a result of both market inefficiency and the </w:t>
      </w:r>
      <w:proofErr w:type="spellStart"/>
      <w:r w:rsidRPr="00363F63">
        <w:rPr>
          <w:lang w:val="en-GB"/>
        </w:rPr>
        <w:t>spillover</w:t>
      </w:r>
      <w:proofErr w:type="spellEnd"/>
      <w:r w:rsidRPr="00363F63">
        <w:rPr>
          <w:lang w:val="en-GB"/>
        </w:rPr>
        <w:t xml:space="preserve"> effect of the policy change. This may be due to the market being inefficient and thus it took two days for the market to react. Meanwhile, the policy explained plans for limiting the use of electronics in general, which possibly lead to the </w:t>
      </w:r>
      <w:proofErr w:type="spellStart"/>
      <w:r w:rsidRPr="00363F63">
        <w:rPr>
          <w:lang w:val="en-GB"/>
        </w:rPr>
        <w:t>spillover</w:t>
      </w:r>
      <w:proofErr w:type="spellEnd"/>
      <w:r w:rsidRPr="00363F63">
        <w:rPr>
          <w:lang w:val="en-GB"/>
        </w:rPr>
        <w:t xml:space="preserve"> effect from the gaming sector to other tech sectors. Having said that, predominantly, the government interventions d</w:t>
      </w:r>
      <w:r w:rsidR="00283BFF">
        <w:rPr>
          <w:lang w:val="en-GB"/>
        </w:rPr>
        <w:t>id</w:t>
      </w:r>
      <w:r w:rsidRPr="00363F63">
        <w:rPr>
          <w:lang w:val="en-GB"/>
        </w:rPr>
        <w:t xml:space="preserve"> not have </w:t>
      </w:r>
      <w:r w:rsidR="00283BFF">
        <w:rPr>
          <w:lang w:val="en-GB"/>
        </w:rPr>
        <w:t>significant</w:t>
      </w:r>
      <w:r w:rsidRPr="00363F63">
        <w:rPr>
          <w:lang w:val="en-GB"/>
        </w:rPr>
        <w:t xml:space="preserve"> impact on the share price of Alibaba as the impact is centred in the Tencent and the gaming sector but other tech sectors.</w:t>
      </w:r>
    </w:p>
    <w:p w14:paraId="5016C7DD" w14:textId="44D272CC" w:rsidR="00363F63" w:rsidRDefault="00363F63" w:rsidP="00363F63">
      <w:pPr>
        <w:rPr>
          <w:lang w:val="en-GB"/>
        </w:rPr>
      </w:pPr>
    </w:p>
    <w:p w14:paraId="3577E7A5" w14:textId="4B80E447" w:rsidR="009C1B53" w:rsidRDefault="009C1B53" w:rsidP="00363F63">
      <w:pPr>
        <w:rPr>
          <w:lang w:val="en-GB"/>
        </w:rPr>
      </w:pPr>
    </w:p>
    <w:p w14:paraId="33910669" w14:textId="03CE3C34" w:rsidR="009C1B53" w:rsidRDefault="00772AD5" w:rsidP="00363F63">
      <w:pPr>
        <w:rPr>
          <w:lang w:val="en-GB"/>
        </w:rPr>
      </w:pPr>
      <w:r>
        <w:rPr>
          <w:noProof/>
          <w:lang w:val="en-GB"/>
        </w:rPr>
        <w:drawing>
          <wp:anchor distT="0" distB="0" distL="114300" distR="114300" simplePos="0" relativeHeight="251694080" behindDoc="0" locked="0" layoutInCell="1" allowOverlap="1" wp14:anchorId="51A49740" wp14:editId="19E85529">
            <wp:simplePos x="0" y="0"/>
            <wp:positionH relativeFrom="margin">
              <wp:align>center</wp:align>
            </wp:positionH>
            <wp:positionV relativeFrom="paragraph">
              <wp:posOffset>313055</wp:posOffset>
            </wp:positionV>
            <wp:extent cx="4137660" cy="2758440"/>
            <wp:effectExtent l="0" t="0" r="0" b="381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7660"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3229E4" w14:textId="690A6F62" w:rsidR="009C1B53" w:rsidRDefault="009C1B53" w:rsidP="00363F63">
      <w:pPr>
        <w:rPr>
          <w:lang w:val="en-GB"/>
        </w:rPr>
      </w:pPr>
    </w:p>
    <w:p w14:paraId="505FECD0" w14:textId="158A67FB" w:rsidR="00772AD5" w:rsidRDefault="00772AD5" w:rsidP="00363F63">
      <w:pPr>
        <w:rPr>
          <w:lang w:val="en-GB"/>
        </w:rPr>
      </w:pPr>
    </w:p>
    <w:p w14:paraId="79C3CBFE" w14:textId="77777777" w:rsidR="00772AD5" w:rsidRDefault="00772AD5" w:rsidP="00363F63">
      <w:pPr>
        <w:rPr>
          <w:lang w:val="en-GB"/>
        </w:rPr>
      </w:pPr>
    </w:p>
    <w:p w14:paraId="41DD712C" w14:textId="52222A28" w:rsidR="009C1B53" w:rsidRDefault="009C1B53" w:rsidP="00363F63">
      <w:pPr>
        <w:rPr>
          <w:lang w:val="en-GB"/>
        </w:rPr>
      </w:pPr>
    </w:p>
    <w:p w14:paraId="4FA13F1A" w14:textId="2ADC74D0" w:rsidR="009C1B53" w:rsidRPr="00363F63" w:rsidRDefault="009C1B53" w:rsidP="00363F63">
      <w:pPr>
        <w:rPr>
          <w:lang w:val="en-GB"/>
        </w:rPr>
      </w:pPr>
    </w:p>
    <w:p w14:paraId="59BC764B" w14:textId="7815CE71" w:rsidR="00772AD5" w:rsidRDefault="00772AD5" w:rsidP="008862BD">
      <w:pPr>
        <w:pStyle w:val="Heading1"/>
        <w:rPr>
          <w:lang w:val="en-GB"/>
        </w:rPr>
      </w:pPr>
      <w:r>
        <w:rPr>
          <w:noProof/>
          <w:lang w:val="en-GB"/>
        </w:rPr>
        <w:lastRenderedPageBreak/>
        <w:drawing>
          <wp:anchor distT="0" distB="0" distL="114300" distR="114300" simplePos="0" relativeHeight="251696128" behindDoc="0" locked="0" layoutInCell="1" allowOverlap="1" wp14:anchorId="33D4F029" wp14:editId="5AF49A79">
            <wp:simplePos x="0" y="0"/>
            <wp:positionH relativeFrom="margin">
              <wp:align>center</wp:align>
            </wp:positionH>
            <wp:positionV relativeFrom="paragraph">
              <wp:posOffset>3196590</wp:posOffset>
            </wp:positionV>
            <wp:extent cx="4099560" cy="273304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9560" cy="2733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98176" behindDoc="0" locked="0" layoutInCell="1" allowOverlap="1" wp14:anchorId="58E8046A" wp14:editId="6A07735A">
            <wp:simplePos x="0" y="0"/>
            <wp:positionH relativeFrom="margin">
              <wp:posOffset>857885</wp:posOffset>
            </wp:positionH>
            <wp:positionV relativeFrom="paragraph">
              <wp:posOffset>231140</wp:posOffset>
            </wp:positionV>
            <wp:extent cx="4061460" cy="270764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1460" cy="2707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FE39B0" w14:textId="73565ACC" w:rsidR="00363F63" w:rsidRPr="00363F63" w:rsidRDefault="00363F63" w:rsidP="008862BD">
      <w:pPr>
        <w:pStyle w:val="Heading1"/>
        <w:rPr>
          <w:lang w:val="en-GB"/>
        </w:rPr>
      </w:pPr>
      <w:r w:rsidRPr="00363F63">
        <w:rPr>
          <w:lang w:val="en-GB"/>
        </w:rPr>
        <w:t>Limitation of the study and possible agenda for future</w:t>
      </w:r>
    </w:p>
    <w:p w14:paraId="77F7C497" w14:textId="5ABBF794" w:rsidR="00363F63" w:rsidRPr="00363F63" w:rsidRDefault="00363F63" w:rsidP="00363F63">
      <w:pPr>
        <w:rPr>
          <w:lang w:val="en-GB"/>
        </w:rPr>
      </w:pPr>
      <w:r w:rsidRPr="00363F63">
        <w:rPr>
          <w:lang w:val="en-GB"/>
        </w:rPr>
        <w:t xml:space="preserve">  As with other stock price prediction models, the market model </w:t>
      </w:r>
      <w:r w:rsidR="00D73390">
        <w:rPr>
          <w:lang w:val="en-GB"/>
        </w:rPr>
        <w:t>cannot</w:t>
      </w:r>
      <w:r w:rsidRPr="00363F63">
        <w:rPr>
          <w:lang w:val="en-GB"/>
        </w:rPr>
        <w:t xml:space="preserve"> precisely predict the stock price despite being the most </w:t>
      </w:r>
      <w:r w:rsidR="00D73390">
        <w:rPr>
          <w:lang w:val="en-GB"/>
        </w:rPr>
        <w:t>optimal</w:t>
      </w:r>
      <w:r w:rsidRPr="00363F63">
        <w:rPr>
          <w:lang w:val="en-GB"/>
        </w:rPr>
        <w:t xml:space="preserve"> model</w:t>
      </w:r>
      <w:r w:rsidR="00D73390">
        <w:rPr>
          <w:lang w:val="en-GB"/>
        </w:rPr>
        <w:t xml:space="preserve"> for event study</w:t>
      </w:r>
      <w:r w:rsidRPr="00363F63">
        <w:rPr>
          <w:lang w:val="en-GB"/>
        </w:rPr>
        <w:t>. This is due to the attribute of share price largely being random walk and depends on the news which is unexpected in nature. A solution for the future agenda can be testing with different statistical models and prediction models, including multi polynomial regression or stock price prediction model from machine learning. It may generate a more accurate stock price prediction which can more precisely evaluate the impact of the government intervention on the stock price.</w:t>
      </w:r>
    </w:p>
    <w:p w14:paraId="773DC2C6" w14:textId="5B7B60AE" w:rsidR="00BB32BE" w:rsidRDefault="00363F63" w:rsidP="00996FE7">
      <w:pPr>
        <w:rPr>
          <w:lang w:val="en-GB"/>
        </w:rPr>
      </w:pPr>
      <w:r w:rsidRPr="00363F63">
        <w:rPr>
          <w:lang w:val="en-GB"/>
        </w:rPr>
        <w:t xml:space="preserve">  The Shapiro-Wilk and Anderson-Darling tests were applied to the stock returns and market returns and showed both hav</w:t>
      </w:r>
      <w:r w:rsidR="00D73390">
        <w:rPr>
          <w:lang w:val="en-GB"/>
        </w:rPr>
        <w:t>ing</w:t>
      </w:r>
      <w:r w:rsidRPr="00363F63">
        <w:rPr>
          <w:lang w:val="en-GB"/>
        </w:rPr>
        <w:t xml:space="preserve"> low p values, implying non-normal distribution exist</w:t>
      </w:r>
      <w:r w:rsidR="00EB422A">
        <w:rPr>
          <w:lang w:val="en-GB"/>
        </w:rPr>
        <w:t>s</w:t>
      </w:r>
      <w:r w:rsidRPr="00363F63">
        <w:rPr>
          <w:lang w:val="en-GB"/>
        </w:rPr>
        <w:t xml:space="preserve"> in both returns. However, the market model's linear specification follows from the assumed joint normality of the stock return and without assuming normality, the result of the analysis will be asymptotic. With that </w:t>
      </w:r>
      <w:r w:rsidRPr="00363F63">
        <w:rPr>
          <w:lang w:val="en-GB"/>
        </w:rPr>
        <w:lastRenderedPageBreak/>
        <w:t xml:space="preserve">said, Mackinlay (1997) also mentioned that it is not problematic overall as convergence to the asymptotic distribution tend to be quick for event studies. </w:t>
      </w:r>
      <w:proofErr w:type="gramStart"/>
      <w:r w:rsidRPr="00363F63">
        <w:rPr>
          <w:lang w:val="en-GB"/>
        </w:rPr>
        <w:t>In spite of</w:t>
      </w:r>
      <w:proofErr w:type="gramEnd"/>
      <w:r w:rsidRPr="00363F63">
        <w:rPr>
          <w:lang w:val="en-GB"/>
        </w:rPr>
        <w:t xml:space="preserve"> that, in order to provide more rigorous evidence for the impact of the government interventions, a non-parametric test, for instance, a sign test or rank test can be implemented into the study</w:t>
      </w:r>
      <w:r w:rsidR="007E46D0">
        <w:rPr>
          <w:lang w:val="en-GB"/>
        </w:rPr>
        <w:t xml:space="preserve"> in future</w:t>
      </w:r>
      <w:r w:rsidR="00816450">
        <w:rPr>
          <w:lang w:val="en-GB"/>
        </w:rPr>
        <w:t>, along with the parametric tests</w:t>
      </w:r>
      <w:r w:rsidRPr="00363F63">
        <w:rPr>
          <w:lang w:val="en-GB"/>
        </w:rPr>
        <w:t>. This allows the robustness of the conclusions of the parametric test to be re-examined, which may provide a more reliable inference, compare to the standard parametric test</w:t>
      </w:r>
      <w:sdt>
        <w:sdtPr>
          <w:rPr>
            <w:lang w:val="en-GB"/>
          </w:rPr>
          <w:id w:val="-1743097162"/>
          <w:citation/>
        </w:sdtPr>
        <w:sdtEndPr/>
        <w:sdtContent>
          <w:r w:rsidR="006A1743">
            <w:rPr>
              <w:lang w:val="en-GB"/>
            </w:rPr>
            <w:fldChar w:fldCharType="begin"/>
          </w:r>
          <w:r w:rsidR="006A1743">
            <w:rPr>
              <w:lang w:val="en-GB"/>
            </w:rPr>
            <w:instrText xml:space="preserve"> </w:instrText>
          </w:r>
          <w:r w:rsidR="006A1743">
            <w:rPr>
              <w:rFonts w:hint="eastAsia"/>
              <w:lang w:val="en-GB"/>
            </w:rPr>
            <w:instrText>CITATION MAC97 \l 1028</w:instrText>
          </w:r>
          <w:r w:rsidR="006A1743">
            <w:rPr>
              <w:lang w:val="en-GB"/>
            </w:rPr>
            <w:instrText xml:space="preserve"> </w:instrText>
          </w:r>
          <w:r w:rsidR="006A1743">
            <w:rPr>
              <w:lang w:val="en-GB"/>
            </w:rPr>
            <w:fldChar w:fldCharType="separate"/>
          </w:r>
          <w:r w:rsidR="006A1743">
            <w:rPr>
              <w:rFonts w:hint="eastAsia"/>
              <w:noProof/>
              <w:lang w:val="en-GB"/>
            </w:rPr>
            <w:t xml:space="preserve"> </w:t>
          </w:r>
          <w:r w:rsidR="006A1743" w:rsidRPr="006A1743">
            <w:rPr>
              <w:rFonts w:hint="eastAsia"/>
              <w:noProof/>
              <w:lang w:val="en-GB"/>
            </w:rPr>
            <w:t>(MACKINLAY, 1997)</w:t>
          </w:r>
          <w:r w:rsidR="006A1743">
            <w:rPr>
              <w:lang w:val="en-GB"/>
            </w:rPr>
            <w:fldChar w:fldCharType="end"/>
          </w:r>
        </w:sdtContent>
      </w:sdt>
      <w:r w:rsidR="006A1743">
        <w:rPr>
          <w:lang w:val="en-GB"/>
        </w:rPr>
        <w:t>.</w:t>
      </w:r>
    </w:p>
    <w:p w14:paraId="7F8AADDA" w14:textId="066F69D9" w:rsidR="003826FA" w:rsidRDefault="003826FA" w:rsidP="00996FE7">
      <w:pPr>
        <w:rPr>
          <w:lang w:val="en-GB"/>
        </w:rPr>
      </w:pPr>
      <w:r>
        <w:rPr>
          <w:lang w:val="en-GB"/>
        </w:rPr>
        <w:t xml:space="preserve">  A potential bias may occur in the correlation between the market return and the stock return. </w:t>
      </w:r>
      <w:r w:rsidR="00A049A6">
        <w:rPr>
          <w:lang w:val="en-GB"/>
        </w:rPr>
        <w:t xml:space="preserve">This is due to Tencent is one of the constituent </w:t>
      </w:r>
      <w:r w:rsidR="00E3582D">
        <w:rPr>
          <w:lang w:val="en-GB"/>
        </w:rPr>
        <w:t>stocks</w:t>
      </w:r>
      <w:r w:rsidR="00A049A6">
        <w:rPr>
          <w:lang w:val="en-GB"/>
        </w:rPr>
        <w:t xml:space="preserve"> of the Hang Seng Index and hence the movement of Hang Seng index </w:t>
      </w:r>
      <w:r w:rsidR="0005689A">
        <w:rPr>
          <w:lang w:val="en-GB"/>
        </w:rPr>
        <w:t>will</w:t>
      </w:r>
      <w:r w:rsidR="00A049A6">
        <w:rPr>
          <w:lang w:val="en-GB"/>
        </w:rPr>
        <w:t xml:space="preserve"> be influence by the fluctuation of price of Tencent.</w:t>
      </w:r>
      <w:r w:rsidR="0005689A">
        <w:rPr>
          <w:lang w:val="en-GB"/>
        </w:rPr>
        <w:t xml:space="preserve"> With the market cap </w:t>
      </w:r>
      <w:r w:rsidR="005C6989">
        <w:rPr>
          <w:lang w:val="en-GB"/>
        </w:rPr>
        <w:t xml:space="preserve">of $3.697 Trillion HKD, the weight of Tencent in the Hang Seng Index is </w:t>
      </w:r>
      <w:r w:rsidR="00E50A89">
        <w:rPr>
          <w:lang w:val="en-GB"/>
        </w:rPr>
        <w:t>0.1093</w:t>
      </w:r>
      <w:r w:rsidR="00B97C7E">
        <w:rPr>
          <w:lang w:val="en-GB"/>
        </w:rPr>
        <w:t xml:space="preserve">, suggesting strong correlation with the Hang Seng index. A possible solution for future research will be referencing </w:t>
      </w:r>
      <w:proofErr w:type="spellStart"/>
      <w:r w:rsidR="00E971DD">
        <w:rPr>
          <w:lang w:val="en-GB"/>
        </w:rPr>
        <w:t>a</w:t>
      </w:r>
      <w:proofErr w:type="spellEnd"/>
      <w:r w:rsidR="00E971DD">
        <w:rPr>
          <w:lang w:val="en-GB"/>
        </w:rPr>
        <w:t xml:space="preserve"> index </w:t>
      </w:r>
      <w:r w:rsidR="00B97C7E">
        <w:rPr>
          <w:lang w:val="en-GB"/>
        </w:rPr>
        <w:t xml:space="preserve">that is able to reflect the market return of the Hang Seng index while exclude the return of Tencent. </w:t>
      </w:r>
    </w:p>
    <w:p w14:paraId="176611C1" w14:textId="77777777" w:rsidR="00A4757E" w:rsidRPr="00A4757E" w:rsidRDefault="00A4757E" w:rsidP="00A4757E">
      <w:pPr>
        <w:rPr>
          <w:lang w:val="en-GB"/>
        </w:rPr>
      </w:pPr>
    </w:p>
    <w:p w14:paraId="41C3DB46" w14:textId="77777777" w:rsidR="00A4757E" w:rsidRPr="00A4757E" w:rsidRDefault="00A4757E" w:rsidP="008862BD">
      <w:pPr>
        <w:pStyle w:val="Heading1"/>
        <w:rPr>
          <w:lang w:val="en-GB"/>
        </w:rPr>
      </w:pPr>
      <w:r w:rsidRPr="00A4757E">
        <w:rPr>
          <w:lang w:val="en-GB"/>
        </w:rPr>
        <w:t>Conclusion</w:t>
      </w:r>
    </w:p>
    <w:p w14:paraId="11BFF52F" w14:textId="5D8805A2" w:rsidR="009339E0" w:rsidRPr="009339E0" w:rsidRDefault="00A4757E" w:rsidP="009047D3">
      <w:pPr>
        <w:rPr>
          <w:lang w:val="en-GB"/>
        </w:rPr>
      </w:pPr>
      <w:r w:rsidRPr="00A4757E">
        <w:rPr>
          <w:lang w:val="en-GB"/>
        </w:rPr>
        <w:t xml:space="preserve">  Along with the overall pessimistic investing atmosphere of gaming sector of China in 2018, the government interventions had a significant impact on the share price of Tencent. With the event study, both pull down of the big hit Monster Hunter and the pronouncement from the Ministry of Education has shown significance in influencing the Tencent's stock price. There was also a possible existence of insider trading in the last event of Tencent's announcement of implementing real name verification to their biggest hits "Honour of the Kings". Regardless the market reacted instantly</w:t>
      </w:r>
      <w:r w:rsidR="004770A6">
        <w:rPr>
          <w:lang w:val="en-GB"/>
        </w:rPr>
        <w:t xml:space="preserve"> or</w:t>
      </w:r>
      <w:r w:rsidRPr="00A4757E">
        <w:rPr>
          <w:lang w:val="en-GB"/>
        </w:rPr>
        <w:t xml:space="preserve"> with a dela</w:t>
      </w:r>
      <w:r w:rsidR="004770A6">
        <w:rPr>
          <w:lang w:val="en-GB"/>
        </w:rPr>
        <w:t>y</w:t>
      </w:r>
      <w:r w:rsidRPr="00A4757E">
        <w:rPr>
          <w:lang w:val="en-GB"/>
        </w:rPr>
        <w:t xml:space="preserve">, the events have shown significant impact to the share price, which in turns suggests that the slump in share price after the event are not by chance but likely due to the government interventions. Market efficiency in the events also has shown the market loosely achieves the semi-strong form of market efficiency, where share price adjusts incautiously to available new information. </w:t>
      </w:r>
      <w:r w:rsidR="009047D3">
        <w:rPr>
          <w:lang w:val="en-GB"/>
        </w:rPr>
        <w:t>Nevertheless</w:t>
      </w:r>
      <w:r w:rsidRPr="00A4757E">
        <w:rPr>
          <w:lang w:val="en-GB"/>
        </w:rPr>
        <w:t xml:space="preserve">, it was unable to concisely indicate the </w:t>
      </w:r>
      <w:r w:rsidR="009047D3">
        <w:rPr>
          <w:lang w:val="en-GB"/>
        </w:rPr>
        <w:t xml:space="preserve">change in share price </w:t>
      </w:r>
      <w:r w:rsidR="004E0E54">
        <w:rPr>
          <w:lang w:val="en-GB"/>
        </w:rPr>
        <w:t xml:space="preserve">of Tencent </w:t>
      </w:r>
      <w:r w:rsidR="009047D3">
        <w:rPr>
          <w:lang w:val="en-GB"/>
        </w:rPr>
        <w:t>due to the government intervention is</w:t>
      </w:r>
      <w:r w:rsidR="004E0E54">
        <w:rPr>
          <w:lang w:val="en-GB"/>
        </w:rPr>
        <w:t xml:space="preserve"> not</w:t>
      </w:r>
      <w:r w:rsidR="009047D3">
        <w:rPr>
          <w:lang w:val="en-GB"/>
        </w:rPr>
        <w:t xml:space="preserve"> merely a fluctuation of Tencent price. </w:t>
      </w:r>
      <w:r w:rsidR="004E0E54">
        <w:rPr>
          <w:lang w:val="en-GB"/>
        </w:rPr>
        <w:t>An absent of h</w:t>
      </w:r>
      <w:r w:rsidRPr="00A4757E">
        <w:rPr>
          <w:lang w:val="en-GB"/>
        </w:rPr>
        <w:t>igh fluctuations of stock prices due to the interventions were observed in the gaming secto</w:t>
      </w:r>
      <w:r w:rsidR="009047D3">
        <w:rPr>
          <w:lang w:val="en-GB"/>
        </w:rPr>
        <w:t>r</w:t>
      </w:r>
      <w:r w:rsidRPr="00A4757E">
        <w:rPr>
          <w:lang w:val="en-GB"/>
        </w:rPr>
        <w:t xml:space="preserve">. However, we do not observe similar effects extending to other non-gaming tech firms. Nevertheless, the long-term impact of the events may be more ambiguous, as at the time of writing, the </w:t>
      </w:r>
      <w:r w:rsidR="00F2134E">
        <w:rPr>
          <w:lang w:val="en-GB"/>
        </w:rPr>
        <w:t>Tencent</w:t>
      </w:r>
      <w:r w:rsidRPr="00A4757E">
        <w:rPr>
          <w:lang w:val="en-GB"/>
        </w:rPr>
        <w:t xml:space="preserve"> have already reclaimed half of its losses in half a year</w:t>
      </w:r>
      <w:r w:rsidR="00373D37">
        <w:rPr>
          <w:lang w:val="en-GB"/>
        </w:rPr>
        <w:t xml:space="preserve"> and </w:t>
      </w:r>
      <w:r w:rsidR="00E971DD">
        <w:rPr>
          <w:lang w:val="en-GB"/>
        </w:rPr>
        <w:t>PUBG can finally be monetised</w:t>
      </w:r>
      <w:r w:rsidR="00772AD5">
        <w:rPr>
          <w:lang w:val="en-GB"/>
        </w:rPr>
        <w:t xml:space="preserve"> after a year of release</w:t>
      </w:r>
      <w:r w:rsidRPr="00A4757E">
        <w:rPr>
          <w:lang w:val="en-GB"/>
        </w:rPr>
        <w:t>.</w:t>
      </w:r>
      <w:r w:rsidR="008B5AEB">
        <w:rPr>
          <w:lang w:val="en-GB"/>
        </w:rPr>
        <w:t xml:space="preserve"> </w:t>
      </w:r>
      <w:r w:rsidR="00DC44C7" w:rsidRPr="009339E0">
        <w:rPr>
          <w:lang w:val="en-GB"/>
        </w:rPr>
        <w:t xml:space="preserve"> </w:t>
      </w:r>
    </w:p>
    <w:sectPr w:rsidR="009339E0" w:rsidRPr="009339E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2F2BD" w14:textId="77777777" w:rsidR="00A11209" w:rsidRDefault="00A11209" w:rsidP="00F95A99">
      <w:pPr>
        <w:spacing w:after="0" w:line="240" w:lineRule="auto"/>
      </w:pPr>
      <w:r>
        <w:separator/>
      </w:r>
    </w:p>
  </w:endnote>
  <w:endnote w:type="continuationSeparator" w:id="0">
    <w:p w14:paraId="437A054D" w14:textId="77777777" w:rsidR="00A11209" w:rsidRDefault="00A11209" w:rsidP="00F95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venir Next Cyr Light">
    <w:panose1 w:val="020B04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599195"/>
      <w:docPartObj>
        <w:docPartGallery w:val="Page Numbers (Bottom of Page)"/>
        <w:docPartUnique/>
      </w:docPartObj>
    </w:sdtPr>
    <w:sdtEndPr>
      <w:rPr>
        <w:noProof/>
      </w:rPr>
    </w:sdtEndPr>
    <w:sdtContent>
      <w:p w14:paraId="53D6639E" w14:textId="5A3A428E" w:rsidR="00AD0A26" w:rsidRDefault="00AD0A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55C4C0" w14:textId="77777777" w:rsidR="00AD0A26" w:rsidRDefault="00AD0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9B289" w14:textId="77777777" w:rsidR="00A11209" w:rsidRDefault="00A11209" w:rsidP="00F95A99">
      <w:pPr>
        <w:spacing w:after="0" w:line="240" w:lineRule="auto"/>
      </w:pPr>
      <w:r>
        <w:separator/>
      </w:r>
    </w:p>
  </w:footnote>
  <w:footnote w:type="continuationSeparator" w:id="0">
    <w:p w14:paraId="11BC9C06" w14:textId="77777777" w:rsidR="00A11209" w:rsidRDefault="00A11209" w:rsidP="00F95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E2803"/>
    <w:multiLevelType w:val="hybridMultilevel"/>
    <w:tmpl w:val="5ABEA5C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C9"/>
    <w:rsid w:val="00000562"/>
    <w:rsid w:val="00000841"/>
    <w:rsid w:val="00003825"/>
    <w:rsid w:val="0000454A"/>
    <w:rsid w:val="000054B8"/>
    <w:rsid w:val="00005500"/>
    <w:rsid w:val="00011739"/>
    <w:rsid w:val="00014334"/>
    <w:rsid w:val="00014525"/>
    <w:rsid w:val="000200FD"/>
    <w:rsid w:val="00020B52"/>
    <w:rsid w:val="00021AF7"/>
    <w:rsid w:val="00025235"/>
    <w:rsid w:val="00027195"/>
    <w:rsid w:val="00027DA8"/>
    <w:rsid w:val="000307C9"/>
    <w:rsid w:val="00031250"/>
    <w:rsid w:val="00031497"/>
    <w:rsid w:val="00033F1C"/>
    <w:rsid w:val="000342FA"/>
    <w:rsid w:val="00036E34"/>
    <w:rsid w:val="00042C7A"/>
    <w:rsid w:val="00042E62"/>
    <w:rsid w:val="00051E90"/>
    <w:rsid w:val="00054DA9"/>
    <w:rsid w:val="0005689A"/>
    <w:rsid w:val="00057B1E"/>
    <w:rsid w:val="00071446"/>
    <w:rsid w:val="0007229F"/>
    <w:rsid w:val="0007549E"/>
    <w:rsid w:val="00077707"/>
    <w:rsid w:val="00080E08"/>
    <w:rsid w:val="00083570"/>
    <w:rsid w:val="0008360A"/>
    <w:rsid w:val="00083E4F"/>
    <w:rsid w:val="00085FB5"/>
    <w:rsid w:val="0008605A"/>
    <w:rsid w:val="00091A1B"/>
    <w:rsid w:val="00094F21"/>
    <w:rsid w:val="00095162"/>
    <w:rsid w:val="000A19CC"/>
    <w:rsid w:val="000B2A7C"/>
    <w:rsid w:val="000B2EE9"/>
    <w:rsid w:val="000B6E6E"/>
    <w:rsid w:val="000C0F0F"/>
    <w:rsid w:val="000C2B41"/>
    <w:rsid w:val="000C42C4"/>
    <w:rsid w:val="000C6CC2"/>
    <w:rsid w:val="000C7297"/>
    <w:rsid w:val="000D0C4B"/>
    <w:rsid w:val="000D7A08"/>
    <w:rsid w:val="000E164A"/>
    <w:rsid w:val="000E2F85"/>
    <w:rsid w:val="000E3077"/>
    <w:rsid w:val="000E7630"/>
    <w:rsid w:val="000F483F"/>
    <w:rsid w:val="001035D2"/>
    <w:rsid w:val="00110745"/>
    <w:rsid w:val="00110C35"/>
    <w:rsid w:val="00110E15"/>
    <w:rsid w:val="001115AB"/>
    <w:rsid w:val="00112E21"/>
    <w:rsid w:val="00114176"/>
    <w:rsid w:val="00117706"/>
    <w:rsid w:val="00121B3B"/>
    <w:rsid w:val="001310EB"/>
    <w:rsid w:val="00131436"/>
    <w:rsid w:val="001347FA"/>
    <w:rsid w:val="0013481E"/>
    <w:rsid w:val="0013602B"/>
    <w:rsid w:val="001410C5"/>
    <w:rsid w:val="00142F86"/>
    <w:rsid w:val="00144F93"/>
    <w:rsid w:val="00151F71"/>
    <w:rsid w:val="00156888"/>
    <w:rsid w:val="00156AEE"/>
    <w:rsid w:val="001624E7"/>
    <w:rsid w:val="0016506A"/>
    <w:rsid w:val="00165D35"/>
    <w:rsid w:val="00166680"/>
    <w:rsid w:val="00172B5E"/>
    <w:rsid w:val="00173E5A"/>
    <w:rsid w:val="001742A1"/>
    <w:rsid w:val="00174981"/>
    <w:rsid w:val="001779C2"/>
    <w:rsid w:val="001818E2"/>
    <w:rsid w:val="00184D78"/>
    <w:rsid w:val="00184DB9"/>
    <w:rsid w:val="00186F7F"/>
    <w:rsid w:val="00187AEE"/>
    <w:rsid w:val="00187BEE"/>
    <w:rsid w:val="001902EA"/>
    <w:rsid w:val="0019191E"/>
    <w:rsid w:val="00195A2D"/>
    <w:rsid w:val="00197852"/>
    <w:rsid w:val="001A271A"/>
    <w:rsid w:val="001A2DA1"/>
    <w:rsid w:val="001A6362"/>
    <w:rsid w:val="001A692D"/>
    <w:rsid w:val="001A7EC8"/>
    <w:rsid w:val="001B0929"/>
    <w:rsid w:val="001B4C6D"/>
    <w:rsid w:val="001B62F1"/>
    <w:rsid w:val="001B66A2"/>
    <w:rsid w:val="001C003C"/>
    <w:rsid w:val="001C0499"/>
    <w:rsid w:val="001C1D1F"/>
    <w:rsid w:val="001C7D7B"/>
    <w:rsid w:val="001D3DFE"/>
    <w:rsid w:val="001D4830"/>
    <w:rsid w:val="001D5B95"/>
    <w:rsid w:val="001E05E8"/>
    <w:rsid w:val="001E1BDD"/>
    <w:rsid w:val="001E2E73"/>
    <w:rsid w:val="001E4EED"/>
    <w:rsid w:val="001F02E6"/>
    <w:rsid w:val="001F3414"/>
    <w:rsid w:val="001F45A6"/>
    <w:rsid w:val="001F4A9B"/>
    <w:rsid w:val="001F5CD9"/>
    <w:rsid w:val="001F7487"/>
    <w:rsid w:val="00200995"/>
    <w:rsid w:val="0020149E"/>
    <w:rsid w:val="00206789"/>
    <w:rsid w:val="002079C9"/>
    <w:rsid w:val="0021258D"/>
    <w:rsid w:val="00212FC1"/>
    <w:rsid w:val="00226370"/>
    <w:rsid w:val="00226CDB"/>
    <w:rsid w:val="0023204F"/>
    <w:rsid w:val="0023434E"/>
    <w:rsid w:val="002356B8"/>
    <w:rsid w:val="00237C33"/>
    <w:rsid w:val="00237FE3"/>
    <w:rsid w:val="002460F3"/>
    <w:rsid w:val="00250D30"/>
    <w:rsid w:val="002514CF"/>
    <w:rsid w:val="00260959"/>
    <w:rsid w:val="00262782"/>
    <w:rsid w:val="00266746"/>
    <w:rsid w:val="002674FB"/>
    <w:rsid w:val="002679EB"/>
    <w:rsid w:val="00277B9A"/>
    <w:rsid w:val="002809F8"/>
    <w:rsid w:val="00282312"/>
    <w:rsid w:val="00282745"/>
    <w:rsid w:val="00283BE3"/>
    <w:rsid w:val="00283BFF"/>
    <w:rsid w:val="002919CE"/>
    <w:rsid w:val="00292570"/>
    <w:rsid w:val="00295EC3"/>
    <w:rsid w:val="002A02BF"/>
    <w:rsid w:val="002A0EF7"/>
    <w:rsid w:val="002A2984"/>
    <w:rsid w:val="002A6349"/>
    <w:rsid w:val="002B06E4"/>
    <w:rsid w:val="002B1342"/>
    <w:rsid w:val="002B4F19"/>
    <w:rsid w:val="002B74AB"/>
    <w:rsid w:val="002B7686"/>
    <w:rsid w:val="002C0A37"/>
    <w:rsid w:val="002C1778"/>
    <w:rsid w:val="002C5A9F"/>
    <w:rsid w:val="002C6053"/>
    <w:rsid w:val="002D012C"/>
    <w:rsid w:val="002D0B17"/>
    <w:rsid w:val="002D2BA5"/>
    <w:rsid w:val="002E0F5C"/>
    <w:rsid w:val="002E5D3F"/>
    <w:rsid w:val="002E6F62"/>
    <w:rsid w:val="002E7829"/>
    <w:rsid w:val="002E79C4"/>
    <w:rsid w:val="002F061E"/>
    <w:rsid w:val="002F0BAB"/>
    <w:rsid w:val="002F5651"/>
    <w:rsid w:val="002F70C7"/>
    <w:rsid w:val="00301C9D"/>
    <w:rsid w:val="00303C0D"/>
    <w:rsid w:val="003052A7"/>
    <w:rsid w:val="00312944"/>
    <w:rsid w:val="00314869"/>
    <w:rsid w:val="00317494"/>
    <w:rsid w:val="00323BE4"/>
    <w:rsid w:val="00331A70"/>
    <w:rsid w:val="00342A17"/>
    <w:rsid w:val="003506CB"/>
    <w:rsid w:val="00352CAE"/>
    <w:rsid w:val="00353106"/>
    <w:rsid w:val="003531D2"/>
    <w:rsid w:val="00356689"/>
    <w:rsid w:val="00356F29"/>
    <w:rsid w:val="00360570"/>
    <w:rsid w:val="0036136F"/>
    <w:rsid w:val="00361C93"/>
    <w:rsid w:val="00362D19"/>
    <w:rsid w:val="003636AA"/>
    <w:rsid w:val="00363F63"/>
    <w:rsid w:val="00364CCE"/>
    <w:rsid w:val="0036639F"/>
    <w:rsid w:val="00367924"/>
    <w:rsid w:val="003703CB"/>
    <w:rsid w:val="00372EB0"/>
    <w:rsid w:val="00373D37"/>
    <w:rsid w:val="00377BBE"/>
    <w:rsid w:val="00377D33"/>
    <w:rsid w:val="0038244D"/>
    <w:rsid w:val="003826FA"/>
    <w:rsid w:val="003848C3"/>
    <w:rsid w:val="0038567E"/>
    <w:rsid w:val="003915D9"/>
    <w:rsid w:val="00392B9C"/>
    <w:rsid w:val="00393043"/>
    <w:rsid w:val="00393672"/>
    <w:rsid w:val="00395616"/>
    <w:rsid w:val="0039567C"/>
    <w:rsid w:val="00395E24"/>
    <w:rsid w:val="003A00A0"/>
    <w:rsid w:val="003A01AA"/>
    <w:rsid w:val="003A05E2"/>
    <w:rsid w:val="003A1866"/>
    <w:rsid w:val="003A411F"/>
    <w:rsid w:val="003A495C"/>
    <w:rsid w:val="003A5938"/>
    <w:rsid w:val="003B0087"/>
    <w:rsid w:val="003B20B5"/>
    <w:rsid w:val="003B2B64"/>
    <w:rsid w:val="003B5DBE"/>
    <w:rsid w:val="003B7AF8"/>
    <w:rsid w:val="003B7B74"/>
    <w:rsid w:val="003C39F3"/>
    <w:rsid w:val="003D3430"/>
    <w:rsid w:val="003E2635"/>
    <w:rsid w:val="003E4D09"/>
    <w:rsid w:val="003F1010"/>
    <w:rsid w:val="003F13E0"/>
    <w:rsid w:val="003F20CE"/>
    <w:rsid w:val="003F3883"/>
    <w:rsid w:val="003F3A73"/>
    <w:rsid w:val="004012A3"/>
    <w:rsid w:val="00410A58"/>
    <w:rsid w:val="004127CA"/>
    <w:rsid w:val="004139AC"/>
    <w:rsid w:val="00422FE6"/>
    <w:rsid w:val="00424ADC"/>
    <w:rsid w:val="004250F1"/>
    <w:rsid w:val="004258AD"/>
    <w:rsid w:val="00430628"/>
    <w:rsid w:val="00432FA6"/>
    <w:rsid w:val="004351D0"/>
    <w:rsid w:val="0043578F"/>
    <w:rsid w:val="0043635E"/>
    <w:rsid w:val="00436DBD"/>
    <w:rsid w:val="004456F7"/>
    <w:rsid w:val="0044723B"/>
    <w:rsid w:val="004479A6"/>
    <w:rsid w:val="00451F02"/>
    <w:rsid w:val="00453264"/>
    <w:rsid w:val="00455EC3"/>
    <w:rsid w:val="0045648E"/>
    <w:rsid w:val="00457BFB"/>
    <w:rsid w:val="00462414"/>
    <w:rsid w:val="00464C9D"/>
    <w:rsid w:val="00474BDE"/>
    <w:rsid w:val="004753C0"/>
    <w:rsid w:val="0047691D"/>
    <w:rsid w:val="0047701B"/>
    <w:rsid w:val="004770A6"/>
    <w:rsid w:val="00480C75"/>
    <w:rsid w:val="00483000"/>
    <w:rsid w:val="004864BA"/>
    <w:rsid w:val="00491035"/>
    <w:rsid w:val="004973E2"/>
    <w:rsid w:val="004A3672"/>
    <w:rsid w:val="004A4F8A"/>
    <w:rsid w:val="004A66F1"/>
    <w:rsid w:val="004B2DBB"/>
    <w:rsid w:val="004B4984"/>
    <w:rsid w:val="004B7097"/>
    <w:rsid w:val="004C1722"/>
    <w:rsid w:val="004C4CD8"/>
    <w:rsid w:val="004C4F89"/>
    <w:rsid w:val="004C5A6B"/>
    <w:rsid w:val="004D1A61"/>
    <w:rsid w:val="004D4828"/>
    <w:rsid w:val="004D7D54"/>
    <w:rsid w:val="004E0DCF"/>
    <w:rsid w:val="004E0E54"/>
    <w:rsid w:val="004E4329"/>
    <w:rsid w:val="004F0FA8"/>
    <w:rsid w:val="004F1496"/>
    <w:rsid w:val="004F242F"/>
    <w:rsid w:val="004F3AD2"/>
    <w:rsid w:val="004F3D03"/>
    <w:rsid w:val="004F5669"/>
    <w:rsid w:val="004F62B6"/>
    <w:rsid w:val="0051250F"/>
    <w:rsid w:val="00515400"/>
    <w:rsid w:val="0051720A"/>
    <w:rsid w:val="00517E6D"/>
    <w:rsid w:val="00521E47"/>
    <w:rsid w:val="00523F73"/>
    <w:rsid w:val="00527D65"/>
    <w:rsid w:val="005314ED"/>
    <w:rsid w:val="005349DC"/>
    <w:rsid w:val="00535BE3"/>
    <w:rsid w:val="00540328"/>
    <w:rsid w:val="005427AE"/>
    <w:rsid w:val="00544CF8"/>
    <w:rsid w:val="005459D2"/>
    <w:rsid w:val="00547567"/>
    <w:rsid w:val="00551716"/>
    <w:rsid w:val="00551BCF"/>
    <w:rsid w:val="005520A0"/>
    <w:rsid w:val="00552BA0"/>
    <w:rsid w:val="0055348D"/>
    <w:rsid w:val="0055409A"/>
    <w:rsid w:val="00555DF3"/>
    <w:rsid w:val="0056047C"/>
    <w:rsid w:val="005623D5"/>
    <w:rsid w:val="00564EFA"/>
    <w:rsid w:val="00565F51"/>
    <w:rsid w:val="00571941"/>
    <w:rsid w:val="0057208F"/>
    <w:rsid w:val="0057261F"/>
    <w:rsid w:val="00574BF1"/>
    <w:rsid w:val="00576BCB"/>
    <w:rsid w:val="0057711F"/>
    <w:rsid w:val="00584E64"/>
    <w:rsid w:val="0058719A"/>
    <w:rsid w:val="005875A9"/>
    <w:rsid w:val="0059170F"/>
    <w:rsid w:val="0059194B"/>
    <w:rsid w:val="00593DCA"/>
    <w:rsid w:val="00594262"/>
    <w:rsid w:val="00596558"/>
    <w:rsid w:val="005A04AC"/>
    <w:rsid w:val="005A0D19"/>
    <w:rsid w:val="005B0D43"/>
    <w:rsid w:val="005C0977"/>
    <w:rsid w:val="005C290D"/>
    <w:rsid w:val="005C6989"/>
    <w:rsid w:val="005C6C21"/>
    <w:rsid w:val="005D0E08"/>
    <w:rsid w:val="005D1457"/>
    <w:rsid w:val="005D21BE"/>
    <w:rsid w:val="005D3C4D"/>
    <w:rsid w:val="005E31B3"/>
    <w:rsid w:val="005E329F"/>
    <w:rsid w:val="005E346E"/>
    <w:rsid w:val="005E7DFE"/>
    <w:rsid w:val="005F2B99"/>
    <w:rsid w:val="005F46AE"/>
    <w:rsid w:val="005F5DB6"/>
    <w:rsid w:val="00612158"/>
    <w:rsid w:val="00613ED4"/>
    <w:rsid w:val="0061558E"/>
    <w:rsid w:val="00616C4A"/>
    <w:rsid w:val="00616EE4"/>
    <w:rsid w:val="0061765A"/>
    <w:rsid w:val="0062155A"/>
    <w:rsid w:val="00622001"/>
    <w:rsid w:val="006231CA"/>
    <w:rsid w:val="0062442D"/>
    <w:rsid w:val="00627C54"/>
    <w:rsid w:val="0063026C"/>
    <w:rsid w:val="006375E5"/>
    <w:rsid w:val="00640789"/>
    <w:rsid w:val="0064133D"/>
    <w:rsid w:val="00643192"/>
    <w:rsid w:val="00653877"/>
    <w:rsid w:val="00660841"/>
    <w:rsid w:val="00674C07"/>
    <w:rsid w:val="0067731B"/>
    <w:rsid w:val="00680580"/>
    <w:rsid w:val="006854F2"/>
    <w:rsid w:val="0068711F"/>
    <w:rsid w:val="00691E65"/>
    <w:rsid w:val="006967AF"/>
    <w:rsid w:val="006977D5"/>
    <w:rsid w:val="00697DB2"/>
    <w:rsid w:val="006A1743"/>
    <w:rsid w:val="006A3CFC"/>
    <w:rsid w:val="006A5628"/>
    <w:rsid w:val="006A6694"/>
    <w:rsid w:val="006B0C1F"/>
    <w:rsid w:val="006B531B"/>
    <w:rsid w:val="006C2C58"/>
    <w:rsid w:val="006C56E8"/>
    <w:rsid w:val="006D1446"/>
    <w:rsid w:val="006D3004"/>
    <w:rsid w:val="006D30C4"/>
    <w:rsid w:val="006D7B86"/>
    <w:rsid w:val="006E007F"/>
    <w:rsid w:val="006E192C"/>
    <w:rsid w:val="006E405B"/>
    <w:rsid w:val="006E419F"/>
    <w:rsid w:val="006E599D"/>
    <w:rsid w:val="006E7152"/>
    <w:rsid w:val="006E7BF5"/>
    <w:rsid w:val="006F2308"/>
    <w:rsid w:val="006F2D9C"/>
    <w:rsid w:val="006F61C6"/>
    <w:rsid w:val="006F64A3"/>
    <w:rsid w:val="006F7CC5"/>
    <w:rsid w:val="006F7D20"/>
    <w:rsid w:val="00704394"/>
    <w:rsid w:val="00706DE3"/>
    <w:rsid w:val="00706F57"/>
    <w:rsid w:val="00707A4C"/>
    <w:rsid w:val="007134FB"/>
    <w:rsid w:val="00714DEC"/>
    <w:rsid w:val="00720AA8"/>
    <w:rsid w:val="00724943"/>
    <w:rsid w:val="00726CAA"/>
    <w:rsid w:val="00726FC1"/>
    <w:rsid w:val="00730664"/>
    <w:rsid w:val="007327D3"/>
    <w:rsid w:val="00732D15"/>
    <w:rsid w:val="0073458C"/>
    <w:rsid w:val="00735C74"/>
    <w:rsid w:val="00737F01"/>
    <w:rsid w:val="007414FD"/>
    <w:rsid w:val="0074492A"/>
    <w:rsid w:val="00754033"/>
    <w:rsid w:val="00771A89"/>
    <w:rsid w:val="00771C46"/>
    <w:rsid w:val="00772AD5"/>
    <w:rsid w:val="0077427C"/>
    <w:rsid w:val="0077450E"/>
    <w:rsid w:val="007746EB"/>
    <w:rsid w:val="007754C2"/>
    <w:rsid w:val="007920E7"/>
    <w:rsid w:val="0079353C"/>
    <w:rsid w:val="00794EA4"/>
    <w:rsid w:val="00796E2E"/>
    <w:rsid w:val="00797647"/>
    <w:rsid w:val="00797D57"/>
    <w:rsid w:val="007A55C0"/>
    <w:rsid w:val="007A5CFD"/>
    <w:rsid w:val="007B0CF1"/>
    <w:rsid w:val="007B1747"/>
    <w:rsid w:val="007B4A8D"/>
    <w:rsid w:val="007B70FF"/>
    <w:rsid w:val="007B7EB9"/>
    <w:rsid w:val="007D0DC2"/>
    <w:rsid w:val="007D1A76"/>
    <w:rsid w:val="007E01F8"/>
    <w:rsid w:val="007E3A89"/>
    <w:rsid w:val="007E454C"/>
    <w:rsid w:val="007E46D0"/>
    <w:rsid w:val="007E4BB5"/>
    <w:rsid w:val="007E764D"/>
    <w:rsid w:val="008001B2"/>
    <w:rsid w:val="00802155"/>
    <w:rsid w:val="008056BD"/>
    <w:rsid w:val="00805BAA"/>
    <w:rsid w:val="00810437"/>
    <w:rsid w:val="0081118D"/>
    <w:rsid w:val="00813695"/>
    <w:rsid w:val="00816450"/>
    <w:rsid w:val="00821382"/>
    <w:rsid w:val="00827203"/>
    <w:rsid w:val="00831692"/>
    <w:rsid w:val="008319DD"/>
    <w:rsid w:val="0083587D"/>
    <w:rsid w:val="0083720B"/>
    <w:rsid w:val="00841AEC"/>
    <w:rsid w:val="008450F1"/>
    <w:rsid w:val="00845F4D"/>
    <w:rsid w:val="00850372"/>
    <w:rsid w:val="008550AF"/>
    <w:rsid w:val="0086315E"/>
    <w:rsid w:val="008632CC"/>
    <w:rsid w:val="00864984"/>
    <w:rsid w:val="00864D00"/>
    <w:rsid w:val="00864F2A"/>
    <w:rsid w:val="00865408"/>
    <w:rsid w:val="00865E1B"/>
    <w:rsid w:val="00867FC8"/>
    <w:rsid w:val="00871681"/>
    <w:rsid w:val="00874B32"/>
    <w:rsid w:val="00875E8E"/>
    <w:rsid w:val="00876B13"/>
    <w:rsid w:val="0088132E"/>
    <w:rsid w:val="00882905"/>
    <w:rsid w:val="00884573"/>
    <w:rsid w:val="00884A50"/>
    <w:rsid w:val="0088517B"/>
    <w:rsid w:val="008862BD"/>
    <w:rsid w:val="008868CE"/>
    <w:rsid w:val="00886A08"/>
    <w:rsid w:val="0089296A"/>
    <w:rsid w:val="00894B39"/>
    <w:rsid w:val="008A260D"/>
    <w:rsid w:val="008A6EF9"/>
    <w:rsid w:val="008B341E"/>
    <w:rsid w:val="008B5069"/>
    <w:rsid w:val="008B5AEB"/>
    <w:rsid w:val="008B5E0D"/>
    <w:rsid w:val="008B6C6D"/>
    <w:rsid w:val="008C3FC3"/>
    <w:rsid w:val="008C572C"/>
    <w:rsid w:val="008C732F"/>
    <w:rsid w:val="008D0F04"/>
    <w:rsid w:val="008D6939"/>
    <w:rsid w:val="008E35F4"/>
    <w:rsid w:val="008F27B9"/>
    <w:rsid w:val="008F485F"/>
    <w:rsid w:val="008F7B81"/>
    <w:rsid w:val="0090106B"/>
    <w:rsid w:val="009012BD"/>
    <w:rsid w:val="009013DA"/>
    <w:rsid w:val="00901736"/>
    <w:rsid w:val="00902D2D"/>
    <w:rsid w:val="009038AC"/>
    <w:rsid w:val="00904223"/>
    <w:rsid w:val="009047D3"/>
    <w:rsid w:val="00904C3D"/>
    <w:rsid w:val="00906839"/>
    <w:rsid w:val="0090717C"/>
    <w:rsid w:val="009111E5"/>
    <w:rsid w:val="00912CF0"/>
    <w:rsid w:val="00916419"/>
    <w:rsid w:val="00916DFB"/>
    <w:rsid w:val="00917421"/>
    <w:rsid w:val="00922218"/>
    <w:rsid w:val="0092457C"/>
    <w:rsid w:val="009263EA"/>
    <w:rsid w:val="00931026"/>
    <w:rsid w:val="0093206E"/>
    <w:rsid w:val="009339E0"/>
    <w:rsid w:val="00936663"/>
    <w:rsid w:val="00940BDA"/>
    <w:rsid w:val="0094136C"/>
    <w:rsid w:val="00941447"/>
    <w:rsid w:val="009432F8"/>
    <w:rsid w:val="0094454D"/>
    <w:rsid w:val="00945A90"/>
    <w:rsid w:val="009519C7"/>
    <w:rsid w:val="00955A68"/>
    <w:rsid w:val="00956478"/>
    <w:rsid w:val="009564E3"/>
    <w:rsid w:val="0096442F"/>
    <w:rsid w:val="00965D35"/>
    <w:rsid w:val="009675D6"/>
    <w:rsid w:val="009706FE"/>
    <w:rsid w:val="00972AD4"/>
    <w:rsid w:val="00972D23"/>
    <w:rsid w:val="00972FCC"/>
    <w:rsid w:val="009768FD"/>
    <w:rsid w:val="0098053F"/>
    <w:rsid w:val="00982E9B"/>
    <w:rsid w:val="00984485"/>
    <w:rsid w:val="009860CB"/>
    <w:rsid w:val="0098721C"/>
    <w:rsid w:val="00990103"/>
    <w:rsid w:val="00991256"/>
    <w:rsid w:val="0099537D"/>
    <w:rsid w:val="00996FE7"/>
    <w:rsid w:val="009A3313"/>
    <w:rsid w:val="009B110D"/>
    <w:rsid w:val="009B6810"/>
    <w:rsid w:val="009C172E"/>
    <w:rsid w:val="009C1B53"/>
    <w:rsid w:val="009C2EF7"/>
    <w:rsid w:val="009D24F3"/>
    <w:rsid w:val="009E18F9"/>
    <w:rsid w:val="009E377D"/>
    <w:rsid w:val="009E5E13"/>
    <w:rsid w:val="00A0085A"/>
    <w:rsid w:val="00A0089E"/>
    <w:rsid w:val="00A049A6"/>
    <w:rsid w:val="00A070CB"/>
    <w:rsid w:val="00A11209"/>
    <w:rsid w:val="00A125AF"/>
    <w:rsid w:val="00A15450"/>
    <w:rsid w:val="00A16CB7"/>
    <w:rsid w:val="00A17AE2"/>
    <w:rsid w:val="00A21F30"/>
    <w:rsid w:val="00A2509F"/>
    <w:rsid w:val="00A262AA"/>
    <w:rsid w:val="00A26E2F"/>
    <w:rsid w:val="00A27D7C"/>
    <w:rsid w:val="00A37EC7"/>
    <w:rsid w:val="00A40A40"/>
    <w:rsid w:val="00A41F6E"/>
    <w:rsid w:val="00A445A1"/>
    <w:rsid w:val="00A47215"/>
    <w:rsid w:val="00A4757E"/>
    <w:rsid w:val="00A53708"/>
    <w:rsid w:val="00A53928"/>
    <w:rsid w:val="00A539AF"/>
    <w:rsid w:val="00A5443F"/>
    <w:rsid w:val="00A5488E"/>
    <w:rsid w:val="00A55159"/>
    <w:rsid w:val="00A641CB"/>
    <w:rsid w:val="00A6671A"/>
    <w:rsid w:val="00A70E6D"/>
    <w:rsid w:val="00A717C7"/>
    <w:rsid w:val="00A72B82"/>
    <w:rsid w:val="00A72EFD"/>
    <w:rsid w:val="00A74B38"/>
    <w:rsid w:val="00A750B7"/>
    <w:rsid w:val="00A75875"/>
    <w:rsid w:val="00A75B7D"/>
    <w:rsid w:val="00A8138D"/>
    <w:rsid w:val="00A8502E"/>
    <w:rsid w:val="00A873A0"/>
    <w:rsid w:val="00A92D4E"/>
    <w:rsid w:val="00A93CE7"/>
    <w:rsid w:val="00AA3213"/>
    <w:rsid w:val="00AA4DC4"/>
    <w:rsid w:val="00AA73F4"/>
    <w:rsid w:val="00AB3297"/>
    <w:rsid w:val="00AB53FB"/>
    <w:rsid w:val="00AB7662"/>
    <w:rsid w:val="00AC10AC"/>
    <w:rsid w:val="00AC330E"/>
    <w:rsid w:val="00AC3B92"/>
    <w:rsid w:val="00AC61B5"/>
    <w:rsid w:val="00AD0A26"/>
    <w:rsid w:val="00AD0B81"/>
    <w:rsid w:val="00AD5389"/>
    <w:rsid w:val="00AD7CA9"/>
    <w:rsid w:val="00AE29D5"/>
    <w:rsid w:val="00AE4894"/>
    <w:rsid w:val="00AE7F97"/>
    <w:rsid w:val="00AF02FC"/>
    <w:rsid w:val="00AF1841"/>
    <w:rsid w:val="00AF4EEA"/>
    <w:rsid w:val="00AF676F"/>
    <w:rsid w:val="00B0724B"/>
    <w:rsid w:val="00B07F23"/>
    <w:rsid w:val="00B14BC4"/>
    <w:rsid w:val="00B15D39"/>
    <w:rsid w:val="00B22895"/>
    <w:rsid w:val="00B249D9"/>
    <w:rsid w:val="00B25027"/>
    <w:rsid w:val="00B321CE"/>
    <w:rsid w:val="00B35267"/>
    <w:rsid w:val="00B40AD9"/>
    <w:rsid w:val="00B42B6D"/>
    <w:rsid w:val="00B45D96"/>
    <w:rsid w:val="00B4613A"/>
    <w:rsid w:val="00B46453"/>
    <w:rsid w:val="00B503E1"/>
    <w:rsid w:val="00B50A8F"/>
    <w:rsid w:val="00B51768"/>
    <w:rsid w:val="00B5231E"/>
    <w:rsid w:val="00B554B5"/>
    <w:rsid w:val="00B55565"/>
    <w:rsid w:val="00B64282"/>
    <w:rsid w:val="00B65E90"/>
    <w:rsid w:val="00B67A32"/>
    <w:rsid w:val="00B67C25"/>
    <w:rsid w:val="00B77695"/>
    <w:rsid w:val="00B77B1D"/>
    <w:rsid w:val="00B8032E"/>
    <w:rsid w:val="00B811BE"/>
    <w:rsid w:val="00B811EE"/>
    <w:rsid w:val="00B832E4"/>
    <w:rsid w:val="00B84638"/>
    <w:rsid w:val="00B86F62"/>
    <w:rsid w:val="00B87154"/>
    <w:rsid w:val="00B97C7E"/>
    <w:rsid w:val="00BA1306"/>
    <w:rsid w:val="00BA1DDD"/>
    <w:rsid w:val="00BA3C9B"/>
    <w:rsid w:val="00BA4E67"/>
    <w:rsid w:val="00BB05A9"/>
    <w:rsid w:val="00BB1F6F"/>
    <w:rsid w:val="00BB32BE"/>
    <w:rsid w:val="00BB39B5"/>
    <w:rsid w:val="00BB4355"/>
    <w:rsid w:val="00BD0696"/>
    <w:rsid w:val="00BD1ED9"/>
    <w:rsid w:val="00BD4504"/>
    <w:rsid w:val="00BD46D8"/>
    <w:rsid w:val="00BD4ECC"/>
    <w:rsid w:val="00BD5429"/>
    <w:rsid w:val="00BE2068"/>
    <w:rsid w:val="00BF09BA"/>
    <w:rsid w:val="00BF24B1"/>
    <w:rsid w:val="00BF2703"/>
    <w:rsid w:val="00BF28B1"/>
    <w:rsid w:val="00BF7B0D"/>
    <w:rsid w:val="00C00021"/>
    <w:rsid w:val="00C004C4"/>
    <w:rsid w:val="00C04615"/>
    <w:rsid w:val="00C14507"/>
    <w:rsid w:val="00C17C3A"/>
    <w:rsid w:val="00C23AC8"/>
    <w:rsid w:val="00C23ED2"/>
    <w:rsid w:val="00C24726"/>
    <w:rsid w:val="00C264C2"/>
    <w:rsid w:val="00C31211"/>
    <w:rsid w:val="00C34171"/>
    <w:rsid w:val="00C3763D"/>
    <w:rsid w:val="00C41505"/>
    <w:rsid w:val="00C41F12"/>
    <w:rsid w:val="00C4208B"/>
    <w:rsid w:val="00C53F1D"/>
    <w:rsid w:val="00C54B60"/>
    <w:rsid w:val="00C57EF8"/>
    <w:rsid w:val="00C61FA2"/>
    <w:rsid w:val="00C653AE"/>
    <w:rsid w:val="00C70DE8"/>
    <w:rsid w:val="00C72531"/>
    <w:rsid w:val="00C7668F"/>
    <w:rsid w:val="00C82FCA"/>
    <w:rsid w:val="00C85575"/>
    <w:rsid w:val="00C8740F"/>
    <w:rsid w:val="00C876F7"/>
    <w:rsid w:val="00C9427C"/>
    <w:rsid w:val="00C951A6"/>
    <w:rsid w:val="00CA01C9"/>
    <w:rsid w:val="00CA1B10"/>
    <w:rsid w:val="00CA5F93"/>
    <w:rsid w:val="00CA7394"/>
    <w:rsid w:val="00CB0867"/>
    <w:rsid w:val="00CB17F2"/>
    <w:rsid w:val="00CB2A1C"/>
    <w:rsid w:val="00CB2D12"/>
    <w:rsid w:val="00CB51C3"/>
    <w:rsid w:val="00CB5DEE"/>
    <w:rsid w:val="00CC092D"/>
    <w:rsid w:val="00CC0997"/>
    <w:rsid w:val="00CC2CB4"/>
    <w:rsid w:val="00CC330E"/>
    <w:rsid w:val="00CC3341"/>
    <w:rsid w:val="00CC4CB8"/>
    <w:rsid w:val="00CD0052"/>
    <w:rsid w:val="00CD4870"/>
    <w:rsid w:val="00CD5424"/>
    <w:rsid w:val="00CD5D55"/>
    <w:rsid w:val="00CD6DE6"/>
    <w:rsid w:val="00CE343C"/>
    <w:rsid w:val="00CE6AC0"/>
    <w:rsid w:val="00CE6B49"/>
    <w:rsid w:val="00CF2A1C"/>
    <w:rsid w:val="00CF6A0F"/>
    <w:rsid w:val="00CF7028"/>
    <w:rsid w:val="00D01C89"/>
    <w:rsid w:val="00D01DD1"/>
    <w:rsid w:val="00D066D0"/>
    <w:rsid w:val="00D11B84"/>
    <w:rsid w:val="00D126B9"/>
    <w:rsid w:val="00D139D0"/>
    <w:rsid w:val="00D14BA4"/>
    <w:rsid w:val="00D16CEE"/>
    <w:rsid w:val="00D17C0B"/>
    <w:rsid w:val="00D20C5B"/>
    <w:rsid w:val="00D20FB9"/>
    <w:rsid w:val="00D343B1"/>
    <w:rsid w:val="00D37EE1"/>
    <w:rsid w:val="00D40770"/>
    <w:rsid w:val="00D450DF"/>
    <w:rsid w:val="00D47EF7"/>
    <w:rsid w:val="00D52291"/>
    <w:rsid w:val="00D523F8"/>
    <w:rsid w:val="00D53FB4"/>
    <w:rsid w:val="00D559CD"/>
    <w:rsid w:val="00D55F4D"/>
    <w:rsid w:val="00D5709F"/>
    <w:rsid w:val="00D60A81"/>
    <w:rsid w:val="00D610D7"/>
    <w:rsid w:val="00D621C6"/>
    <w:rsid w:val="00D646B1"/>
    <w:rsid w:val="00D658DB"/>
    <w:rsid w:val="00D73390"/>
    <w:rsid w:val="00D737E1"/>
    <w:rsid w:val="00D8094B"/>
    <w:rsid w:val="00D8099F"/>
    <w:rsid w:val="00D81E6A"/>
    <w:rsid w:val="00D84CEE"/>
    <w:rsid w:val="00D866DD"/>
    <w:rsid w:val="00D877A3"/>
    <w:rsid w:val="00D90584"/>
    <w:rsid w:val="00D90904"/>
    <w:rsid w:val="00D927F1"/>
    <w:rsid w:val="00D94D79"/>
    <w:rsid w:val="00D94DBD"/>
    <w:rsid w:val="00D95C89"/>
    <w:rsid w:val="00D963CF"/>
    <w:rsid w:val="00D977A6"/>
    <w:rsid w:val="00DA1339"/>
    <w:rsid w:val="00DA2EF0"/>
    <w:rsid w:val="00DA359E"/>
    <w:rsid w:val="00DA4FA6"/>
    <w:rsid w:val="00DA5272"/>
    <w:rsid w:val="00DA5B3A"/>
    <w:rsid w:val="00DA723F"/>
    <w:rsid w:val="00DA79FC"/>
    <w:rsid w:val="00DB1514"/>
    <w:rsid w:val="00DB1EA7"/>
    <w:rsid w:val="00DC13AF"/>
    <w:rsid w:val="00DC44C7"/>
    <w:rsid w:val="00DD2744"/>
    <w:rsid w:val="00DE44CB"/>
    <w:rsid w:val="00DE61EC"/>
    <w:rsid w:val="00DF01E7"/>
    <w:rsid w:val="00DF0656"/>
    <w:rsid w:val="00DF225B"/>
    <w:rsid w:val="00DF3BC9"/>
    <w:rsid w:val="00DF5DBB"/>
    <w:rsid w:val="00E12234"/>
    <w:rsid w:val="00E15E9B"/>
    <w:rsid w:val="00E17F93"/>
    <w:rsid w:val="00E2084D"/>
    <w:rsid w:val="00E21E05"/>
    <w:rsid w:val="00E22071"/>
    <w:rsid w:val="00E24351"/>
    <w:rsid w:val="00E2451F"/>
    <w:rsid w:val="00E26C58"/>
    <w:rsid w:val="00E27C06"/>
    <w:rsid w:val="00E302DD"/>
    <w:rsid w:val="00E3149A"/>
    <w:rsid w:val="00E3582D"/>
    <w:rsid w:val="00E36CE7"/>
    <w:rsid w:val="00E3721B"/>
    <w:rsid w:val="00E37CA7"/>
    <w:rsid w:val="00E471CB"/>
    <w:rsid w:val="00E47217"/>
    <w:rsid w:val="00E50A89"/>
    <w:rsid w:val="00E515C5"/>
    <w:rsid w:val="00E52BF8"/>
    <w:rsid w:val="00E550C0"/>
    <w:rsid w:val="00E62C4A"/>
    <w:rsid w:val="00E63597"/>
    <w:rsid w:val="00E6528D"/>
    <w:rsid w:val="00E6601C"/>
    <w:rsid w:val="00E67DD7"/>
    <w:rsid w:val="00E700B4"/>
    <w:rsid w:val="00E70B1C"/>
    <w:rsid w:val="00E724CD"/>
    <w:rsid w:val="00E72D4E"/>
    <w:rsid w:val="00E7353A"/>
    <w:rsid w:val="00E73547"/>
    <w:rsid w:val="00E735CD"/>
    <w:rsid w:val="00E74C5B"/>
    <w:rsid w:val="00E7556F"/>
    <w:rsid w:val="00E76797"/>
    <w:rsid w:val="00E76A53"/>
    <w:rsid w:val="00E77517"/>
    <w:rsid w:val="00E80927"/>
    <w:rsid w:val="00E84EB0"/>
    <w:rsid w:val="00E92DBA"/>
    <w:rsid w:val="00E959D8"/>
    <w:rsid w:val="00E971DD"/>
    <w:rsid w:val="00E9736F"/>
    <w:rsid w:val="00EA3E0C"/>
    <w:rsid w:val="00EA474A"/>
    <w:rsid w:val="00EA6361"/>
    <w:rsid w:val="00EB1D87"/>
    <w:rsid w:val="00EB422A"/>
    <w:rsid w:val="00EC44CA"/>
    <w:rsid w:val="00ED2565"/>
    <w:rsid w:val="00ED7D80"/>
    <w:rsid w:val="00ED7E74"/>
    <w:rsid w:val="00EE0D63"/>
    <w:rsid w:val="00EE28EA"/>
    <w:rsid w:val="00EE335D"/>
    <w:rsid w:val="00EE3590"/>
    <w:rsid w:val="00EE416A"/>
    <w:rsid w:val="00EE65CF"/>
    <w:rsid w:val="00EE6D3F"/>
    <w:rsid w:val="00EE71DE"/>
    <w:rsid w:val="00EF39AF"/>
    <w:rsid w:val="00EF5304"/>
    <w:rsid w:val="00F031E4"/>
    <w:rsid w:val="00F10F21"/>
    <w:rsid w:val="00F1283F"/>
    <w:rsid w:val="00F132E8"/>
    <w:rsid w:val="00F1594A"/>
    <w:rsid w:val="00F16FCB"/>
    <w:rsid w:val="00F173FD"/>
    <w:rsid w:val="00F2134E"/>
    <w:rsid w:val="00F213CB"/>
    <w:rsid w:val="00F214C9"/>
    <w:rsid w:val="00F23525"/>
    <w:rsid w:val="00F2596C"/>
    <w:rsid w:val="00F27A5D"/>
    <w:rsid w:val="00F31012"/>
    <w:rsid w:val="00F37EED"/>
    <w:rsid w:val="00F405EE"/>
    <w:rsid w:val="00F434D1"/>
    <w:rsid w:val="00F44065"/>
    <w:rsid w:val="00F50ED8"/>
    <w:rsid w:val="00F52865"/>
    <w:rsid w:val="00F52B72"/>
    <w:rsid w:val="00F5371C"/>
    <w:rsid w:val="00F54956"/>
    <w:rsid w:val="00F56232"/>
    <w:rsid w:val="00F602F7"/>
    <w:rsid w:val="00F62FF6"/>
    <w:rsid w:val="00F648C0"/>
    <w:rsid w:val="00F71B19"/>
    <w:rsid w:val="00F72B12"/>
    <w:rsid w:val="00F83BAD"/>
    <w:rsid w:val="00F845A6"/>
    <w:rsid w:val="00F935F3"/>
    <w:rsid w:val="00F94E7E"/>
    <w:rsid w:val="00F95A99"/>
    <w:rsid w:val="00F963CA"/>
    <w:rsid w:val="00F97E92"/>
    <w:rsid w:val="00FA0E95"/>
    <w:rsid w:val="00FA1445"/>
    <w:rsid w:val="00FA45DA"/>
    <w:rsid w:val="00FB2F5D"/>
    <w:rsid w:val="00FB4CD6"/>
    <w:rsid w:val="00FB7F85"/>
    <w:rsid w:val="00FC084F"/>
    <w:rsid w:val="00FC1D56"/>
    <w:rsid w:val="00FC2DF1"/>
    <w:rsid w:val="00FC4091"/>
    <w:rsid w:val="00FC4BA7"/>
    <w:rsid w:val="00FC5526"/>
    <w:rsid w:val="00FC7FE1"/>
    <w:rsid w:val="00FD46FD"/>
    <w:rsid w:val="00FD56EA"/>
    <w:rsid w:val="00FE0069"/>
    <w:rsid w:val="00FE01B3"/>
    <w:rsid w:val="00FE41FB"/>
    <w:rsid w:val="00FE5D9F"/>
    <w:rsid w:val="00FE5E82"/>
    <w:rsid w:val="00FE6A7E"/>
    <w:rsid w:val="00FF087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76CD3"/>
  <w15:chartTrackingRefBased/>
  <w15:docId w15:val="{7981D69D-D0DD-42CB-889B-F67F8BCE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128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1283F"/>
    <w:rPr>
      <w:color w:val="5A5A5A" w:themeColor="text1" w:themeTint="A5"/>
      <w:spacing w:val="15"/>
    </w:rPr>
  </w:style>
  <w:style w:type="character" w:styleId="PlaceholderText">
    <w:name w:val="Placeholder Text"/>
    <w:basedOn w:val="DefaultParagraphFont"/>
    <w:uiPriority w:val="99"/>
    <w:semiHidden/>
    <w:rsid w:val="00945A90"/>
    <w:rPr>
      <w:color w:val="808080"/>
    </w:rPr>
  </w:style>
  <w:style w:type="character" w:styleId="IntenseEmphasis">
    <w:name w:val="Intense Emphasis"/>
    <w:basedOn w:val="DefaultParagraphFont"/>
    <w:uiPriority w:val="21"/>
    <w:qFormat/>
    <w:rsid w:val="004B2DBB"/>
    <w:rPr>
      <w:i/>
      <w:iCs/>
      <w:color w:val="4472C4" w:themeColor="accent1"/>
    </w:rPr>
  </w:style>
  <w:style w:type="paragraph" w:styleId="Header">
    <w:name w:val="header"/>
    <w:basedOn w:val="Normal"/>
    <w:link w:val="HeaderChar"/>
    <w:uiPriority w:val="99"/>
    <w:unhideWhenUsed/>
    <w:rsid w:val="00F95A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A99"/>
  </w:style>
  <w:style w:type="paragraph" w:styleId="Footer">
    <w:name w:val="footer"/>
    <w:basedOn w:val="Normal"/>
    <w:link w:val="FooterChar"/>
    <w:uiPriority w:val="99"/>
    <w:unhideWhenUsed/>
    <w:rsid w:val="00F95A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A99"/>
  </w:style>
  <w:style w:type="table" w:styleId="TableGridLight">
    <w:name w:val="Grid Table Light"/>
    <w:basedOn w:val="TableNormal"/>
    <w:uiPriority w:val="40"/>
    <w:rsid w:val="00C70D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E1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6663"/>
    <w:pPr>
      <w:autoSpaceDE w:val="0"/>
      <w:autoSpaceDN w:val="0"/>
      <w:adjustRightInd w:val="0"/>
      <w:spacing w:after="0" w:line="240" w:lineRule="auto"/>
    </w:pPr>
    <w:rPr>
      <w:rFonts w:ascii="Avenir Next Cyr Light" w:hAnsi="Avenir Next Cyr Light" w:cs="Avenir Next Cyr Light"/>
      <w:color w:val="000000"/>
      <w:sz w:val="24"/>
      <w:szCs w:val="24"/>
    </w:rPr>
  </w:style>
  <w:style w:type="paragraph" w:customStyle="1" w:styleId="Pa3">
    <w:name w:val="Pa3"/>
    <w:basedOn w:val="Default"/>
    <w:next w:val="Default"/>
    <w:uiPriority w:val="99"/>
    <w:rsid w:val="00936663"/>
    <w:pPr>
      <w:spacing w:line="241" w:lineRule="atLeast"/>
    </w:pPr>
    <w:rPr>
      <w:rFonts w:cstheme="minorBidi"/>
      <w:color w:val="auto"/>
    </w:rPr>
  </w:style>
  <w:style w:type="character" w:customStyle="1" w:styleId="A4">
    <w:name w:val="A4"/>
    <w:uiPriority w:val="99"/>
    <w:rsid w:val="00936663"/>
    <w:rPr>
      <w:rFonts w:cs="Avenir Next Cyr Light"/>
      <w:color w:val="221E1F"/>
      <w:sz w:val="46"/>
      <w:szCs w:val="46"/>
    </w:rPr>
  </w:style>
  <w:style w:type="character" w:customStyle="1" w:styleId="5yl5">
    <w:name w:val="_5yl5"/>
    <w:basedOn w:val="DefaultParagraphFont"/>
    <w:rsid w:val="00AF676F"/>
  </w:style>
  <w:style w:type="character" w:styleId="CommentReference">
    <w:name w:val="annotation reference"/>
    <w:basedOn w:val="DefaultParagraphFont"/>
    <w:uiPriority w:val="99"/>
    <w:semiHidden/>
    <w:unhideWhenUsed/>
    <w:rsid w:val="001A7EC8"/>
    <w:rPr>
      <w:sz w:val="16"/>
      <w:szCs w:val="16"/>
    </w:rPr>
  </w:style>
  <w:style w:type="paragraph" w:styleId="CommentText">
    <w:name w:val="annotation text"/>
    <w:basedOn w:val="Normal"/>
    <w:link w:val="CommentTextChar"/>
    <w:uiPriority w:val="99"/>
    <w:semiHidden/>
    <w:unhideWhenUsed/>
    <w:rsid w:val="001A7EC8"/>
    <w:pPr>
      <w:spacing w:line="240" w:lineRule="auto"/>
    </w:pPr>
    <w:rPr>
      <w:sz w:val="20"/>
      <w:szCs w:val="20"/>
    </w:rPr>
  </w:style>
  <w:style w:type="character" w:customStyle="1" w:styleId="CommentTextChar">
    <w:name w:val="Comment Text Char"/>
    <w:basedOn w:val="DefaultParagraphFont"/>
    <w:link w:val="CommentText"/>
    <w:uiPriority w:val="99"/>
    <w:semiHidden/>
    <w:rsid w:val="001A7EC8"/>
    <w:rPr>
      <w:sz w:val="20"/>
      <w:szCs w:val="20"/>
    </w:rPr>
  </w:style>
  <w:style w:type="paragraph" w:styleId="CommentSubject">
    <w:name w:val="annotation subject"/>
    <w:basedOn w:val="CommentText"/>
    <w:next w:val="CommentText"/>
    <w:link w:val="CommentSubjectChar"/>
    <w:uiPriority w:val="99"/>
    <w:semiHidden/>
    <w:unhideWhenUsed/>
    <w:rsid w:val="001A7EC8"/>
    <w:rPr>
      <w:b/>
      <w:bCs/>
    </w:rPr>
  </w:style>
  <w:style w:type="character" w:customStyle="1" w:styleId="CommentSubjectChar">
    <w:name w:val="Comment Subject Char"/>
    <w:basedOn w:val="CommentTextChar"/>
    <w:link w:val="CommentSubject"/>
    <w:uiPriority w:val="99"/>
    <w:semiHidden/>
    <w:rsid w:val="001A7EC8"/>
    <w:rPr>
      <w:b/>
      <w:bCs/>
      <w:sz w:val="20"/>
      <w:szCs w:val="20"/>
    </w:rPr>
  </w:style>
  <w:style w:type="paragraph" w:styleId="BalloonText">
    <w:name w:val="Balloon Text"/>
    <w:basedOn w:val="Normal"/>
    <w:link w:val="BalloonTextChar"/>
    <w:uiPriority w:val="99"/>
    <w:semiHidden/>
    <w:unhideWhenUsed/>
    <w:rsid w:val="001A7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EC8"/>
    <w:rPr>
      <w:rFonts w:ascii="Segoe UI" w:hAnsi="Segoe UI" w:cs="Segoe UI"/>
      <w:sz w:val="18"/>
      <w:szCs w:val="18"/>
    </w:rPr>
  </w:style>
  <w:style w:type="paragraph" w:styleId="ListParagraph">
    <w:name w:val="List Paragraph"/>
    <w:basedOn w:val="Normal"/>
    <w:uiPriority w:val="34"/>
    <w:qFormat/>
    <w:rsid w:val="00A93CE7"/>
    <w:pPr>
      <w:ind w:left="720"/>
      <w:contextualSpacing/>
    </w:pPr>
  </w:style>
  <w:style w:type="character" w:customStyle="1" w:styleId="Heading1Char">
    <w:name w:val="Heading 1 Char"/>
    <w:basedOn w:val="DefaultParagraphFont"/>
    <w:link w:val="Heading1"/>
    <w:uiPriority w:val="9"/>
    <w:rsid w:val="00576B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6223">
      <w:bodyDiv w:val="1"/>
      <w:marLeft w:val="0"/>
      <w:marRight w:val="0"/>
      <w:marTop w:val="0"/>
      <w:marBottom w:val="0"/>
      <w:divBdr>
        <w:top w:val="none" w:sz="0" w:space="0" w:color="auto"/>
        <w:left w:val="none" w:sz="0" w:space="0" w:color="auto"/>
        <w:bottom w:val="none" w:sz="0" w:space="0" w:color="auto"/>
        <w:right w:val="none" w:sz="0" w:space="0" w:color="auto"/>
      </w:divBdr>
    </w:div>
    <w:div w:id="44182165">
      <w:bodyDiv w:val="1"/>
      <w:marLeft w:val="0"/>
      <w:marRight w:val="0"/>
      <w:marTop w:val="0"/>
      <w:marBottom w:val="0"/>
      <w:divBdr>
        <w:top w:val="none" w:sz="0" w:space="0" w:color="auto"/>
        <w:left w:val="none" w:sz="0" w:space="0" w:color="auto"/>
        <w:bottom w:val="none" w:sz="0" w:space="0" w:color="auto"/>
        <w:right w:val="none" w:sz="0" w:space="0" w:color="auto"/>
      </w:divBdr>
    </w:div>
    <w:div w:id="68578051">
      <w:bodyDiv w:val="1"/>
      <w:marLeft w:val="0"/>
      <w:marRight w:val="0"/>
      <w:marTop w:val="0"/>
      <w:marBottom w:val="0"/>
      <w:divBdr>
        <w:top w:val="none" w:sz="0" w:space="0" w:color="auto"/>
        <w:left w:val="none" w:sz="0" w:space="0" w:color="auto"/>
        <w:bottom w:val="none" w:sz="0" w:space="0" w:color="auto"/>
        <w:right w:val="none" w:sz="0" w:space="0" w:color="auto"/>
      </w:divBdr>
    </w:div>
    <w:div w:id="68770493">
      <w:bodyDiv w:val="1"/>
      <w:marLeft w:val="0"/>
      <w:marRight w:val="0"/>
      <w:marTop w:val="0"/>
      <w:marBottom w:val="0"/>
      <w:divBdr>
        <w:top w:val="none" w:sz="0" w:space="0" w:color="auto"/>
        <w:left w:val="none" w:sz="0" w:space="0" w:color="auto"/>
        <w:bottom w:val="none" w:sz="0" w:space="0" w:color="auto"/>
        <w:right w:val="none" w:sz="0" w:space="0" w:color="auto"/>
      </w:divBdr>
    </w:div>
    <w:div w:id="69694837">
      <w:bodyDiv w:val="1"/>
      <w:marLeft w:val="0"/>
      <w:marRight w:val="0"/>
      <w:marTop w:val="0"/>
      <w:marBottom w:val="0"/>
      <w:divBdr>
        <w:top w:val="none" w:sz="0" w:space="0" w:color="auto"/>
        <w:left w:val="none" w:sz="0" w:space="0" w:color="auto"/>
        <w:bottom w:val="none" w:sz="0" w:space="0" w:color="auto"/>
        <w:right w:val="none" w:sz="0" w:space="0" w:color="auto"/>
      </w:divBdr>
    </w:div>
    <w:div w:id="100224164">
      <w:bodyDiv w:val="1"/>
      <w:marLeft w:val="0"/>
      <w:marRight w:val="0"/>
      <w:marTop w:val="0"/>
      <w:marBottom w:val="0"/>
      <w:divBdr>
        <w:top w:val="none" w:sz="0" w:space="0" w:color="auto"/>
        <w:left w:val="none" w:sz="0" w:space="0" w:color="auto"/>
        <w:bottom w:val="none" w:sz="0" w:space="0" w:color="auto"/>
        <w:right w:val="none" w:sz="0" w:space="0" w:color="auto"/>
      </w:divBdr>
    </w:div>
    <w:div w:id="120534450">
      <w:bodyDiv w:val="1"/>
      <w:marLeft w:val="0"/>
      <w:marRight w:val="0"/>
      <w:marTop w:val="0"/>
      <w:marBottom w:val="0"/>
      <w:divBdr>
        <w:top w:val="none" w:sz="0" w:space="0" w:color="auto"/>
        <w:left w:val="none" w:sz="0" w:space="0" w:color="auto"/>
        <w:bottom w:val="none" w:sz="0" w:space="0" w:color="auto"/>
        <w:right w:val="none" w:sz="0" w:space="0" w:color="auto"/>
      </w:divBdr>
    </w:div>
    <w:div w:id="141889530">
      <w:bodyDiv w:val="1"/>
      <w:marLeft w:val="0"/>
      <w:marRight w:val="0"/>
      <w:marTop w:val="0"/>
      <w:marBottom w:val="0"/>
      <w:divBdr>
        <w:top w:val="none" w:sz="0" w:space="0" w:color="auto"/>
        <w:left w:val="none" w:sz="0" w:space="0" w:color="auto"/>
        <w:bottom w:val="none" w:sz="0" w:space="0" w:color="auto"/>
        <w:right w:val="none" w:sz="0" w:space="0" w:color="auto"/>
      </w:divBdr>
    </w:div>
    <w:div w:id="163859613">
      <w:bodyDiv w:val="1"/>
      <w:marLeft w:val="0"/>
      <w:marRight w:val="0"/>
      <w:marTop w:val="0"/>
      <w:marBottom w:val="0"/>
      <w:divBdr>
        <w:top w:val="none" w:sz="0" w:space="0" w:color="auto"/>
        <w:left w:val="none" w:sz="0" w:space="0" w:color="auto"/>
        <w:bottom w:val="none" w:sz="0" w:space="0" w:color="auto"/>
        <w:right w:val="none" w:sz="0" w:space="0" w:color="auto"/>
      </w:divBdr>
    </w:div>
    <w:div w:id="180053543">
      <w:bodyDiv w:val="1"/>
      <w:marLeft w:val="0"/>
      <w:marRight w:val="0"/>
      <w:marTop w:val="0"/>
      <w:marBottom w:val="0"/>
      <w:divBdr>
        <w:top w:val="none" w:sz="0" w:space="0" w:color="auto"/>
        <w:left w:val="none" w:sz="0" w:space="0" w:color="auto"/>
        <w:bottom w:val="none" w:sz="0" w:space="0" w:color="auto"/>
        <w:right w:val="none" w:sz="0" w:space="0" w:color="auto"/>
      </w:divBdr>
    </w:div>
    <w:div w:id="209076498">
      <w:bodyDiv w:val="1"/>
      <w:marLeft w:val="0"/>
      <w:marRight w:val="0"/>
      <w:marTop w:val="0"/>
      <w:marBottom w:val="0"/>
      <w:divBdr>
        <w:top w:val="none" w:sz="0" w:space="0" w:color="auto"/>
        <w:left w:val="none" w:sz="0" w:space="0" w:color="auto"/>
        <w:bottom w:val="none" w:sz="0" w:space="0" w:color="auto"/>
        <w:right w:val="none" w:sz="0" w:space="0" w:color="auto"/>
      </w:divBdr>
    </w:div>
    <w:div w:id="245652161">
      <w:bodyDiv w:val="1"/>
      <w:marLeft w:val="0"/>
      <w:marRight w:val="0"/>
      <w:marTop w:val="0"/>
      <w:marBottom w:val="0"/>
      <w:divBdr>
        <w:top w:val="none" w:sz="0" w:space="0" w:color="auto"/>
        <w:left w:val="none" w:sz="0" w:space="0" w:color="auto"/>
        <w:bottom w:val="none" w:sz="0" w:space="0" w:color="auto"/>
        <w:right w:val="none" w:sz="0" w:space="0" w:color="auto"/>
      </w:divBdr>
    </w:div>
    <w:div w:id="329531264">
      <w:bodyDiv w:val="1"/>
      <w:marLeft w:val="0"/>
      <w:marRight w:val="0"/>
      <w:marTop w:val="0"/>
      <w:marBottom w:val="0"/>
      <w:divBdr>
        <w:top w:val="none" w:sz="0" w:space="0" w:color="auto"/>
        <w:left w:val="none" w:sz="0" w:space="0" w:color="auto"/>
        <w:bottom w:val="none" w:sz="0" w:space="0" w:color="auto"/>
        <w:right w:val="none" w:sz="0" w:space="0" w:color="auto"/>
      </w:divBdr>
    </w:div>
    <w:div w:id="353921179">
      <w:bodyDiv w:val="1"/>
      <w:marLeft w:val="0"/>
      <w:marRight w:val="0"/>
      <w:marTop w:val="0"/>
      <w:marBottom w:val="0"/>
      <w:divBdr>
        <w:top w:val="none" w:sz="0" w:space="0" w:color="auto"/>
        <w:left w:val="none" w:sz="0" w:space="0" w:color="auto"/>
        <w:bottom w:val="none" w:sz="0" w:space="0" w:color="auto"/>
        <w:right w:val="none" w:sz="0" w:space="0" w:color="auto"/>
      </w:divBdr>
    </w:div>
    <w:div w:id="359286633">
      <w:bodyDiv w:val="1"/>
      <w:marLeft w:val="0"/>
      <w:marRight w:val="0"/>
      <w:marTop w:val="0"/>
      <w:marBottom w:val="0"/>
      <w:divBdr>
        <w:top w:val="none" w:sz="0" w:space="0" w:color="auto"/>
        <w:left w:val="none" w:sz="0" w:space="0" w:color="auto"/>
        <w:bottom w:val="none" w:sz="0" w:space="0" w:color="auto"/>
        <w:right w:val="none" w:sz="0" w:space="0" w:color="auto"/>
      </w:divBdr>
    </w:div>
    <w:div w:id="362902669">
      <w:bodyDiv w:val="1"/>
      <w:marLeft w:val="0"/>
      <w:marRight w:val="0"/>
      <w:marTop w:val="0"/>
      <w:marBottom w:val="0"/>
      <w:divBdr>
        <w:top w:val="none" w:sz="0" w:space="0" w:color="auto"/>
        <w:left w:val="none" w:sz="0" w:space="0" w:color="auto"/>
        <w:bottom w:val="none" w:sz="0" w:space="0" w:color="auto"/>
        <w:right w:val="none" w:sz="0" w:space="0" w:color="auto"/>
      </w:divBdr>
    </w:div>
    <w:div w:id="363869981">
      <w:bodyDiv w:val="1"/>
      <w:marLeft w:val="0"/>
      <w:marRight w:val="0"/>
      <w:marTop w:val="0"/>
      <w:marBottom w:val="0"/>
      <w:divBdr>
        <w:top w:val="none" w:sz="0" w:space="0" w:color="auto"/>
        <w:left w:val="none" w:sz="0" w:space="0" w:color="auto"/>
        <w:bottom w:val="none" w:sz="0" w:space="0" w:color="auto"/>
        <w:right w:val="none" w:sz="0" w:space="0" w:color="auto"/>
      </w:divBdr>
    </w:div>
    <w:div w:id="364063655">
      <w:bodyDiv w:val="1"/>
      <w:marLeft w:val="0"/>
      <w:marRight w:val="0"/>
      <w:marTop w:val="0"/>
      <w:marBottom w:val="0"/>
      <w:divBdr>
        <w:top w:val="none" w:sz="0" w:space="0" w:color="auto"/>
        <w:left w:val="none" w:sz="0" w:space="0" w:color="auto"/>
        <w:bottom w:val="none" w:sz="0" w:space="0" w:color="auto"/>
        <w:right w:val="none" w:sz="0" w:space="0" w:color="auto"/>
      </w:divBdr>
    </w:div>
    <w:div w:id="371883012">
      <w:bodyDiv w:val="1"/>
      <w:marLeft w:val="0"/>
      <w:marRight w:val="0"/>
      <w:marTop w:val="0"/>
      <w:marBottom w:val="0"/>
      <w:divBdr>
        <w:top w:val="none" w:sz="0" w:space="0" w:color="auto"/>
        <w:left w:val="none" w:sz="0" w:space="0" w:color="auto"/>
        <w:bottom w:val="none" w:sz="0" w:space="0" w:color="auto"/>
        <w:right w:val="none" w:sz="0" w:space="0" w:color="auto"/>
      </w:divBdr>
    </w:div>
    <w:div w:id="395668157">
      <w:bodyDiv w:val="1"/>
      <w:marLeft w:val="0"/>
      <w:marRight w:val="0"/>
      <w:marTop w:val="0"/>
      <w:marBottom w:val="0"/>
      <w:divBdr>
        <w:top w:val="none" w:sz="0" w:space="0" w:color="auto"/>
        <w:left w:val="none" w:sz="0" w:space="0" w:color="auto"/>
        <w:bottom w:val="none" w:sz="0" w:space="0" w:color="auto"/>
        <w:right w:val="none" w:sz="0" w:space="0" w:color="auto"/>
      </w:divBdr>
    </w:div>
    <w:div w:id="396785472">
      <w:bodyDiv w:val="1"/>
      <w:marLeft w:val="0"/>
      <w:marRight w:val="0"/>
      <w:marTop w:val="0"/>
      <w:marBottom w:val="0"/>
      <w:divBdr>
        <w:top w:val="none" w:sz="0" w:space="0" w:color="auto"/>
        <w:left w:val="none" w:sz="0" w:space="0" w:color="auto"/>
        <w:bottom w:val="none" w:sz="0" w:space="0" w:color="auto"/>
        <w:right w:val="none" w:sz="0" w:space="0" w:color="auto"/>
      </w:divBdr>
    </w:div>
    <w:div w:id="414477730">
      <w:bodyDiv w:val="1"/>
      <w:marLeft w:val="0"/>
      <w:marRight w:val="0"/>
      <w:marTop w:val="0"/>
      <w:marBottom w:val="0"/>
      <w:divBdr>
        <w:top w:val="none" w:sz="0" w:space="0" w:color="auto"/>
        <w:left w:val="none" w:sz="0" w:space="0" w:color="auto"/>
        <w:bottom w:val="none" w:sz="0" w:space="0" w:color="auto"/>
        <w:right w:val="none" w:sz="0" w:space="0" w:color="auto"/>
      </w:divBdr>
    </w:div>
    <w:div w:id="437722850">
      <w:bodyDiv w:val="1"/>
      <w:marLeft w:val="0"/>
      <w:marRight w:val="0"/>
      <w:marTop w:val="0"/>
      <w:marBottom w:val="0"/>
      <w:divBdr>
        <w:top w:val="none" w:sz="0" w:space="0" w:color="auto"/>
        <w:left w:val="none" w:sz="0" w:space="0" w:color="auto"/>
        <w:bottom w:val="none" w:sz="0" w:space="0" w:color="auto"/>
        <w:right w:val="none" w:sz="0" w:space="0" w:color="auto"/>
      </w:divBdr>
    </w:div>
    <w:div w:id="447507853">
      <w:bodyDiv w:val="1"/>
      <w:marLeft w:val="0"/>
      <w:marRight w:val="0"/>
      <w:marTop w:val="0"/>
      <w:marBottom w:val="0"/>
      <w:divBdr>
        <w:top w:val="none" w:sz="0" w:space="0" w:color="auto"/>
        <w:left w:val="none" w:sz="0" w:space="0" w:color="auto"/>
        <w:bottom w:val="none" w:sz="0" w:space="0" w:color="auto"/>
        <w:right w:val="none" w:sz="0" w:space="0" w:color="auto"/>
      </w:divBdr>
    </w:div>
    <w:div w:id="468400751">
      <w:bodyDiv w:val="1"/>
      <w:marLeft w:val="0"/>
      <w:marRight w:val="0"/>
      <w:marTop w:val="0"/>
      <w:marBottom w:val="0"/>
      <w:divBdr>
        <w:top w:val="none" w:sz="0" w:space="0" w:color="auto"/>
        <w:left w:val="none" w:sz="0" w:space="0" w:color="auto"/>
        <w:bottom w:val="none" w:sz="0" w:space="0" w:color="auto"/>
        <w:right w:val="none" w:sz="0" w:space="0" w:color="auto"/>
      </w:divBdr>
    </w:div>
    <w:div w:id="472479748">
      <w:bodyDiv w:val="1"/>
      <w:marLeft w:val="0"/>
      <w:marRight w:val="0"/>
      <w:marTop w:val="0"/>
      <w:marBottom w:val="0"/>
      <w:divBdr>
        <w:top w:val="none" w:sz="0" w:space="0" w:color="auto"/>
        <w:left w:val="none" w:sz="0" w:space="0" w:color="auto"/>
        <w:bottom w:val="none" w:sz="0" w:space="0" w:color="auto"/>
        <w:right w:val="none" w:sz="0" w:space="0" w:color="auto"/>
      </w:divBdr>
    </w:div>
    <w:div w:id="495800762">
      <w:bodyDiv w:val="1"/>
      <w:marLeft w:val="0"/>
      <w:marRight w:val="0"/>
      <w:marTop w:val="0"/>
      <w:marBottom w:val="0"/>
      <w:divBdr>
        <w:top w:val="none" w:sz="0" w:space="0" w:color="auto"/>
        <w:left w:val="none" w:sz="0" w:space="0" w:color="auto"/>
        <w:bottom w:val="none" w:sz="0" w:space="0" w:color="auto"/>
        <w:right w:val="none" w:sz="0" w:space="0" w:color="auto"/>
      </w:divBdr>
    </w:div>
    <w:div w:id="508911366">
      <w:bodyDiv w:val="1"/>
      <w:marLeft w:val="0"/>
      <w:marRight w:val="0"/>
      <w:marTop w:val="0"/>
      <w:marBottom w:val="0"/>
      <w:divBdr>
        <w:top w:val="none" w:sz="0" w:space="0" w:color="auto"/>
        <w:left w:val="none" w:sz="0" w:space="0" w:color="auto"/>
        <w:bottom w:val="none" w:sz="0" w:space="0" w:color="auto"/>
        <w:right w:val="none" w:sz="0" w:space="0" w:color="auto"/>
      </w:divBdr>
    </w:div>
    <w:div w:id="525172282">
      <w:bodyDiv w:val="1"/>
      <w:marLeft w:val="0"/>
      <w:marRight w:val="0"/>
      <w:marTop w:val="0"/>
      <w:marBottom w:val="0"/>
      <w:divBdr>
        <w:top w:val="none" w:sz="0" w:space="0" w:color="auto"/>
        <w:left w:val="none" w:sz="0" w:space="0" w:color="auto"/>
        <w:bottom w:val="none" w:sz="0" w:space="0" w:color="auto"/>
        <w:right w:val="none" w:sz="0" w:space="0" w:color="auto"/>
      </w:divBdr>
    </w:div>
    <w:div w:id="526677380">
      <w:bodyDiv w:val="1"/>
      <w:marLeft w:val="0"/>
      <w:marRight w:val="0"/>
      <w:marTop w:val="0"/>
      <w:marBottom w:val="0"/>
      <w:divBdr>
        <w:top w:val="none" w:sz="0" w:space="0" w:color="auto"/>
        <w:left w:val="none" w:sz="0" w:space="0" w:color="auto"/>
        <w:bottom w:val="none" w:sz="0" w:space="0" w:color="auto"/>
        <w:right w:val="none" w:sz="0" w:space="0" w:color="auto"/>
      </w:divBdr>
    </w:div>
    <w:div w:id="544873636">
      <w:bodyDiv w:val="1"/>
      <w:marLeft w:val="0"/>
      <w:marRight w:val="0"/>
      <w:marTop w:val="0"/>
      <w:marBottom w:val="0"/>
      <w:divBdr>
        <w:top w:val="none" w:sz="0" w:space="0" w:color="auto"/>
        <w:left w:val="none" w:sz="0" w:space="0" w:color="auto"/>
        <w:bottom w:val="none" w:sz="0" w:space="0" w:color="auto"/>
        <w:right w:val="none" w:sz="0" w:space="0" w:color="auto"/>
      </w:divBdr>
    </w:div>
    <w:div w:id="553270660">
      <w:bodyDiv w:val="1"/>
      <w:marLeft w:val="0"/>
      <w:marRight w:val="0"/>
      <w:marTop w:val="0"/>
      <w:marBottom w:val="0"/>
      <w:divBdr>
        <w:top w:val="none" w:sz="0" w:space="0" w:color="auto"/>
        <w:left w:val="none" w:sz="0" w:space="0" w:color="auto"/>
        <w:bottom w:val="none" w:sz="0" w:space="0" w:color="auto"/>
        <w:right w:val="none" w:sz="0" w:space="0" w:color="auto"/>
      </w:divBdr>
    </w:div>
    <w:div w:id="554699193">
      <w:bodyDiv w:val="1"/>
      <w:marLeft w:val="0"/>
      <w:marRight w:val="0"/>
      <w:marTop w:val="0"/>
      <w:marBottom w:val="0"/>
      <w:divBdr>
        <w:top w:val="none" w:sz="0" w:space="0" w:color="auto"/>
        <w:left w:val="none" w:sz="0" w:space="0" w:color="auto"/>
        <w:bottom w:val="none" w:sz="0" w:space="0" w:color="auto"/>
        <w:right w:val="none" w:sz="0" w:space="0" w:color="auto"/>
      </w:divBdr>
    </w:div>
    <w:div w:id="556627246">
      <w:bodyDiv w:val="1"/>
      <w:marLeft w:val="0"/>
      <w:marRight w:val="0"/>
      <w:marTop w:val="0"/>
      <w:marBottom w:val="0"/>
      <w:divBdr>
        <w:top w:val="none" w:sz="0" w:space="0" w:color="auto"/>
        <w:left w:val="none" w:sz="0" w:space="0" w:color="auto"/>
        <w:bottom w:val="none" w:sz="0" w:space="0" w:color="auto"/>
        <w:right w:val="none" w:sz="0" w:space="0" w:color="auto"/>
      </w:divBdr>
    </w:div>
    <w:div w:id="579828267">
      <w:bodyDiv w:val="1"/>
      <w:marLeft w:val="0"/>
      <w:marRight w:val="0"/>
      <w:marTop w:val="0"/>
      <w:marBottom w:val="0"/>
      <w:divBdr>
        <w:top w:val="none" w:sz="0" w:space="0" w:color="auto"/>
        <w:left w:val="none" w:sz="0" w:space="0" w:color="auto"/>
        <w:bottom w:val="none" w:sz="0" w:space="0" w:color="auto"/>
        <w:right w:val="none" w:sz="0" w:space="0" w:color="auto"/>
      </w:divBdr>
    </w:div>
    <w:div w:id="614798265">
      <w:bodyDiv w:val="1"/>
      <w:marLeft w:val="0"/>
      <w:marRight w:val="0"/>
      <w:marTop w:val="0"/>
      <w:marBottom w:val="0"/>
      <w:divBdr>
        <w:top w:val="none" w:sz="0" w:space="0" w:color="auto"/>
        <w:left w:val="none" w:sz="0" w:space="0" w:color="auto"/>
        <w:bottom w:val="none" w:sz="0" w:space="0" w:color="auto"/>
        <w:right w:val="none" w:sz="0" w:space="0" w:color="auto"/>
      </w:divBdr>
    </w:div>
    <w:div w:id="617104716">
      <w:bodyDiv w:val="1"/>
      <w:marLeft w:val="0"/>
      <w:marRight w:val="0"/>
      <w:marTop w:val="0"/>
      <w:marBottom w:val="0"/>
      <w:divBdr>
        <w:top w:val="none" w:sz="0" w:space="0" w:color="auto"/>
        <w:left w:val="none" w:sz="0" w:space="0" w:color="auto"/>
        <w:bottom w:val="none" w:sz="0" w:space="0" w:color="auto"/>
        <w:right w:val="none" w:sz="0" w:space="0" w:color="auto"/>
      </w:divBdr>
    </w:div>
    <w:div w:id="633751241">
      <w:bodyDiv w:val="1"/>
      <w:marLeft w:val="0"/>
      <w:marRight w:val="0"/>
      <w:marTop w:val="0"/>
      <w:marBottom w:val="0"/>
      <w:divBdr>
        <w:top w:val="none" w:sz="0" w:space="0" w:color="auto"/>
        <w:left w:val="none" w:sz="0" w:space="0" w:color="auto"/>
        <w:bottom w:val="none" w:sz="0" w:space="0" w:color="auto"/>
        <w:right w:val="none" w:sz="0" w:space="0" w:color="auto"/>
      </w:divBdr>
    </w:div>
    <w:div w:id="661085594">
      <w:bodyDiv w:val="1"/>
      <w:marLeft w:val="0"/>
      <w:marRight w:val="0"/>
      <w:marTop w:val="0"/>
      <w:marBottom w:val="0"/>
      <w:divBdr>
        <w:top w:val="none" w:sz="0" w:space="0" w:color="auto"/>
        <w:left w:val="none" w:sz="0" w:space="0" w:color="auto"/>
        <w:bottom w:val="none" w:sz="0" w:space="0" w:color="auto"/>
        <w:right w:val="none" w:sz="0" w:space="0" w:color="auto"/>
      </w:divBdr>
    </w:div>
    <w:div w:id="665982833">
      <w:bodyDiv w:val="1"/>
      <w:marLeft w:val="0"/>
      <w:marRight w:val="0"/>
      <w:marTop w:val="0"/>
      <w:marBottom w:val="0"/>
      <w:divBdr>
        <w:top w:val="none" w:sz="0" w:space="0" w:color="auto"/>
        <w:left w:val="none" w:sz="0" w:space="0" w:color="auto"/>
        <w:bottom w:val="none" w:sz="0" w:space="0" w:color="auto"/>
        <w:right w:val="none" w:sz="0" w:space="0" w:color="auto"/>
      </w:divBdr>
    </w:div>
    <w:div w:id="673799970">
      <w:bodyDiv w:val="1"/>
      <w:marLeft w:val="0"/>
      <w:marRight w:val="0"/>
      <w:marTop w:val="0"/>
      <w:marBottom w:val="0"/>
      <w:divBdr>
        <w:top w:val="none" w:sz="0" w:space="0" w:color="auto"/>
        <w:left w:val="none" w:sz="0" w:space="0" w:color="auto"/>
        <w:bottom w:val="none" w:sz="0" w:space="0" w:color="auto"/>
        <w:right w:val="none" w:sz="0" w:space="0" w:color="auto"/>
      </w:divBdr>
    </w:div>
    <w:div w:id="712463285">
      <w:bodyDiv w:val="1"/>
      <w:marLeft w:val="0"/>
      <w:marRight w:val="0"/>
      <w:marTop w:val="0"/>
      <w:marBottom w:val="0"/>
      <w:divBdr>
        <w:top w:val="none" w:sz="0" w:space="0" w:color="auto"/>
        <w:left w:val="none" w:sz="0" w:space="0" w:color="auto"/>
        <w:bottom w:val="none" w:sz="0" w:space="0" w:color="auto"/>
        <w:right w:val="none" w:sz="0" w:space="0" w:color="auto"/>
      </w:divBdr>
    </w:div>
    <w:div w:id="737091065">
      <w:bodyDiv w:val="1"/>
      <w:marLeft w:val="0"/>
      <w:marRight w:val="0"/>
      <w:marTop w:val="0"/>
      <w:marBottom w:val="0"/>
      <w:divBdr>
        <w:top w:val="none" w:sz="0" w:space="0" w:color="auto"/>
        <w:left w:val="none" w:sz="0" w:space="0" w:color="auto"/>
        <w:bottom w:val="none" w:sz="0" w:space="0" w:color="auto"/>
        <w:right w:val="none" w:sz="0" w:space="0" w:color="auto"/>
      </w:divBdr>
    </w:div>
    <w:div w:id="795639165">
      <w:bodyDiv w:val="1"/>
      <w:marLeft w:val="0"/>
      <w:marRight w:val="0"/>
      <w:marTop w:val="0"/>
      <w:marBottom w:val="0"/>
      <w:divBdr>
        <w:top w:val="none" w:sz="0" w:space="0" w:color="auto"/>
        <w:left w:val="none" w:sz="0" w:space="0" w:color="auto"/>
        <w:bottom w:val="none" w:sz="0" w:space="0" w:color="auto"/>
        <w:right w:val="none" w:sz="0" w:space="0" w:color="auto"/>
      </w:divBdr>
    </w:div>
    <w:div w:id="830829059">
      <w:bodyDiv w:val="1"/>
      <w:marLeft w:val="0"/>
      <w:marRight w:val="0"/>
      <w:marTop w:val="0"/>
      <w:marBottom w:val="0"/>
      <w:divBdr>
        <w:top w:val="none" w:sz="0" w:space="0" w:color="auto"/>
        <w:left w:val="none" w:sz="0" w:space="0" w:color="auto"/>
        <w:bottom w:val="none" w:sz="0" w:space="0" w:color="auto"/>
        <w:right w:val="none" w:sz="0" w:space="0" w:color="auto"/>
      </w:divBdr>
    </w:div>
    <w:div w:id="845830031">
      <w:bodyDiv w:val="1"/>
      <w:marLeft w:val="0"/>
      <w:marRight w:val="0"/>
      <w:marTop w:val="0"/>
      <w:marBottom w:val="0"/>
      <w:divBdr>
        <w:top w:val="none" w:sz="0" w:space="0" w:color="auto"/>
        <w:left w:val="none" w:sz="0" w:space="0" w:color="auto"/>
        <w:bottom w:val="none" w:sz="0" w:space="0" w:color="auto"/>
        <w:right w:val="none" w:sz="0" w:space="0" w:color="auto"/>
      </w:divBdr>
    </w:div>
    <w:div w:id="848250431">
      <w:bodyDiv w:val="1"/>
      <w:marLeft w:val="0"/>
      <w:marRight w:val="0"/>
      <w:marTop w:val="0"/>
      <w:marBottom w:val="0"/>
      <w:divBdr>
        <w:top w:val="none" w:sz="0" w:space="0" w:color="auto"/>
        <w:left w:val="none" w:sz="0" w:space="0" w:color="auto"/>
        <w:bottom w:val="none" w:sz="0" w:space="0" w:color="auto"/>
        <w:right w:val="none" w:sz="0" w:space="0" w:color="auto"/>
      </w:divBdr>
    </w:div>
    <w:div w:id="854349697">
      <w:bodyDiv w:val="1"/>
      <w:marLeft w:val="0"/>
      <w:marRight w:val="0"/>
      <w:marTop w:val="0"/>
      <w:marBottom w:val="0"/>
      <w:divBdr>
        <w:top w:val="none" w:sz="0" w:space="0" w:color="auto"/>
        <w:left w:val="none" w:sz="0" w:space="0" w:color="auto"/>
        <w:bottom w:val="none" w:sz="0" w:space="0" w:color="auto"/>
        <w:right w:val="none" w:sz="0" w:space="0" w:color="auto"/>
      </w:divBdr>
    </w:div>
    <w:div w:id="856961877">
      <w:bodyDiv w:val="1"/>
      <w:marLeft w:val="0"/>
      <w:marRight w:val="0"/>
      <w:marTop w:val="0"/>
      <w:marBottom w:val="0"/>
      <w:divBdr>
        <w:top w:val="none" w:sz="0" w:space="0" w:color="auto"/>
        <w:left w:val="none" w:sz="0" w:space="0" w:color="auto"/>
        <w:bottom w:val="none" w:sz="0" w:space="0" w:color="auto"/>
        <w:right w:val="none" w:sz="0" w:space="0" w:color="auto"/>
      </w:divBdr>
    </w:div>
    <w:div w:id="857548746">
      <w:bodyDiv w:val="1"/>
      <w:marLeft w:val="0"/>
      <w:marRight w:val="0"/>
      <w:marTop w:val="0"/>
      <w:marBottom w:val="0"/>
      <w:divBdr>
        <w:top w:val="none" w:sz="0" w:space="0" w:color="auto"/>
        <w:left w:val="none" w:sz="0" w:space="0" w:color="auto"/>
        <w:bottom w:val="none" w:sz="0" w:space="0" w:color="auto"/>
        <w:right w:val="none" w:sz="0" w:space="0" w:color="auto"/>
      </w:divBdr>
    </w:div>
    <w:div w:id="868567419">
      <w:bodyDiv w:val="1"/>
      <w:marLeft w:val="0"/>
      <w:marRight w:val="0"/>
      <w:marTop w:val="0"/>
      <w:marBottom w:val="0"/>
      <w:divBdr>
        <w:top w:val="none" w:sz="0" w:space="0" w:color="auto"/>
        <w:left w:val="none" w:sz="0" w:space="0" w:color="auto"/>
        <w:bottom w:val="none" w:sz="0" w:space="0" w:color="auto"/>
        <w:right w:val="none" w:sz="0" w:space="0" w:color="auto"/>
      </w:divBdr>
    </w:div>
    <w:div w:id="886986060">
      <w:bodyDiv w:val="1"/>
      <w:marLeft w:val="0"/>
      <w:marRight w:val="0"/>
      <w:marTop w:val="0"/>
      <w:marBottom w:val="0"/>
      <w:divBdr>
        <w:top w:val="none" w:sz="0" w:space="0" w:color="auto"/>
        <w:left w:val="none" w:sz="0" w:space="0" w:color="auto"/>
        <w:bottom w:val="none" w:sz="0" w:space="0" w:color="auto"/>
        <w:right w:val="none" w:sz="0" w:space="0" w:color="auto"/>
      </w:divBdr>
    </w:div>
    <w:div w:id="893781750">
      <w:bodyDiv w:val="1"/>
      <w:marLeft w:val="0"/>
      <w:marRight w:val="0"/>
      <w:marTop w:val="0"/>
      <w:marBottom w:val="0"/>
      <w:divBdr>
        <w:top w:val="none" w:sz="0" w:space="0" w:color="auto"/>
        <w:left w:val="none" w:sz="0" w:space="0" w:color="auto"/>
        <w:bottom w:val="none" w:sz="0" w:space="0" w:color="auto"/>
        <w:right w:val="none" w:sz="0" w:space="0" w:color="auto"/>
      </w:divBdr>
    </w:div>
    <w:div w:id="900292521">
      <w:bodyDiv w:val="1"/>
      <w:marLeft w:val="0"/>
      <w:marRight w:val="0"/>
      <w:marTop w:val="0"/>
      <w:marBottom w:val="0"/>
      <w:divBdr>
        <w:top w:val="none" w:sz="0" w:space="0" w:color="auto"/>
        <w:left w:val="none" w:sz="0" w:space="0" w:color="auto"/>
        <w:bottom w:val="none" w:sz="0" w:space="0" w:color="auto"/>
        <w:right w:val="none" w:sz="0" w:space="0" w:color="auto"/>
      </w:divBdr>
    </w:div>
    <w:div w:id="911038825">
      <w:bodyDiv w:val="1"/>
      <w:marLeft w:val="0"/>
      <w:marRight w:val="0"/>
      <w:marTop w:val="0"/>
      <w:marBottom w:val="0"/>
      <w:divBdr>
        <w:top w:val="none" w:sz="0" w:space="0" w:color="auto"/>
        <w:left w:val="none" w:sz="0" w:space="0" w:color="auto"/>
        <w:bottom w:val="none" w:sz="0" w:space="0" w:color="auto"/>
        <w:right w:val="none" w:sz="0" w:space="0" w:color="auto"/>
      </w:divBdr>
    </w:div>
    <w:div w:id="921454446">
      <w:bodyDiv w:val="1"/>
      <w:marLeft w:val="0"/>
      <w:marRight w:val="0"/>
      <w:marTop w:val="0"/>
      <w:marBottom w:val="0"/>
      <w:divBdr>
        <w:top w:val="none" w:sz="0" w:space="0" w:color="auto"/>
        <w:left w:val="none" w:sz="0" w:space="0" w:color="auto"/>
        <w:bottom w:val="none" w:sz="0" w:space="0" w:color="auto"/>
        <w:right w:val="none" w:sz="0" w:space="0" w:color="auto"/>
      </w:divBdr>
    </w:div>
    <w:div w:id="942612594">
      <w:bodyDiv w:val="1"/>
      <w:marLeft w:val="0"/>
      <w:marRight w:val="0"/>
      <w:marTop w:val="0"/>
      <w:marBottom w:val="0"/>
      <w:divBdr>
        <w:top w:val="none" w:sz="0" w:space="0" w:color="auto"/>
        <w:left w:val="none" w:sz="0" w:space="0" w:color="auto"/>
        <w:bottom w:val="none" w:sz="0" w:space="0" w:color="auto"/>
        <w:right w:val="none" w:sz="0" w:space="0" w:color="auto"/>
      </w:divBdr>
    </w:div>
    <w:div w:id="953370428">
      <w:bodyDiv w:val="1"/>
      <w:marLeft w:val="0"/>
      <w:marRight w:val="0"/>
      <w:marTop w:val="0"/>
      <w:marBottom w:val="0"/>
      <w:divBdr>
        <w:top w:val="none" w:sz="0" w:space="0" w:color="auto"/>
        <w:left w:val="none" w:sz="0" w:space="0" w:color="auto"/>
        <w:bottom w:val="none" w:sz="0" w:space="0" w:color="auto"/>
        <w:right w:val="none" w:sz="0" w:space="0" w:color="auto"/>
      </w:divBdr>
    </w:div>
    <w:div w:id="978219429">
      <w:bodyDiv w:val="1"/>
      <w:marLeft w:val="0"/>
      <w:marRight w:val="0"/>
      <w:marTop w:val="0"/>
      <w:marBottom w:val="0"/>
      <w:divBdr>
        <w:top w:val="none" w:sz="0" w:space="0" w:color="auto"/>
        <w:left w:val="none" w:sz="0" w:space="0" w:color="auto"/>
        <w:bottom w:val="none" w:sz="0" w:space="0" w:color="auto"/>
        <w:right w:val="none" w:sz="0" w:space="0" w:color="auto"/>
      </w:divBdr>
    </w:div>
    <w:div w:id="979116950">
      <w:bodyDiv w:val="1"/>
      <w:marLeft w:val="0"/>
      <w:marRight w:val="0"/>
      <w:marTop w:val="0"/>
      <w:marBottom w:val="0"/>
      <w:divBdr>
        <w:top w:val="none" w:sz="0" w:space="0" w:color="auto"/>
        <w:left w:val="none" w:sz="0" w:space="0" w:color="auto"/>
        <w:bottom w:val="none" w:sz="0" w:space="0" w:color="auto"/>
        <w:right w:val="none" w:sz="0" w:space="0" w:color="auto"/>
      </w:divBdr>
    </w:div>
    <w:div w:id="993144873">
      <w:bodyDiv w:val="1"/>
      <w:marLeft w:val="0"/>
      <w:marRight w:val="0"/>
      <w:marTop w:val="0"/>
      <w:marBottom w:val="0"/>
      <w:divBdr>
        <w:top w:val="none" w:sz="0" w:space="0" w:color="auto"/>
        <w:left w:val="none" w:sz="0" w:space="0" w:color="auto"/>
        <w:bottom w:val="none" w:sz="0" w:space="0" w:color="auto"/>
        <w:right w:val="none" w:sz="0" w:space="0" w:color="auto"/>
      </w:divBdr>
    </w:div>
    <w:div w:id="1000692566">
      <w:bodyDiv w:val="1"/>
      <w:marLeft w:val="0"/>
      <w:marRight w:val="0"/>
      <w:marTop w:val="0"/>
      <w:marBottom w:val="0"/>
      <w:divBdr>
        <w:top w:val="none" w:sz="0" w:space="0" w:color="auto"/>
        <w:left w:val="none" w:sz="0" w:space="0" w:color="auto"/>
        <w:bottom w:val="none" w:sz="0" w:space="0" w:color="auto"/>
        <w:right w:val="none" w:sz="0" w:space="0" w:color="auto"/>
      </w:divBdr>
    </w:div>
    <w:div w:id="1005474590">
      <w:bodyDiv w:val="1"/>
      <w:marLeft w:val="0"/>
      <w:marRight w:val="0"/>
      <w:marTop w:val="0"/>
      <w:marBottom w:val="0"/>
      <w:divBdr>
        <w:top w:val="none" w:sz="0" w:space="0" w:color="auto"/>
        <w:left w:val="none" w:sz="0" w:space="0" w:color="auto"/>
        <w:bottom w:val="none" w:sz="0" w:space="0" w:color="auto"/>
        <w:right w:val="none" w:sz="0" w:space="0" w:color="auto"/>
      </w:divBdr>
    </w:div>
    <w:div w:id="1005523137">
      <w:bodyDiv w:val="1"/>
      <w:marLeft w:val="0"/>
      <w:marRight w:val="0"/>
      <w:marTop w:val="0"/>
      <w:marBottom w:val="0"/>
      <w:divBdr>
        <w:top w:val="none" w:sz="0" w:space="0" w:color="auto"/>
        <w:left w:val="none" w:sz="0" w:space="0" w:color="auto"/>
        <w:bottom w:val="none" w:sz="0" w:space="0" w:color="auto"/>
        <w:right w:val="none" w:sz="0" w:space="0" w:color="auto"/>
      </w:divBdr>
    </w:div>
    <w:div w:id="1011176118">
      <w:bodyDiv w:val="1"/>
      <w:marLeft w:val="0"/>
      <w:marRight w:val="0"/>
      <w:marTop w:val="0"/>
      <w:marBottom w:val="0"/>
      <w:divBdr>
        <w:top w:val="none" w:sz="0" w:space="0" w:color="auto"/>
        <w:left w:val="none" w:sz="0" w:space="0" w:color="auto"/>
        <w:bottom w:val="none" w:sz="0" w:space="0" w:color="auto"/>
        <w:right w:val="none" w:sz="0" w:space="0" w:color="auto"/>
      </w:divBdr>
    </w:div>
    <w:div w:id="1027562534">
      <w:bodyDiv w:val="1"/>
      <w:marLeft w:val="0"/>
      <w:marRight w:val="0"/>
      <w:marTop w:val="0"/>
      <w:marBottom w:val="0"/>
      <w:divBdr>
        <w:top w:val="none" w:sz="0" w:space="0" w:color="auto"/>
        <w:left w:val="none" w:sz="0" w:space="0" w:color="auto"/>
        <w:bottom w:val="none" w:sz="0" w:space="0" w:color="auto"/>
        <w:right w:val="none" w:sz="0" w:space="0" w:color="auto"/>
      </w:divBdr>
    </w:div>
    <w:div w:id="1028675064">
      <w:bodyDiv w:val="1"/>
      <w:marLeft w:val="0"/>
      <w:marRight w:val="0"/>
      <w:marTop w:val="0"/>
      <w:marBottom w:val="0"/>
      <w:divBdr>
        <w:top w:val="none" w:sz="0" w:space="0" w:color="auto"/>
        <w:left w:val="none" w:sz="0" w:space="0" w:color="auto"/>
        <w:bottom w:val="none" w:sz="0" w:space="0" w:color="auto"/>
        <w:right w:val="none" w:sz="0" w:space="0" w:color="auto"/>
      </w:divBdr>
    </w:div>
    <w:div w:id="1029259399">
      <w:bodyDiv w:val="1"/>
      <w:marLeft w:val="0"/>
      <w:marRight w:val="0"/>
      <w:marTop w:val="0"/>
      <w:marBottom w:val="0"/>
      <w:divBdr>
        <w:top w:val="none" w:sz="0" w:space="0" w:color="auto"/>
        <w:left w:val="none" w:sz="0" w:space="0" w:color="auto"/>
        <w:bottom w:val="none" w:sz="0" w:space="0" w:color="auto"/>
        <w:right w:val="none" w:sz="0" w:space="0" w:color="auto"/>
      </w:divBdr>
    </w:div>
    <w:div w:id="1050152006">
      <w:bodyDiv w:val="1"/>
      <w:marLeft w:val="0"/>
      <w:marRight w:val="0"/>
      <w:marTop w:val="0"/>
      <w:marBottom w:val="0"/>
      <w:divBdr>
        <w:top w:val="none" w:sz="0" w:space="0" w:color="auto"/>
        <w:left w:val="none" w:sz="0" w:space="0" w:color="auto"/>
        <w:bottom w:val="none" w:sz="0" w:space="0" w:color="auto"/>
        <w:right w:val="none" w:sz="0" w:space="0" w:color="auto"/>
      </w:divBdr>
    </w:div>
    <w:div w:id="1051003376">
      <w:bodyDiv w:val="1"/>
      <w:marLeft w:val="0"/>
      <w:marRight w:val="0"/>
      <w:marTop w:val="0"/>
      <w:marBottom w:val="0"/>
      <w:divBdr>
        <w:top w:val="none" w:sz="0" w:space="0" w:color="auto"/>
        <w:left w:val="none" w:sz="0" w:space="0" w:color="auto"/>
        <w:bottom w:val="none" w:sz="0" w:space="0" w:color="auto"/>
        <w:right w:val="none" w:sz="0" w:space="0" w:color="auto"/>
      </w:divBdr>
    </w:div>
    <w:div w:id="1085415620">
      <w:bodyDiv w:val="1"/>
      <w:marLeft w:val="0"/>
      <w:marRight w:val="0"/>
      <w:marTop w:val="0"/>
      <w:marBottom w:val="0"/>
      <w:divBdr>
        <w:top w:val="none" w:sz="0" w:space="0" w:color="auto"/>
        <w:left w:val="none" w:sz="0" w:space="0" w:color="auto"/>
        <w:bottom w:val="none" w:sz="0" w:space="0" w:color="auto"/>
        <w:right w:val="none" w:sz="0" w:space="0" w:color="auto"/>
      </w:divBdr>
    </w:div>
    <w:div w:id="1104610412">
      <w:bodyDiv w:val="1"/>
      <w:marLeft w:val="0"/>
      <w:marRight w:val="0"/>
      <w:marTop w:val="0"/>
      <w:marBottom w:val="0"/>
      <w:divBdr>
        <w:top w:val="none" w:sz="0" w:space="0" w:color="auto"/>
        <w:left w:val="none" w:sz="0" w:space="0" w:color="auto"/>
        <w:bottom w:val="none" w:sz="0" w:space="0" w:color="auto"/>
        <w:right w:val="none" w:sz="0" w:space="0" w:color="auto"/>
      </w:divBdr>
    </w:div>
    <w:div w:id="1121534947">
      <w:bodyDiv w:val="1"/>
      <w:marLeft w:val="0"/>
      <w:marRight w:val="0"/>
      <w:marTop w:val="0"/>
      <w:marBottom w:val="0"/>
      <w:divBdr>
        <w:top w:val="none" w:sz="0" w:space="0" w:color="auto"/>
        <w:left w:val="none" w:sz="0" w:space="0" w:color="auto"/>
        <w:bottom w:val="none" w:sz="0" w:space="0" w:color="auto"/>
        <w:right w:val="none" w:sz="0" w:space="0" w:color="auto"/>
      </w:divBdr>
    </w:div>
    <w:div w:id="1129937550">
      <w:bodyDiv w:val="1"/>
      <w:marLeft w:val="0"/>
      <w:marRight w:val="0"/>
      <w:marTop w:val="0"/>
      <w:marBottom w:val="0"/>
      <w:divBdr>
        <w:top w:val="none" w:sz="0" w:space="0" w:color="auto"/>
        <w:left w:val="none" w:sz="0" w:space="0" w:color="auto"/>
        <w:bottom w:val="none" w:sz="0" w:space="0" w:color="auto"/>
        <w:right w:val="none" w:sz="0" w:space="0" w:color="auto"/>
      </w:divBdr>
    </w:div>
    <w:div w:id="1138380931">
      <w:bodyDiv w:val="1"/>
      <w:marLeft w:val="0"/>
      <w:marRight w:val="0"/>
      <w:marTop w:val="0"/>
      <w:marBottom w:val="0"/>
      <w:divBdr>
        <w:top w:val="none" w:sz="0" w:space="0" w:color="auto"/>
        <w:left w:val="none" w:sz="0" w:space="0" w:color="auto"/>
        <w:bottom w:val="none" w:sz="0" w:space="0" w:color="auto"/>
        <w:right w:val="none" w:sz="0" w:space="0" w:color="auto"/>
      </w:divBdr>
    </w:div>
    <w:div w:id="1143347490">
      <w:bodyDiv w:val="1"/>
      <w:marLeft w:val="0"/>
      <w:marRight w:val="0"/>
      <w:marTop w:val="0"/>
      <w:marBottom w:val="0"/>
      <w:divBdr>
        <w:top w:val="none" w:sz="0" w:space="0" w:color="auto"/>
        <w:left w:val="none" w:sz="0" w:space="0" w:color="auto"/>
        <w:bottom w:val="none" w:sz="0" w:space="0" w:color="auto"/>
        <w:right w:val="none" w:sz="0" w:space="0" w:color="auto"/>
      </w:divBdr>
    </w:div>
    <w:div w:id="1186410283">
      <w:bodyDiv w:val="1"/>
      <w:marLeft w:val="0"/>
      <w:marRight w:val="0"/>
      <w:marTop w:val="0"/>
      <w:marBottom w:val="0"/>
      <w:divBdr>
        <w:top w:val="none" w:sz="0" w:space="0" w:color="auto"/>
        <w:left w:val="none" w:sz="0" w:space="0" w:color="auto"/>
        <w:bottom w:val="none" w:sz="0" w:space="0" w:color="auto"/>
        <w:right w:val="none" w:sz="0" w:space="0" w:color="auto"/>
      </w:divBdr>
    </w:div>
    <w:div w:id="1198543707">
      <w:bodyDiv w:val="1"/>
      <w:marLeft w:val="0"/>
      <w:marRight w:val="0"/>
      <w:marTop w:val="0"/>
      <w:marBottom w:val="0"/>
      <w:divBdr>
        <w:top w:val="none" w:sz="0" w:space="0" w:color="auto"/>
        <w:left w:val="none" w:sz="0" w:space="0" w:color="auto"/>
        <w:bottom w:val="none" w:sz="0" w:space="0" w:color="auto"/>
        <w:right w:val="none" w:sz="0" w:space="0" w:color="auto"/>
      </w:divBdr>
    </w:div>
    <w:div w:id="1209295356">
      <w:bodyDiv w:val="1"/>
      <w:marLeft w:val="0"/>
      <w:marRight w:val="0"/>
      <w:marTop w:val="0"/>
      <w:marBottom w:val="0"/>
      <w:divBdr>
        <w:top w:val="none" w:sz="0" w:space="0" w:color="auto"/>
        <w:left w:val="none" w:sz="0" w:space="0" w:color="auto"/>
        <w:bottom w:val="none" w:sz="0" w:space="0" w:color="auto"/>
        <w:right w:val="none" w:sz="0" w:space="0" w:color="auto"/>
      </w:divBdr>
    </w:div>
    <w:div w:id="1234702262">
      <w:bodyDiv w:val="1"/>
      <w:marLeft w:val="0"/>
      <w:marRight w:val="0"/>
      <w:marTop w:val="0"/>
      <w:marBottom w:val="0"/>
      <w:divBdr>
        <w:top w:val="none" w:sz="0" w:space="0" w:color="auto"/>
        <w:left w:val="none" w:sz="0" w:space="0" w:color="auto"/>
        <w:bottom w:val="none" w:sz="0" w:space="0" w:color="auto"/>
        <w:right w:val="none" w:sz="0" w:space="0" w:color="auto"/>
      </w:divBdr>
    </w:div>
    <w:div w:id="1253735644">
      <w:bodyDiv w:val="1"/>
      <w:marLeft w:val="0"/>
      <w:marRight w:val="0"/>
      <w:marTop w:val="0"/>
      <w:marBottom w:val="0"/>
      <w:divBdr>
        <w:top w:val="none" w:sz="0" w:space="0" w:color="auto"/>
        <w:left w:val="none" w:sz="0" w:space="0" w:color="auto"/>
        <w:bottom w:val="none" w:sz="0" w:space="0" w:color="auto"/>
        <w:right w:val="none" w:sz="0" w:space="0" w:color="auto"/>
      </w:divBdr>
    </w:div>
    <w:div w:id="1268152373">
      <w:bodyDiv w:val="1"/>
      <w:marLeft w:val="0"/>
      <w:marRight w:val="0"/>
      <w:marTop w:val="0"/>
      <w:marBottom w:val="0"/>
      <w:divBdr>
        <w:top w:val="none" w:sz="0" w:space="0" w:color="auto"/>
        <w:left w:val="none" w:sz="0" w:space="0" w:color="auto"/>
        <w:bottom w:val="none" w:sz="0" w:space="0" w:color="auto"/>
        <w:right w:val="none" w:sz="0" w:space="0" w:color="auto"/>
      </w:divBdr>
    </w:div>
    <w:div w:id="1298491475">
      <w:bodyDiv w:val="1"/>
      <w:marLeft w:val="0"/>
      <w:marRight w:val="0"/>
      <w:marTop w:val="0"/>
      <w:marBottom w:val="0"/>
      <w:divBdr>
        <w:top w:val="none" w:sz="0" w:space="0" w:color="auto"/>
        <w:left w:val="none" w:sz="0" w:space="0" w:color="auto"/>
        <w:bottom w:val="none" w:sz="0" w:space="0" w:color="auto"/>
        <w:right w:val="none" w:sz="0" w:space="0" w:color="auto"/>
      </w:divBdr>
    </w:div>
    <w:div w:id="1298754488">
      <w:bodyDiv w:val="1"/>
      <w:marLeft w:val="0"/>
      <w:marRight w:val="0"/>
      <w:marTop w:val="0"/>
      <w:marBottom w:val="0"/>
      <w:divBdr>
        <w:top w:val="none" w:sz="0" w:space="0" w:color="auto"/>
        <w:left w:val="none" w:sz="0" w:space="0" w:color="auto"/>
        <w:bottom w:val="none" w:sz="0" w:space="0" w:color="auto"/>
        <w:right w:val="none" w:sz="0" w:space="0" w:color="auto"/>
      </w:divBdr>
    </w:div>
    <w:div w:id="1316375680">
      <w:bodyDiv w:val="1"/>
      <w:marLeft w:val="0"/>
      <w:marRight w:val="0"/>
      <w:marTop w:val="0"/>
      <w:marBottom w:val="0"/>
      <w:divBdr>
        <w:top w:val="none" w:sz="0" w:space="0" w:color="auto"/>
        <w:left w:val="none" w:sz="0" w:space="0" w:color="auto"/>
        <w:bottom w:val="none" w:sz="0" w:space="0" w:color="auto"/>
        <w:right w:val="none" w:sz="0" w:space="0" w:color="auto"/>
      </w:divBdr>
    </w:div>
    <w:div w:id="1329208538">
      <w:bodyDiv w:val="1"/>
      <w:marLeft w:val="0"/>
      <w:marRight w:val="0"/>
      <w:marTop w:val="0"/>
      <w:marBottom w:val="0"/>
      <w:divBdr>
        <w:top w:val="none" w:sz="0" w:space="0" w:color="auto"/>
        <w:left w:val="none" w:sz="0" w:space="0" w:color="auto"/>
        <w:bottom w:val="none" w:sz="0" w:space="0" w:color="auto"/>
        <w:right w:val="none" w:sz="0" w:space="0" w:color="auto"/>
      </w:divBdr>
    </w:div>
    <w:div w:id="1334525583">
      <w:bodyDiv w:val="1"/>
      <w:marLeft w:val="0"/>
      <w:marRight w:val="0"/>
      <w:marTop w:val="0"/>
      <w:marBottom w:val="0"/>
      <w:divBdr>
        <w:top w:val="none" w:sz="0" w:space="0" w:color="auto"/>
        <w:left w:val="none" w:sz="0" w:space="0" w:color="auto"/>
        <w:bottom w:val="none" w:sz="0" w:space="0" w:color="auto"/>
        <w:right w:val="none" w:sz="0" w:space="0" w:color="auto"/>
      </w:divBdr>
    </w:div>
    <w:div w:id="1340891483">
      <w:bodyDiv w:val="1"/>
      <w:marLeft w:val="0"/>
      <w:marRight w:val="0"/>
      <w:marTop w:val="0"/>
      <w:marBottom w:val="0"/>
      <w:divBdr>
        <w:top w:val="none" w:sz="0" w:space="0" w:color="auto"/>
        <w:left w:val="none" w:sz="0" w:space="0" w:color="auto"/>
        <w:bottom w:val="none" w:sz="0" w:space="0" w:color="auto"/>
        <w:right w:val="none" w:sz="0" w:space="0" w:color="auto"/>
      </w:divBdr>
    </w:div>
    <w:div w:id="1359626631">
      <w:bodyDiv w:val="1"/>
      <w:marLeft w:val="0"/>
      <w:marRight w:val="0"/>
      <w:marTop w:val="0"/>
      <w:marBottom w:val="0"/>
      <w:divBdr>
        <w:top w:val="none" w:sz="0" w:space="0" w:color="auto"/>
        <w:left w:val="none" w:sz="0" w:space="0" w:color="auto"/>
        <w:bottom w:val="none" w:sz="0" w:space="0" w:color="auto"/>
        <w:right w:val="none" w:sz="0" w:space="0" w:color="auto"/>
      </w:divBdr>
    </w:div>
    <w:div w:id="1368067224">
      <w:bodyDiv w:val="1"/>
      <w:marLeft w:val="0"/>
      <w:marRight w:val="0"/>
      <w:marTop w:val="0"/>
      <w:marBottom w:val="0"/>
      <w:divBdr>
        <w:top w:val="none" w:sz="0" w:space="0" w:color="auto"/>
        <w:left w:val="none" w:sz="0" w:space="0" w:color="auto"/>
        <w:bottom w:val="none" w:sz="0" w:space="0" w:color="auto"/>
        <w:right w:val="none" w:sz="0" w:space="0" w:color="auto"/>
      </w:divBdr>
    </w:div>
    <w:div w:id="1376853424">
      <w:bodyDiv w:val="1"/>
      <w:marLeft w:val="0"/>
      <w:marRight w:val="0"/>
      <w:marTop w:val="0"/>
      <w:marBottom w:val="0"/>
      <w:divBdr>
        <w:top w:val="none" w:sz="0" w:space="0" w:color="auto"/>
        <w:left w:val="none" w:sz="0" w:space="0" w:color="auto"/>
        <w:bottom w:val="none" w:sz="0" w:space="0" w:color="auto"/>
        <w:right w:val="none" w:sz="0" w:space="0" w:color="auto"/>
      </w:divBdr>
    </w:div>
    <w:div w:id="1422068141">
      <w:bodyDiv w:val="1"/>
      <w:marLeft w:val="0"/>
      <w:marRight w:val="0"/>
      <w:marTop w:val="0"/>
      <w:marBottom w:val="0"/>
      <w:divBdr>
        <w:top w:val="none" w:sz="0" w:space="0" w:color="auto"/>
        <w:left w:val="none" w:sz="0" w:space="0" w:color="auto"/>
        <w:bottom w:val="none" w:sz="0" w:space="0" w:color="auto"/>
        <w:right w:val="none" w:sz="0" w:space="0" w:color="auto"/>
      </w:divBdr>
    </w:div>
    <w:div w:id="1427652333">
      <w:bodyDiv w:val="1"/>
      <w:marLeft w:val="0"/>
      <w:marRight w:val="0"/>
      <w:marTop w:val="0"/>
      <w:marBottom w:val="0"/>
      <w:divBdr>
        <w:top w:val="none" w:sz="0" w:space="0" w:color="auto"/>
        <w:left w:val="none" w:sz="0" w:space="0" w:color="auto"/>
        <w:bottom w:val="none" w:sz="0" w:space="0" w:color="auto"/>
        <w:right w:val="none" w:sz="0" w:space="0" w:color="auto"/>
      </w:divBdr>
    </w:div>
    <w:div w:id="1480222921">
      <w:bodyDiv w:val="1"/>
      <w:marLeft w:val="0"/>
      <w:marRight w:val="0"/>
      <w:marTop w:val="0"/>
      <w:marBottom w:val="0"/>
      <w:divBdr>
        <w:top w:val="none" w:sz="0" w:space="0" w:color="auto"/>
        <w:left w:val="none" w:sz="0" w:space="0" w:color="auto"/>
        <w:bottom w:val="none" w:sz="0" w:space="0" w:color="auto"/>
        <w:right w:val="none" w:sz="0" w:space="0" w:color="auto"/>
      </w:divBdr>
    </w:div>
    <w:div w:id="1487437439">
      <w:bodyDiv w:val="1"/>
      <w:marLeft w:val="0"/>
      <w:marRight w:val="0"/>
      <w:marTop w:val="0"/>
      <w:marBottom w:val="0"/>
      <w:divBdr>
        <w:top w:val="none" w:sz="0" w:space="0" w:color="auto"/>
        <w:left w:val="none" w:sz="0" w:space="0" w:color="auto"/>
        <w:bottom w:val="none" w:sz="0" w:space="0" w:color="auto"/>
        <w:right w:val="none" w:sz="0" w:space="0" w:color="auto"/>
      </w:divBdr>
    </w:div>
    <w:div w:id="1500582735">
      <w:bodyDiv w:val="1"/>
      <w:marLeft w:val="0"/>
      <w:marRight w:val="0"/>
      <w:marTop w:val="0"/>
      <w:marBottom w:val="0"/>
      <w:divBdr>
        <w:top w:val="none" w:sz="0" w:space="0" w:color="auto"/>
        <w:left w:val="none" w:sz="0" w:space="0" w:color="auto"/>
        <w:bottom w:val="none" w:sz="0" w:space="0" w:color="auto"/>
        <w:right w:val="none" w:sz="0" w:space="0" w:color="auto"/>
      </w:divBdr>
    </w:div>
    <w:div w:id="1511531849">
      <w:bodyDiv w:val="1"/>
      <w:marLeft w:val="0"/>
      <w:marRight w:val="0"/>
      <w:marTop w:val="0"/>
      <w:marBottom w:val="0"/>
      <w:divBdr>
        <w:top w:val="none" w:sz="0" w:space="0" w:color="auto"/>
        <w:left w:val="none" w:sz="0" w:space="0" w:color="auto"/>
        <w:bottom w:val="none" w:sz="0" w:space="0" w:color="auto"/>
        <w:right w:val="none" w:sz="0" w:space="0" w:color="auto"/>
      </w:divBdr>
      <w:divsChild>
        <w:div w:id="613289921">
          <w:marLeft w:val="0"/>
          <w:marRight w:val="0"/>
          <w:marTop w:val="0"/>
          <w:marBottom w:val="0"/>
          <w:divBdr>
            <w:top w:val="none" w:sz="0" w:space="0" w:color="auto"/>
            <w:left w:val="none" w:sz="0" w:space="0" w:color="auto"/>
            <w:bottom w:val="none" w:sz="0" w:space="0" w:color="auto"/>
            <w:right w:val="none" w:sz="0" w:space="0" w:color="auto"/>
          </w:divBdr>
          <w:divsChild>
            <w:div w:id="151072245">
              <w:marLeft w:val="0"/>
              <w:marRight w:val="0"/>
              <w:marTop w:val="0"/>
              <w:marBottom w:val="0"/>
              <w:divBdr>
                <w:top w:val="none" w:sz="0" w:space="0" w:color="auto"/>
                <w:left w:val="none" w:sz="0" w:space="0" w:color="auto"/>
                <w:bottom w:val="none" w:sz="0" w:space="0" w:color="auto"/>
                <w:right w:val="none" w:sz="0" w:space="0" w:color="auto"/>
              </w:divBdr>
              <w:divsChild>
                <w:div w:id="837891266">
                  <w:marLeft w:val="0"/>
                  <w:marRight w:val="0"/>
                  <w:marTop w:val="0"/>
                  <w:marBottom w:val="0"/>
                  <w:divBdr>
                    <w:top w:val="none" w:sz="0" w:space="0" w:color="auto"/>
                    <w:left w:val="none" w:sz="0" w:space="0" w:color="auto"/>
                    <w:bottom w:val="none" w:sz="0" w:space="0" w:color="auto"/>
                    <w:right w:val="none" w:sz="0" w:space="0" w:color="auto"/>
                  </w:divBdr>
                  <w:divsChild>
                    <w:div w:id="16331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2770">
      <w:bodyDiv w:val="1"/>
      <w:marLeft w:val="0"/>
      <w:marRight w:val="0"/>
      <w:marTop w:val="0"/>
      <w:marBottom w:val="0"/>
      <w:divBdr>
        <w:top w:val="none" w:sz="0" w:space="0" w:color="auto"/>
        <w:left w:val="none" w:sz="0" w:space="0" w:color="auto"/>
        <w:bottom w:val="none" w:sz="0" w:space="0" w:color="auto"/>
        <w:right w:val="none" w:sz="0" w:space="0" w:color="auto"/>
      </w:divBdr>
    </w:div>
    <w:div w:id="1561945076">
      <w:bodyDiv w:val="1"/>
      <w:marLeft w:val="0"/>
      <w:marRight w:val="0"/>
      <w:marTop w:val="0"/>
      <w:marBottom w:val="0"/>
      <w:divBdr>
        <w:top w:val="none" w:sz="0" w:space="0" w:color="auto"/>
        <w:left w:val="none" w:sz="0" w:space="0" w:color="auto"/>
        <w:bottom w:val="none" w:sz="0" w:space="0" w:color="auto"/>
        <w:right w:val="none" w:sz="0" w:space="0" w:color="auto"/>
      </w:divBdr>
    </w:div>
    <w:div w:id="1583373009">
      <w:bodyDiv w:val="1"/>
      <w:marLeft w:val="0"/>
      <w:marRight w:val="0"/>
      <w:marTop w:val="0"/>
      <w:marBottom w:val="0"/>
      <w:divBdr>
        <w:top w:val="none" w:sz="0" w:space="0" w:color="auto"/>
        <w:left w:val="none" w:sz="0" w:space="0" w:color="auto"/>
        <w:bottom w:val="none" w:sz="0" w:space="0" w:color="auto"/>
        <w:right w:val="none" w:sz="0" w:space="0" w:color="auto"/>
      </w:divBdr>
    </w:div>
    <w:div w:id="1613708177">
      <w:bodyDiv w:val="1"/>
      <w:marLeft w:val="0"/>
      <w:marRight w:val="0"/>
      <w:marTop w:val="0"/>
      <w:marBottom w:val="0"/>
      <w:divBdr>
        <w:top w:val="none" w:sz="0" w:space="0" w:color="auto"/>
        <w:left w:val="none" w:sz="0" w:space="0" w:color="auto"/>
        <w:bottom w:val="none" w:sz="0" w:space="0" w:color="auto"/>
        <w:right w:val="none" w:sz="0" w:space="0" w:color="auto"/>
      </w:divBdr>
    </w:div>
    <w:div w:id="1620379071">
      <w:bodyDiv w:val="1"/>
      <w:marLeft w:val="0"/>
      <w:marRight w:val="0"/>
      <w:marTop w:val="0"/>
      <w:marBottom w:val="0"/>
      <w:divBdr>
        <w:top w:val="none" w:sz="0" w:space="0" w:color="auto"/>
        <w:left w:val="none" w:sz="0" w:space="0" w:color="auto"/>
        <w:bottom w:val="none" w:sz="0" w:space="0" w:color="auto"/>
        <w:right w:val="none" w:sz="0" w:space="0" w:color="auto"/>
      </w:divBdr>
    </w:div>
    <w:div w:id="1631084343">
      <w:bodyDiv w:val="1"/>
      <w:marLeft w:val="0"/>
      <w:marRight w:val="0"/>
      <w:marTop w:val="0"/>
      <w:marBottom w:val="0"/>
      <w:divBdr>
        <w:top w:val="none" w:sz="0" w:space="0" w:color="auto"/>
        <w:left w:val="none" w:sz="0" w:space="0" w:color="auto"/>
        <w:bottom w:val="none" w:sz="0" w:space="0" w:color="auto"/>
        <w:right w:val="none" w:sz="0" w:space="0" w:color="auto"/>
      </w:divBdr>
    </w:div>
    <w:div w:id="1637026763">
      <w:bodyDiv w:val="1"/>
      <w:marLeft w:val="0"/>
      <w:marRight w:val="0"/>
      <w:marTop w:val="0"/>
      <w:marBottom w:val="0"/>
      <w:divBdr>
        <w:top w:val="none" w:sz="0" w:space="0" w:color="auto"/>
        <w:left w:val="none" w:sz="0" w:space="0" w:color="auto"/>
        <w:bottom w:val="none" w:sz="0" w:space="0" w:color="auto"/>
        <w:right w:val="none" w:sz="0" w:space="0" w:color="auto"/>
      </w:divBdr>
    </w:div>
    <w:div w:id="1656258466">
      <w:bodyDiv w:val="1"/>
      <w:marLeft w:val="0"/>
      <w:marRight w:val="0"/>
      <w:marTop w:val="0"/>
      <w:marBottom w:val="0"/>
      <w:divBdr>
        <w:top w:val="none" w:sz="0" w:space="0" w:color="auto"/>
        <w:left w:val="none" w:sz="0" w:space="0" w:color="auto"/>
        <w:bottom w:val="none" w:sz="0" w:space="0" w:color="auto"/>
        <w:right w:val="none" w:sz="0" w:space="0" w:color="auto"/>
      </w:divBdr>
    </w:div>
    <w:div w:id="1669792897">
      <w:bodyDiv w:val="1"/>
      <w:marLeft w:val="0"/>
      <w:marRight w:val="0"/>
      <w:marTop w:val="0"/>
      <w:marBottom w:val="0"/>
      <w:divBdr>
        <w:top w:val="none" w:sz="0" w:space="0" w:color="auto"/>
        <w:left w:val="none" w:sz="0" w:space="0" w:color="auto"/>
        <w:bottom w:val="none" w:sz="0" w:space="0" w:color="auto"/>
        <w:right w:val="none" w:sz="0" w:space="0" w:color="auto"/>
      </w:divBdr>
    </w:div>
    <w:div w:id="1722823706">
      <w:bodyDiv w:val="1"/>
      <w:marLeft w:val="0"/>
      <w:marRight w:val="0"/>
      <w:marTop w:val="0"/>
      <w:marBottom w:val="0"/>
      <w:divBdr>
        <w:top w:val="none" w:sz="0" w:space="0" w:color="auto"/>
        <w:left w:val="none" w:sz="0" w:space="0" w:color="auto"/>
        <w:bottom w:val="none" w:sz="0" w:space="0" w:color="auto"/>
        <w:right w:val="none" w:sz="0" w:space="0" w:color="auto"/>
      </w:divBdr>
    </w:div>
    <w:div w:id="1751154109">
      <w:bodyDiv w:val="1"/>
      <w:marLeft w:val="0"/>
      <w:marRight w:val="0"/>
      <w:marTop w:val="0"/>
      <w:marBottom w:val="0"/>
      <w:divBdr>
        <w:top w:val="none" w:sz="0" w:space="0" w:color="auto"/>
        <w:left w:val="none" w:sz="0" w:space="0" w:color="auto"/>
        <w:bottom w:val="none" w:sz="0" w:space="0" w:color="auto"/>
        <w:right w:val="none" w:sz="0" w:space="0" w:color="auto"/>
      </w:divBdr>
      <w:divsChild>
        <w:div w:id="758520700">
          <w:marLeft w:val="0"/>
          <w:marRight w:val="0"/>
          <w:marTop w:val="0"/>
          <w:marBottom w:val="0"/>
          <w:divBdr>
            <w:top w:val="none" w:sz="0" w:space="0" w:color="auto"/>
            <w:left w:val="none" w:sz="0" w:space="0" w:color="auto"/>
            <w:bottom w:val="none" w:sz="0" w:space="0" w:color="auto"/>
            <w:right w:val="none" w:sz="0" w:space="0" w:color="auto"/>
          </w:divBdr>
          <w:divsChild>
            <w:div w:id="744841754">
              <w:marLeft w:val="0"/>
              <w:marRight w:val="0"/>
              <w:marTop w:val="0"/>
              <w:marBottom w:val="0"/>
              <w:divBdr>
                <w:top w:val="none" w:sz="0" w:space="0" w:color="auto"/>
                <w:left w:val="none" w:sz="0" w:space="0" w:color="auto"/>
                <w:bottom w:val="none" w:sz="0" w:space="0" w:color="auto"/>
                <w:right w:val="none" w:sz="0" w:space="0" w:color="auto"/>
              </w:divBdr>
              <w:divsChild>
                <w:div w:id="1121387575">
                  <w:marLeft w:val="0"/>
                  <w:marRight w:val="0"/>
                  <w:marTop w:val="0"/>
                  <w:marBottom w:val="0"/>
                  <w:divBdr>
                    <w:top w:val="none" w:sz="0" w:space="0" w:color="auto"/>
                    <w:left w:val="none" w:sz="0" w:space="0" w:color="auto"/>
                    <w:bottom w:val="none" w:sz="0" w:space="0" w:color="auto"/>
                    <w:right w:val="none" w:sz="0" w:space="0" w:color="auto"/>
                  </w:divBdr>
                  <w:divsChild>
                    <w:div w:id="11772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92382">
      <w:bodyDiv w:val="1"/>
      <w:marLeft w:val="0"/>
      <w:marRight w:val="0"/>
      <w:marTop w:val="0"/>
      <w:marBottom w:val="0"/>
      <w:divBdr>
        <w:top w:val="none" w:sz="0" w:space="0" w:color="auto"/>
        <w:left w:val="none" w:sz="0" w:space="0" w:color="auto"/>
        <w:bottom w:val="none" w:sz="0" w:space="0" w:color="auto"/>
        <w:right w:val="none" w:sz="0" w:space="0" w:color="auto"/>
      </w:divBdr>
    </w:div>
    <w:div w:id="1756853766">
      <w:bodyDiv w:val="1"/>
      <w:marLeft w:val="0"/>
      <w:marRight w:val="0"/>
      <w:marTop w:val="0"/>
      <w:marBottom w:val="0"/>
      <w:divBdr>
        <w:top w:val="none" w:sz="0" w:space="0" w:color="auto"/>
        <w:left w:val="none" w:sz="0" w:space="0" w:color="auto"/>
        <w:bottom w:val="none" w:sz="0" w:space="0" w:color="auto"/>
        <w:right w:val="none" w:sz="0" w:space="0" w:color="auto"/>
      </w:divBdr>
    </w:div>
    <w:div w:id="1779059096">
      <w:bodyDiv w:val="1"/>
      <w:marLeft w:val="0"/>
      <w:marRight w:val="0"/>
      <w:marTop w:val="0"/>
      <w:marBottom w:val="0"/>
      <w:divBdr>
        <w:top w:val="none" w:sz="0" w:space="0" w:color="auto"/>
        <w:left w:val="none" w:sz="0" w:space="0" w:color="auto"/>
        <w:bottom w:val="none" w:sz="0" w:space="0" w:color="auto"/>
        <w:right w:val="none" w:sz="0" w:space="0" w:color="auto"/>
      </w:divBdr>
    </w:div>
    <w:div w:id="1779138552">
      <w:bodyDiv w:val="1"/>
      <w:marLeft w:val="0"/>
      <w:marRight w:val="0"/>
      <w:marTop w:val="0"/>
      <w:marBottom w:val="0"/>
      <w:divBdr>
        <w:top w:val="none" w:sz="0" w:space="0" w:color="auto"/>
        <w:left w:val="none" w:sz="0" w:space="0" w:color="auto"/>
        <w:bottom w:val="none" w:sz="0" w:space="0" w:color="auto"/>
        <w:right w:val="none" w:sz="0" w:space="0" w:color="auto"/>
      </w:divBdr>
    </w:div>
    <w:div w:id="1787309876">
      <w:bodyDiv w:val="1"/>
      <w:marLeft w:val="0"/>
      <w:marRight w:val="0"/>
      <w:marTop w:val="0"/>
      <w:marBottom w:val="0"/>
      <w:divBdr>
        <w:top w:val="none" w:sz="0" w:space="0" w:color="auto"/>
        <w:left w:val="none" w:sz="0" w:space="0" w:color="auto"/>
        <w:bottom w:val="none" w:sz="0" w:space="0" w:color="auto"/>
        <w:right w:val="none" w:sz="0" w:space="0" w:color="auto"/>
      </w:divBdr>
    </w:div>
    <w:div w:id="1810902972">
      <w:bodyDiv w:val="1"/>
      <w:marLeft w:val="0"/>
      <w:marRight w:val="0"/>
      <w:marTop w:val="0"/>
      <w:marBottom w:val="0"/>
      <w:divBdr>
        <w:top w:val="none" w:sz="0" w:space="0" w:color="auto"/>
        <w:left w:val="none" w:sz="0" w:space="0" w:color="auto"/>
        <w:bottom w:val="none" w:sz="0" w:space="0" w:color="auto"/>
        <w:right w:val="none" w:sz="0" w:space="0" w:color="auto"/>
      </w:divBdr>
    </w:div>
    <w:div w:id="1825312593">
      <w:bodyDiv w:val="1"/>
      <w:marLeft w:val="0"/>
      <w:marRight w:val="0"/>
      <w:marTop w:val="0"/>
      <w:marBottom w:val="0"/>
      <w:divBdr>
        <w:top w:val="none" w:sz="0" w:space="0" w:color="auto"/>
        <w:left w:val="none" w:sz="0" w:space="0" w:color="auto"/>
        <w:bottom w:val="none" w:sz="0" w:space="0" w:color="auto"/>
        <w:right w:val="none" w:sz="0" w:space="0" w:color="auto"/>
      </w:divBdr>
    </w:div>
    <w:div w:id="1873107747">
      <w:bodyDiv w:val="1"/>
      <w:marLeft w:val="0"/>
      <w:marRight w:val="0"/>
      <w:marTop w:val="0"/>
      <w:marBottom w:val="0"/>
      <w:divBdr>
        <w:top w:val="none" w:sz="0" w:space="0" w:color="auto"/>
        <w:left w:val="none" w:sz="0" w:space="0" w:color="auto"/>
        <w:bottom w:val="none" w:sz="0" w:space="0" w:color="auto"/>
        <w:right w:val="none" w:sz="0" w:space="0" w:color="auto"/>
      </w:divBdr>
    </w:div>
    <w:div w:id="1879538725">
      <w:bodyDiv w:val="1"/>
      <w:marLeft w:val="0"/>
      <w:marRight w:val="0"/>
      <w:marTop w:val="0"/>
      <w:marBottom w:val="0"/>
      <w:divBdr>
        <w:top w:val="none" w:sz="0" w:space="0" w:color="auto"/>
        <w:left w:val="none" w:sz="0" w:space="0" w:color="auto"/>
        <w:bottom w:val="none" w:sz="0" w:space="0" w:color="auto"/>
        <w:right w:val="none" w:sz="0" w:space="0" w:color="auto"/>
      </w:divBdr>
    </w:div>
    <w:div w:id="1880434077">
      <w:bodyDiv w:val="1"/>
      <w:marLeft w:val="0"/>
      <w:marRight w:val="0"/>
      <w:marTop w:val="0"/>
      <w:marBottom w:val="0"/>
      <w:divBdr>
        <w:top w:val="none" w:sz="0" w:space="0" w:color="auto"/>
        <w:left w:val="none" w:sz="0" w:space="0" w:color="auto"/>
        <w:bottom w:val="none" w:sz="0" w:space="0" w:color="auto"/>
        <w:right w:val="none" w:sz="0" w:space="0" w:color="auto"/>
      </w:divBdr>
    </w:div>
    <w:div w:id="1890261258">
      <w:bodyDiv w:val="1"/>
      <w:marLeft w:val="0"/>
      <w:marRight w:val="0"/>
      <w:marTop w:val="0"/>
      <w:marBottom w:val="0"/>
      <w:divBdr>
        <w:top w:val="none" w:sz="0" w:space="0" w:color="auto"/>
        <w:left w:val="none" w:sz="0" w:space="0" w:color="auto"/>
        <w:bottom w:val="none" w:sz="0" w:space="0" w:color="auto"/>
        <w:right w:val="none" w:sz="0" w:space="0" w:color="auto"/>
      </w:divBdr>
    </w:div>
    <w:div w:id="1902397455">
      <w:bodyDiv w:val="1"/>
      <w:marLeft w:val="0"/>
      <w:marRight w:val="0"/>
      <w:marTop w:val="0"/>
      <w:marBottom w:val="0"/>
      <w:divBdr>
        <w:top w:val="none" w:sz="0" w:space="0" w:color="auto"/>
        <w:left w:val="none" w:sz="0" w:space="0" w:color="auto"/>
        <w:bottom w:val="none" w:sz="0" w:space="0" w:color="auto"/>
        <w:right w:val="none" w:sz="0" w:space="0" w:color="auto"/>
      </w:divBdr>
    </w:div>
    <w:div w:id="1984386894">
      <w:bodyDiv w:val="1"/>
      <w:marLeft w:val="0"/>
      <w:marRight w:val="0"/>
      <w:marTop w:val="0"/>
      <w:marBottom w:val="0"/>
      <w:divBdr>
        <w:top w:val="none" w:sz="0" w:space="0" w:color="auto"/>
        <w:left w:val="none" w:sz="0" w:space="0" w:color="auto"/>
        <w:bottom w:val="none" w:sz="0" w:space="0" w:color="auto"/>
        <w:right w:val="none" w:sz="0" w:space="0" w:color="auto"/>
      </w:divBdr>
    </w:div>
    <w:div w:id="1998344430">
      <w:bodyDiv w:val="1"/>
      <w:marLeft w:val="0"/>
      <w:marRight w:val="0"/>
      <w:marTop w:val="0"/>
      <w:marBottom w:val="0"/>
      <w:divBdr>
        <w:top w:val="none" w:sz="0" w:space="0" w:color="auto"/>
        <w:left w:val="none" w:sz="0" w:space="0" w:color="auto"/>
        <w:bottom w:val="none" w:sz="0" w:space="0" w:color="auto"/>
        <w:right w:val="none" w:sz="0" w:space="0" w:color="auto"/>
      </w:divBdr>
    </w:div>
    <w:div w:id="2090761688">
      <w:bodyDiv w:val="1"/>
      <w:marLeft w:val="0"/>
      <w:marRight w:val="0"/>
      <w:marTop w:val="0"/>
      <w:marBottom w:val="0"/>
      <w:divBdr>
        <w:top w:val="none" w:sz="0" w:space="0" w:color="auto"/>
        <w:left w:val="none" w:sz="0" w:space="0" w:color="auto"/>
        <w:bottom w:val="none" w:sz="0" w:space="0" w:color="auto"/>
        <w:right w:val="none" w:sz="0" w:space="0" w:color="auto"/>
      </w:divBdr>
    </w:div>
    <w:div w:id="2125928642">
      <w:bodyDiv w:val="1"/>
      <w:marLeft w:val="0"/>
      <w:marRight w:val="0"/>
      <w:marTop w:val="0"/>
      <w:marBottom w:val="0"/>
      <w:divBdr>
        <w:top w:val="none" w:sz="0" w:space="0" w:color="auto"/>
        <w:left w:val="none" w:sz="0" w:space="0" w:color="auto"/>
        <w:bottom w:val="none" w:sz="0" w:space="0" w:color="auto"/>
        <w:right w:val="none" w:sz="0" w:space="0" w:color="auto"/>
      </w:divBdr>
    </w:div>
    <w:div w:id="2131432630">
      <w:bodyDiv w:val="1"/>
      <w:marLeft w:val="0"/>
      <w:marRight w:val="0"/>
      <w:marTop w:val="0"/>
      <w:marBottom w:val="0"/>
      <w:divBdr>
        <w:top w:val="none" w:sz="0" w:space="0" w:color="auto"/>
        <w:left w:val="none" w:sz="0" w:space="0" w:color="auto"/>
        <w:bottom w:val="none" w:sz="0" w:space="0" w:color="auto"/>
        <w:right w:val="none" w:sz="0" w:space="0" w:color="auto"/>
      </w:divBdr>
    </w:div>
    <w:div w:id="213536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MAC97</b:Tag>
    <b:SourceType>JournalArticle</b:SourceType>
    <b:Guid>{A33EC810-7353-4A6B-86CE-D0FE25A85C93}</b:Guid>
    <b:Title>Event Studies in Economics and</b:Title>
    <b:Year>1997</b:Year>
    <b:JournalName>Journal of Economic Literature</b:JournalName>
    <b:Pages>13–39</b:Pages>
    <b:Author>
      <b:Author>
        <b:NameList>
          <b:Person>
            <b:Last>MACKINLAY</b:Last>
            <b:First>A.</b:First>
            <b:Middle>CRAIG</b:Middle>
          </b:Person>
        </b:NameList>
      </b:Author>
    </b:Author>
    <b:RefOrder>8</b:RefOrder>
  </b:Source>
  <b:Source>
    <b:Tag>MaW18</b:Tag>
    <b:SourceType>InternetSite</b:SourceType>
    <b:Guid>{2A1EF57F-4B33-4980-A934-E2FC60F1B0B1}</b:Guid>
    <b:Title>PlayerUnknown: Why Tencent Can’t Make Money Off Top Mobile Games</b:Title>
    <b:InternetSiteTitle>The Wall Street Journal</b:InternetSiteTitle>
    <b:Year>2018</b:Year>
    <b:Month>May</b:Month>
    <b:Day>17</b:Day>
    <b:URL>https://www.wsj.com/articles/playerunknown-tencent-cant-make-money-off-top-mobile-games-1526559154</b:URL>
    <b:Author>
      <b:Author>
        <b:NameList>
          <b:Person>
            <b:Last>Ma</b:Last>
            <b:First>Wayne</b:First>
          </b:Person>
        </b:NameList>
      </b:Author>
    </b:Author>
    <b:RefOrder>9</b:RefOrder>
  </b:Source>
  <b:Source>
    <b:Tag>Moz18</b:Tag>
    <b:SourceType>InternetSite</b:SourceType>
    <b:Guid>{DEA9B39C-1721-4683-A370-9721AC22D80D}</b:Guid>
    <b:Title>Tencent, the Chinese Internet Giant, Stumbles. Beijing Gets the Blame</b:Title>
    <b:InternetSiteTitle>The New York times</b:InternetSiteTitle>
    <b:Year>2018</b:Year>
    <b:Month>August</b:Month>
    <b:Day>15</b:Day>
    <b:URL>https://www.nytimes.com/2018/08/15/business/china-tencent-earnings.html?_ga=2.251172674.559875848.1554682060-1213580922.1549810173</b:URL>
    <b:Author>
      <b:Author>
        <b:NameList>
          <b:Person>
            <b:Last>Mozur</b:Last>
            <b:First>Paul</b:First>
          </b:Person>
        </b:NameList>
      </b:Author>
    </b:Author>
    <b:RefOrder>10</b:RefOrder>
  </b:Source>
  <b:Source>
    <b:Tag>WeG18</b:Tag>
    <b:SourceType>InternetSite</b:SourceType>
    <b:Guid>{4F8CAE75-D584-409E-B1E6-4549A6A6E1BF}</b:Guid>
    <b:Author>
      <b:Author>
        <b:Corporate>WeGames</b:Corporate>
      </b:Author>
    </b:Author>
    <b:Title>Monster Hunter</b:Title>
    <b:InternetSiteTitle>WeGames</b:InternetSiteTitle>
    <b:Year>2018</b:Year>
    <b:Month>August </b:Month>
    <b:Day>13</b:Day>
    <b:URL>https://www.wegame.com.cn/store/2000293?top_class=3&amp;amp;nav_type=2&amp;amp;from=store_filter.game_list&amp;amp;unionsite=wegamesite%3A-%3Ajump%3A-&amp;amp;t=1534215102496</b:URL>
    <b:RefOrder>12</b:RefOrder>
  </b:Source>
  <b:Source>
    <b:Tag>BBC18</b:Tag>
    <b:SourceType>InternetSite</b:SourceType>
    <b:Guid>{653DF40B-6DD9-4D0A-B77D-87B8EB9FAB50}</b:Guid>
    <b:Author>
      <b:Author>
        <b:Corporate>BBC</b:Corporate>
      </b:Author>
    </b:Author>
    <b:Title>Monster Hunter World sales yanked by China</b:Title>
    <b:InternetSiteTitle>BBC News</b:InternetSiteTitle>
    <b:Year>2018</b:Year>
    <b:Month>August</b:Month>
    <b:Day>14</b:Day>
    <b:URL>https://www.bbc.co.uk/news/technology-45183371</b:URL>
    <b:RefOrder>13</b:RefOrder>
  </b:Source>
  <b:Source>
    <b:Tag>Han18</b:Tag>
    <b:SourceType>InternetSite</b:SourceType>
    <b:Guid>{07315755-15FF-483F-9602-E5055FE87C13}</b:Guid>
    <b:Title>Tencent forced to pull new video game by Beijing regulators</b:Title>
    <b:InternetSiteTitle>Financial Times</b:InternetSiteTitle>
    <b:Year>2018</b:Year>
    <b:Month>August</b:Month>
    <b:Day>13</b:Day>
    <b:URL>https://www.ft.com/content/10d8ec76-9ead-11e8-85da-eeb7a9ce36e4</b:URL>
    <b:Author>
      <b:Author>
        <b:NameList>
          <b:Person>
            <b:Last>Hancock</b:Last>
            <b:First>Tom</b:First>
          </b:Person>
        </b:NameList>
      </b:Author>
    </b:Author>
    <b:RefOrder>11</b:RefOrder>
  </b:Source>
  <b:Source>
    <b:Tag>Hua18</b:Tag>
    <b:SourceType>InternetSite</b:SourceType>
    <b:Guid>{98DDD8B0-CEF3-436F-B18F-E216202E1084}</b:Guid>
    <b:Title>Monster Hunter: World – Tencent pulls top selling game days after launch as China continues online content crackdown</b:Title>
    <b:InternetSiteTitle>South China Morning Post</b:InternetSiteTitle>
    <b:Year>2018</b:Year>
    <b:Month>August </b:Month>
    <b:Day>13</b:Day>
    <b:URL>https://www.scmp.com/tech/apps-gaming/article/2159390/tencent-pulls-top-selling-game-days-after-launch-beijing-continues</b:URL>
    <b:Author>
      <b:Author>
        <b:NameList>
          <b:Person>
            <b:Last>Huang</b:Last>
            <b:First>Zheping</b:First>
          </b:Person>
        </b:NameList>
      </b:Author>
    </b:Author>
    <b:RefOrder>14</b:RefOrder>
  </b:Source>
  <b:Source>
    <b:Tag>Woo18</b:Tag>
    <b:SourceType>InternetSite</b:SourceType>
    <b:Guid>{442C3F44-D906-47CF-9600-8C53D1B090C8}</b:Guid>
    <b:Title>Tencent tumbles as China plans new video-games rules</b:Title>
    <b:InternetSiteTitle>Financial Times</b:InternetSiteTitle>
    <b:Year>2018</b:Year>
    <b:Month>August</b:Month>
    <b:Day>31</b:Day>
    <b:URL>https://www.ft.com/content/140df8a6-acb7-11e8-94bd-cba20d67390c</b:URL>
    <b:Author>
      <b:Author>
        <b:NameList>
          <b:Person>
            <b:Last>Woodhouse</b:Last>
            <b:First>Alice</b:First>
          </b:Person>
        </b:NameList>
      </b:Author>
    </b:Author>
    <b:RefOrder>15</b:RefOrder>
  </b:Source>
  <b:Source>
    <b:Tag>Min18</b:Tag>
    <b:SourceType>InternetSite</b:SourceType>
    <b:Guid>{D056DCC6-E19A-4FDF-ADE4-9D435B02DDFF}</b:Guid>
    <b:Author>
      <b:Author>
        <b:Corporate>Ministry of Education</b:Corporate>
      </b:Author>
    </b:Author>
    <b:Title>教育部等八部门关于印发《综合防控儿童青少年近视实施方案》的通知</b:Title>
    <b:InternetSiteTitle>Ministry of Education of the People's Republic of China</b:InternetSiteTitle>
    <b:Year>2018</b:Year>
    <b:Month>August</b:Month>
    <b:Day>30</b:Day>
    <b:URL>http://www.moe.edu.cn/srcsite/A17/moe_943/s3285/201808/t20180830_346672.html</b:URL>
    <b:RefOrder>16</b:RefOrder>
  </b:Source>
  <b:Source>
    <b:Tag>Nak18</b:Tag>
    <b:SourceType>InternetSite</b:SourceType>
    <b:Guid>{10343F2F-F8E8-41C2-ABE3-47FB255674D8}</b:Guid>
    <b:Author>
      <b:Author>
        <b:NameList>
          <b:Person>
            <b:Last>Nakamura</b:Last>
            <b:First>Yuji</b:First>
          </b:Person>
        </b:NameList>
      </b:Author>
    </b:Author>
    <b:Title>China's Latest Step to Curb Games and Play Wallops Tencent</b:Title>
    <b:InternetSiteTitle>Bloomberg</b:InternetSiteTitle>
    <b:Year>2018</b:Year>
    <b:Month>August </b:Month>
    <b:Day>30</b:Day>
    <b:URL>https://www.bloomberg.com/news/articles/2018-08-30/china-to-control-number-of-new-online-games-for-children-s-eyes#skip-to-main-content</b:URL>
    <b:RefOrder>17</b:RefOrder>
  </b:Source>
  <b:Source>
    <b:Tag>Loc18</b:Tag>
    <b:SourceType>InternetSite</b:SourceType>
    <b:Guid>{BE932E2E-74B4-4136-95A0-973DA41CB530}</b:Guid>
    <b:Title>China’s Tencent plans ID system to limit minors’ video game usage</b:Title>
    <b:InternetSiteTitle>Financial Times</b:InternetSiteTitle>
    <b:Year>2018</b:Year>
    <b:Month>September</b:Month>
    <b:Day>6</b:Day>
    <b:URL>https://www.ft.com/content/81a8b948-b197-11e8-8d14-6f049d06439c</b:URL>
    <b:Author>
      <b:Author>
        <b:NameList>
          <b:Person>
            <b:Last>Lockett</b:Last>
            <b:First>Hudson</b:First>
          </b:Person>
        </b:NameList>
      </b:Author>
    </b:Author>
    <b:RefOrder>18</b:RefOrder>
  </b:Source>
  <b:Source>
    <b:Tag>Sta18</b:Tag>
    <b:SourceType>InternetSite</b:SourceType>
    <b:Guid>{2EC97B54-E90F-4AF4-94E6-61AE33AAA796}</b:Guid>
    <b:Author>
      <b:Author>
        <b:Corporate>Stand News</b:Corporate>
      </b:Author>
    </b:Author>
    <b:Title>騰訊手遊將啟動嚴格實名制　《王者榮耀》接入公安數據庫</b:Title>
    <b:InternetSiteTitle>StandNews</b:InternetSiteTitle>
    <b:Year>2018</b:Year>
    <b:Month>September </b:Month>
    <b:Day>6</b:Day>
    <b:URL>https://thestandnews.com/finance/%E9%A8%B0%E8%A8%8A%E6%89%8B%E6%B8%B8%E5%B0%87%E5%95%9F%E5%8B%95%E5%9A%B4%E6%A0%BC%E5%AF%A6%E5%90%8D%E5%88%B6-%E7%8E%8B%E8%80%85%E6%A6%AE%E8%80%80-%E6%8E%A5%E5%85%A5%E5%85%AC%E5%AE%89%E6%95%B8%E6%93%9A%E5%BA%AB/</b:URL>
    <b:RefOrder>19</b:RefOrder>
  </b:Source>
  <b:Source>
    <b:Tag>Den18</b:Tag>
    <b:SourceType>InternetSite</b:SourceType>
    <b:Guid>{02784C36-3F27-4957-A428-EDC01CB72BD3}</b:Guid>
    <b:Title>Tencent launches strictest verification system yet to detect minors after Beijing’s call for action on gaming</b:Title>
    <b:InternetSiteTitle>South China Morning Post</b:InternetSiteTitle>
    <b:Year>2018</b:Year>
    <b:Month>September</b:Month>
    <b:Day>6</b:Day>
    <b:URL>https://www.scmp.com/tech/article/2163015/tencent-launches-strictest-verification-system-yet-detect-minors-after-beijings</b:URL>
    <b:Author>
      <b:Author>
        <b:NameList>
          <b:Person>
            <b:Last>Deng </b:Last>
            <b:First>Iris</b:First>
          </b:Person>
        </b:NameList>
      </b:Author>
    </b:Author>
    <b:RefOrder>20</b:RefOrder>
  </b:Source>
  <b:Source>
    <b:Tag>Nis18</b:Tag>
    <b:SourceType>InternetSite</b:SourceType>
    <b:Guid>{8BEAC7CD-6EE8-44B5-8E36-5FB1E4FB92F9}</b:Guid>
    <b:Title>Tencent Is No Longer One of the World's 10 Biggest Companies</b:Title>
    <b:InternetSiteTitle>Bloomberg</b:InternetSiteTitle>
    <b:Year>2018</b:Year>
    <b:Month>October</b:Month>
    <b:Day>10</b:Day>
    <b:URL>https://www.bloomberg.com/news/articles/2018-10-10/tencent-is-no-longer-one-of-the-world-s-top-10-biggest-companies</b:URL>
    <b:Author>
      <b:Author>
        <b:NameList>
          <b:Person>
            <b:Last>Nishizawa  </b:Last>
            <b:First>Kana</b:First>
          </b:Person>
          <b:Person>
            <b:Last>Costa</b:Last>
            <b:Middle>Horta e</b:Middle>
            <b:First>Sofia</b:First>
          </b:Person>
        </b:NameList>
      </b:Author>
    </b:Author>
    <b:RefOrder>1</b:RefOrder>
  </b:Source>
  <b:Source>
    <b:Tag>Ten18</b:Tag>
    <b:SourceType>Report</b:SourceType>
    <b:Guid>{32E59724-59E0-4C1E-8DD8-292B14E26E7D}</b:Guid>
    <b:Title>TENCENT ANNOUNCES 2018 FIRST QUARTER RESULTS</b:Title>
    <b:Year>2018</b:Year>
    <b:Author>
      <b:Author>
        <b:Corporate>Tencent Holdings Limited </b:Corporate>
      </b:Author>
    </b:Author>
    <b:Publisher>Tencent Holdings Limited </b:Publisher>
    <b:City>Hong Kong</b:City>
    <b:RefOrder>2</b:RefOrder>
  </b:Source>
  <b:Source>
    <b:Tag>Cos18</b:Tag>
    <b:SourceType>InternetSite</b:SourceType>
    <b:Guid>{D3967FDF-3DE1-4479-BB37-D04587FE287A}</b:Guid>
    <b:Title>Tencent’s $220 Billion Rout Is Breaking All Kinds of Records</b:Title>
    <b:Year>2018</b:Year>
    <b:InternetSiteTitle>Bloomberg</b:InternetSiteTitle>
    <b:Month>October</b:Month>
    <b:Day>9</b:Day>
    <b:URL>https://www.bloomberg.com/news/articles/2018-10-09/tencent-s-214-billion-tumble-is-breaking-all-kinds-of-records</b:URL>
    <b:Author>
      <b:Author>
        <b:NameList>
          <b:Person>
            <b:Last>Costa</b:Last>
            <b:Middle>Horta e</b:Middle>
            <b:First>Sofia</b:First>
          </b:Person>
        </b:NameList>
      </b:Author>
    </b:Author>
    <b:RefOrder>3</b:RefOrder>
  </b:Source>
  <b:Source>
    <b:Tag>Jac85</b:Tag>
    <b:SourceType>Report</b:SourceType>
    <b:Guid>{6EAF5C4F-C98D-465D-9691-E566F38B4E3E}</b:Guid>
    <b:Title>The effect of stamp duty on equity transactions and prices in teh UK Stock Exchange</b:Title>
    <b:Year>1985</b:Year>
    <b:Publisher>Bank of England</b:Publisher>
    <b:City>London</b:City>
    <b:Author>
      <b:Author>
        <b:NameList>
          <b:Person>
            <b:Last>Jackson</b:Last>
            <b:First>P D</b:First>
          </b:Person>
          <b:Person>
            <b:Last>O'Donnell</b:Last>
            <b:First>A T</b:First>
          </b:Person>
        </b:NameList>
      </b:Author>
    </b:Author>
    <b:RefOrder>7</b:RefOrder>
  </b:Source>
  <b:Source>
    <b:Tag>Fir86</b:Tag>
    <b:SourceType>Book</b:SourceType>
    <b:Guid>{0B103868-9CE4-4BE5-B767-7749B61ED2C4}</b:Guid>
    <b:Title>Issues in Finance</b:Title>
    <b:Year>1986</b:Year>
    <b:Publisher>Philip Allan Publisher Limited</b:Publisher>
    <b:City>Oxford</b:City>
    <b:Author>
      <b:Author>
        <b:NameList>
          <b:Person>
            <b:Last>Firth</b:Last>
            <b:First>Michael</b:First>
          </b:Person>
          <b:Person>
            <b:Last>Keane</b:Last>
            <b:Middle>M.</b:Middle>
            <b:First>Simon</b:First>
          </b:Person>
        </b:NameList>
      </b:Author>
    </b:Author>
    <b:RefOrder>4</b:RefOrder>
  </b:Source>
  <b:Source>
    <b:Tag>Mal03</b:Tag>
    <b:SourceType>JournalArticle</b:SourceType>
    <b:Guid>{69B37234-1830-41CC-9992-AFA6C0A154BE}</b:Guid>
    <b:Title>The Efficient Market Hypothesis and Its</b:Title>
    <b:Year>2003</b:Year>
    <b:JournalName>Journal of Economic Perspectives</b:JournalName>
    <b:Pages>59-82</b:Pages>
    <b:Author>
      <b:Author>
        <b:NameList>
          <b:Person>
            <b:Last>Malkiel</b:Last>
            <b:Middle>G.</b:Middle>
            <b:First>Burton</b:First>
          </b:Person>
        </b:NameList>
      </b:Author>
    </b:Author>
    <b:RefOrder>5</b:RefOrder>
  </b:Source>
  <b:Source>
    <b:Tag>Koc11</b:Tag>
    <b:SourceType>JournalArticle</b:SourceType>
    <b:Guid>{8B480613-3DC9-413E-9BD1-E600049655A9}</b:Guid>
    <b:Title>Do Investors Care if Steve Jobs is Healthy?</b:Title>
    <b:Year>2011</b:Year>
    <b:JournalName>Atlantic Economic Journal</b:JournalName>
    <b:Pages>59-70</b:Pages>
    <b:Author>
      <b:Author>
        <b:NameList>
          <b:Person>
            <b:Last>Koch</b:Last>
            <b:Middle>V.</b:Middle>
            <b:First>James</b:First>
          </b:Person>
          <b:Person>
            <b:Last>Fenili</b:Last>
            <b:Middle>N</b:Middle>
            <b:First>Robert</b:First>
          </b:Person>
          <b:Person>
            <b:Last>Cebula</b:Last>
            <b:Middle>J.</b:Middle>
            <b:First>Richard</b:First>
          </b:Person>
        </b:NameList>
      </b:Author>
    </b:Author>
    <b:RefOrder>21</b:RefOrder>
  </b:Source>
  <b:Source>
    <b:Tag>Her96</b:Tag>
    <b:SourceType>JournalArticle</b:SourceType>
    <b:Guid>{C7A264D9-EC7F-4982-815D-DC9830F6DB60}</b:Guid>
    <b:Title>An analysis of the stock market's response to the Exxon Valdez disaster</b:Title>
    <b:JournalName>Global Finance Journal</b:JournalName>
    <b:Year>1996</b:Year>
    <b:Pages>101-114</b:Pages>
    <b:Author>
      <b:Author>
        <b:NameList>
          <b:Person>
            <b:Last>Herbst</b:Last>
            <b:Middle>F.</b:Middle>
            <b:First>Anthony</b:First>
          </b:Person>
          <b:Person>
            <b:Last>Marshall</b:Last>
            <b:Middle>F.</b:Middle>
            <b:First>John</b:First>
          </b:Person>
          <b:Person>
            <b:Last>Wingender</b:Last>
            <b:First>John</b:First>
          </b:Person>
        </b:NameList>
      </b:Author>
    </b:Author>
    <b:RefOrder>22</b:RefOrder>
  </b:Source>
  <b:Source>
    <b:Tag>Tha87</b:Tag>
    <b:SourceType>JournalArticle</b:SourceType>
    <b:Guid>{49C42526-1A07-4B5D-962D-A2C0989D75EE}</b:Guid>
    <b:Title>Anomalies</b:Title>
    <b:Year>1987</b:Year>
    <b:JournalName>Economic Perspective</b:JournalName>
    <b:Pages>197-201</b:Pages>
    <b:Author>
      <b:Author>
        <b:NameList>
          <b:Person>
            <b:Last>Thaler</b:Last>
            <b:Middle>H.</b:Middle>
            <b:First>Richard</b:First>
          </b:Person>
        </b:NameList>
      </b:Author>
    </b:Author>
    <b:RefOrder>6</b:RefOrder>
  </b:Source>
  <b:Source xmlns:b="http://schemas.openxmlformats.org/officeDocument/2006/bibliography">
    <b:Tag>Tha871</b:Tag>
    <b:SourceType>JournalArticle</b:SourceType>
    <b:Guid>{88C04F65-72DE-4B29-8C0B-08D34BAEC1D4}</b:Guid>
    <b:Title>Anomalies</b:Title>
    <b:JournalName>Economic Perspective</b:JournalName>
    <b:Year>1987</b:Year>
    <b:Pages>169-177</b:Pages>
    <b:Author>
      <b:Author>
        <b:NameList>
          <b:Person>
            <b:Last>Thaler</b:Last>
            <b:First>Richard</b:First>
          </b:Person>
        </b:NameList>
      </b:Author>
    </b:Author>
    <b:RefOrder>23</b:RefOrder>
  </b:Source>
</b:Sources>
</file>

<file path=customXml/itemProps1.xml><?xml version="1.0" encoding="utf-8"?>
<ds:datastoreItem xmlns:ds="http://schemas.openxmlformats.org/officeDocument/2006/customXml" ds:itemID="{8DDEA70B-2290-4EC2-A7F9-222F4CF6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TotalTime>
  <Pages>15</Pages>
  <Words>5807</Words>
  <Characters>33101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Altairhorace</dc:creator>
  <cp:keywords/>
  <dc:description/>
  <cp:lastModifiedBy>Altair Horace</cp:lastModifiedBy>
  <cp:revision>49</cp:revision>
  <dcterms:created xsi:type="dcterms:W3CDTF">2019-05-10T13:45:00Z</dcterms:created>
  <dcterms:modified xsi:type="dcterms:W3CDTF">2019-05-12T18:54:00Z</dcterms:modified>
</cp:coreProperties>
</file>