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5D3F" w14:textId="00474ACB" w:rsidR="00952004" w:rsidRDefault="00D171EB" w:rsidP="00D171EB">
      <w:r w:rsidRPr="00D171EB">
        <w:t>is there any standarad table with these dicom tags?</w:t>
      </w:r>
    </w:p>
    <w:p w14:paraId="6DFAD024" w14:textId="4A7A2269" w:rsidR="00D171EB" w:rsidRDefault="00D171EB" w:rsidP="00D171EB">
      <w:r w:rsidRPr="00D171EB">
        <w:t>Yes! Below is a </w:t>
      </w:r>
      <w:r w:rsidRPr="00D171EB">
        <w:rPr>
          <w:b/>
          <w:bCs/>
        </w:rPr>
        <w:t>standardized reference table</w:t>
      </w:r>
      <w:r w:rsidRPr="00D171EB">
        <w:t> for the key DICOM tags used in radiographic positioning, including their definitions, relationships, and correct usage for different exam types. This aligns with DICOM Standard PS3.3 (Information Object Definitions) and PS3.16 (Content Mapping Resource).</w:t>
      </w:r>
    </w:p>
    <w:p w14:paraId="346D4CF0" w14:textId="77777777" w:rsidR="00D171EB" w:rsidRPr="00D171EB" w:rsidRDefault="00D171EB" w:rsidP="00D171EB">
      <w:r w:rsidRPr="00D171EB">
        <w:rPr>
          <w:b/>
          <w:bCs/>
        </w:rPr>
        <w:t>DICOM Tags for Radiographic Positioning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09"/>
        <w:gridCol w:w="1701"/>
        <w:gridCol w:w="2268"/>
        <w:gridCol w:w="1334"/>
        <w:gridCol w:w="1218"/>
        <w:gridCol w:w="2176"/>
      </w:tblGrid>
      <w:tr w:rsidR="00D171EB" w:rsidRPr="00D171EB" w14:paraId="0588AB72" w14:textId="77777777" w:rsidTr="00D171EB">
        <w:trPr>
          <w:tblHeader/>
        </w:trPr>
        <w:tc>
          <w:tcPr>
            <w:tcW w:w="709" w:type="dxa"/>
            <w:tcBorders>
              <w:top w:val="nil"/>
              <w:left w:val="nil"/>
              <w:bottom w:val="single" w:sz="6" w:space="0" w:color="8B8B8B"/>
              <w:right w:val="nil"/>
            </w:tcBorders>
            <w:tcMar>
              <w:top w:w="150" w:type="dxa"/>
              <w:left w:w="0" w:type="dxa"/>
              <w:bottom w:w="150" w:type="dxa"/>
              <w:right w:w="150" w:type="dxa"/>
            </w:tcMar>
            <w:vAlign w:val="center"/>
            <w:hideMark/>
          </w:tcPr>
          <w:p w14:paraId="602D738B" w14:textId="77777777" w:rsidR="00D171EB" w:rsidRPr="00D171EB" w:rsidRDefault="00D171EB" w:rsidP="00D171EB">
            <w:pPr>
              <w:rPr>
                <w:b/>
                <w:bCs/>
                <w:sz w:val="20"/>
                <w:szCs w:val="20"/>
              </w:rPr>
            </w:pPr>
            <w:r w:rsidRPr="00D171EB">
              <w:rPr>
                <w:b/>
                <w:bCs/>
                <w:sz w:val="20"/>
                <w:szCs w:val="20"/>
              </w:rPr>
              <w:t>Tag (Group,Element)</w:t>
            </w:r>
          </w:p>
        </w:tc>
        <w:tc>
          <w:tcPr>
            <w:tcW w:w="1701" w:type="dxa"/>
            <w:tcBorders>
              <w:top w:val="nil"/>
              <w:left w:val="nil"/>
              <w:bottom w:val="single" w:sz="6" w:space="0" w:color="8B8B8B"/>
              <w:right w:val="nil"/>
            </w:tcBorders>
            <w:tcMar>
              <w:top w:w="150" w:type="dxa"/>
              <w:left w:w="150" w:type="dxa"/>
              <w:bottom w:w="150" w:type="dxa"/>
              <w:right w:w="150" w:type="dxa"/>
            </w:tcMar>
            <w:vAlign w:val="center"/>
            <w:hideMark/>
          </w:tcPr>
          <w:p w14:paraId="4AB68BF7" w14:textId="77777777" w:rsidR="00D171EB" w:rsidRPr="00D171EB" w:rsidRDefault="00D171EB" w:rsidP="00D171EB">
            <w:pPr>
              <w:rPr>
                <w:b/>
                <w:bCs/>
                <w:sz w:val="20"/>
                <w:szCs w:val="20"/>
              </w:rPr>
            </w:pPr>
            <w:r w:rsidRPr="00D171EB">
              <w:rPr>
                <w:b/>
                <w:bCs/>
                <w:sz w:val="20"/>
                <w:szCs w:val="20"/>
              </w:rPr>
              <w:t>Keyword</w:t>
            </w:r>
          </w:p>
        </w:tc>
        <w:tc>
          <w:tcPr>
            <w:tcW w:w="2268" w:type="dxa"/>
            <w:tcBorders>
              <w:top w:val="nil"/>
              <w:left w:val="nil"/>
              <w:bottom w:val="single" w:sz="6" w:space="0" w:color="8B8B8B"/>
              <w:right w:val="nil"/>
            </w:tcBorders>
            <w:tcMar>
              <w:top w:w="150" w:type="dxa"/>
              <w:left w:w="150" w:type="dxa"/>
              <w:bottom w:w="150" w:type="dxa"/>
              <w:right w:w="150" w:type="dxa"/>
            </w:tcMar>
            <w:vAlign w:val="center"/>
            <w:hideMark/>
          </w:tcPr>
          <w:p w14:paraId="58244EDB" w14:textId="77777777" w:rsidR="00D171EB" w:rsidRPr="00D171EB" w:rsidRDefault="00D171EB" w:rsidP="00D171EB">
            <w:pPr>
              <w:rPr>
                <w:b/>
                <w:bCs/>
                <w:sz w:val="20"/>
                <w:szCs w:val="20"/>
              </w:rPr>
            </w:pPr>
            <w:r w:rsidRPr="00D171EB">
              <w:rPr>
                <w:b/>
                <w:bCs/>
                <w:sz w:val="20"/>
                <w:szCs w:val="20"/>
              </w:rPr>
              <w:t>Description</w:t>
            </w:r>
          </w:p>
        </w:tc>
        <w:tc>
          <w:tcPr>
            <w:tcW w:w="1334" w:type="dxa"/>
            <w:tcBorders>
              <w:top w:val="nil"/>
              <w:left w:val="nil"/>
              <w:bottom w:val="single" w:sz="6" w:space="0" w:color="8B8B8B"/>
              <w:right w:val="nil"/>
            </w:tcBorders>
            <w:tcMar>
              <w:top w:w="150" w:type="dxa"/>
              <w:left w:w="150" w:type="dxa"/>
              <w:bottom w:w="150" w:type="dxa"/>
              <w:right w:w="150" w:type="dxa"/>
            </w:tcMar>
            <w:vAlign w:val="center"/>
            <w:hideMark/>
          </w:tcPr>
          <w:p w14:paraId="03F21662" w14:textId="77777777" w:rsidR="00D171EB" w:rsidRPr="00D171EB" w:rsidRDefault="00D171EB" w:rsidP="00D171EB">
            <w:pPr>
              <w:rPr>
                <w:b/>
                <w:bCs/>
                <w:sz w:val="20"/>
                <w:szCs w:val="20"/>
              </w:rPr>
            </w:pPr>
            <w:r w:rsidRPr="00D171EB">
              <w:rPr>
                <w:b/>
                <w:bCs/>
                <w:sz w:val="20"/>
                <w:szCs w:val="20"/>
              </w:rPr>
              <w:t>Valid Values</w:t>
            </w:r>
          </w:p>
        </w:tc>
        <w:tc>
          <w:tcPr>
            <w:tcW w:w="1218" w:type="dxa"/>
            <w:tcBorders>
              <w:top w:val="nil"/>
              <w:left w:val="nil"/>
              <w:bottom w:val="single" w:sz="6" w:space="0" w:color="8B8B8B"/>
              <w:right w:val="nil"/>
            </w:tcBorders>
            <w:tcMar>
              <w:top w:w="150" w:type="dxa"/>
              <w:left w:w="150" w:type="dxa"/>
              <w:bottom w:w="150" w:type="dxa"/>
              <w:right w:w="150" w:type="dxa"/>
            </w:tcMar>
            <w:vAlign w:val="center"/>
            <w:hideMark/>
          </w:tcPr>
          <w:p w14:paraId="79515383" w14:textId="77777777" w:rsidR="00D171EB" w:rsidRPr="00D171EB" w:rsidRDefault="00D171EB" w:rsidP="00D171EB">
            <w:pPr>
              <w:rPr>
                <w:b/>
                <w:bCs/>
                <w:sz w:val="20"/>
                <w:szCs w:val="20"/>
              </w:rPr>
            </w:pPr>
            <w:r w:rsidRPr="00D171EB">
              <w:rPr>
                <w:b/>
                <w:bCs/>
                <w:sz w:val="20"/>
                <w:szCs w:val="20"/>
              </w:rPr>
              <w:t>Example (Clavicle LAT RT)</w:t>
            </w:r>
          </w:p>
        </w:tc>
        <w:tc>
          <w:tcPr>
            <w:tcW w:w="2176" w:type="dxa"/>
            <w:tcBorders>
              <w:top w:val="nil"/>
              <w:left w:val="nil"/>
              <w:bottom w:val="single" w:sz="6" w:space="0" w:color="8B8B8B"/>
              <w:right w:val="nil"/>
            </w:tcBorders>
            <w:tcMar>
              <w:top w:w="150" w:type="dxa"/>
              <w:left w:w="150" w:type="dxa"/>
              <w:bottom w:w="150" w:type="dxa"/>
              <w:right w:w="150" w:type="dxa"/>
            </w:tcMar>
            <w:vAlign w:val="center"/>
            <w:hideMark/>
          </w:tcPr>
          <w:p w14:paraId="3FFDC559" w14:textId="77777777" w:rsidR="00D171EB" w:rsidRPr="00D171EB" w:rsidRDefault="00D171EB" w:rsidP="00D171EB">
            <w:pPr>
              <w:rPr>
                <w:b/>
                <w:bCs/>
                <w:sz w:val="20"/>
                <w:szCs w:val="20"/>
              </w:rPr>
            </w:pPr>
            <w:r w:rsidRPr="00D171EB">
              <w:rPr>
                <w:b/>
                <w:bCs/>
                <w:sz w:val="20"/>
                <w:szCs w:val="20"/>
              </w:rPr>
              <w:t>Notes</w:t>
            </w:r>
          </w:p>
        </w:tc>
      </w:tr>
      <w:tr w:rsidR="00D171EB" w:rsidRPr="00D171EB" w14:paraId="1C02B651"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6725EC29" w14:textId="77777777" w:rsidR="00D171EB" w:rsidRPr="00D171EB" w:rsidRDefault="00D171EB" w:rsidP="00D171EB">
            <w:pPr>
              <w:rPr>
                <w:sz w:val="20"/>
                <w:szCs w:val="20"/>
              </w:rPr>
            </w:pPr>
            <w:r w:rsidRPr="00D171EB">
              <w:rPr>
                <w:b/>
                <w:bCs/>
                <w:sz w:val="20"/>
                <w:szCs w:val="20"/>
              </w:rPr>
              <w:t>(0018,5101)</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34E1C021" w14:textId="77777777" w:rsidR="00D171EB" w:rsidRPr="00D171EB" w:rsidRDefault="00D171EB" w:rsidP="00D171EB">
            <w:pPr>
              <w:rPr>
                <w:sz w:val="20"/>
                <w:szCs w:val="20"/>
              </w:rPr>
            </w:pPr>
            <w:r w:rsidRPr="00D171EB">
              <w:rPr>
                <w:sz w:val="20"/>
                <w:szCs w:val="20"/>
              </w:rPr>
              <w:t>ViewPosition</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539486A8" w14:textId="77777777" w:rsidR="00D171EB" w:rsidRPr="00D171EB" w:rsidRDefault="00D171EB" w:rsidP="00D171EB">
            <w:pPr>
              <w:rPr>
                <w:sz w:val="20"/>
                <w:szCs w:val="20"/>
              </w:rPr>
            </w:pPr>
            <w:r w:rsidRPr="00D171EB">
              <w:rPr>
                <w:sz w:val="20"/>
                <w:szCs w:val="20"/>
              </w:rPr>
              <w:t>Direction of X-ray beam relative to patient (beam entry → exit).</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03FEBE9D" w14:textId="77777777" w:rsidR="00D171EB" w:rsidRPr="00D171EB" w:rsidRDefault="00D171EB" w:rsidP="00D171EB">
            <w:pPr>
              <w:rPr>
                <w:sz w:val="20"/>
                <w:szCs w:val="20"/>
              </w:rPr>
            </w:pPr>
            <w:r w:rsidRPr="00D171EB">
              <w:rPr>
                <w:sz w:val="20"/>
                <w:szCs w:val="20"/>
              </w:rPr>
              <w:t>AP, PA, LL, RL, RLO, LLO, etc.</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5EE34FDF" w14:textId="77777777" w:rsidR="00D171EB" w:rsidRPr="00D171EB" w:rsidRDefault="00D171EB" w:rsidP="00D171EB">
            <w:pPr>
              <w:rPr>
                <w:sz w:val="20"/>
                <w:szCs w:val="20"/>
              </w:rPr>
            </w:pPr>
            <w:r w:rsidRPr="00D171EB">
              <w:rPr>
                <w:sz w:val="20"/>
                <w:szCs w:val="20"/>
              </w:rPr>
              <w:t>RL (Right Lateral)</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517BF8C0" w14:textId="77777777" w:rsidR="00D171EB" w:rsidRPr="00D171EB" w:rsidRDefault="00D171EB" w:rsidP="00D171EB">
            <w:pPr>
              <w:rPr>
                <w:sz w:val="20"/>
                <w:szCs w:val="20"/>
              </w:rPr>
            </w:pPr>
            <w:r w:rsidRPr="00D171EB">
              <w:rPr>
                <w:sz w:val="20"/>
                <w:szCs w:val="20"/>
              </w:rPr>
              <w:t>Beam enters left side, exits right side (right clavicle on detector).</w:t>
            </w:r>
          </w:p>
        </w:tc>
      </w:tr>
      <w:tr w:rsidR="00D171EB" w:rsidRPr="00D171EB" w14:paraId="7E92AA4D"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2F190FBA" w14:textId="77777777" w:rsidR="00D171EB" w:rsidRPr="00D171EB" w:rsidRDefault="00D171EB" w:rsidP="00D171EB">
            <w:pPr>
              <w:rPr>
                <w:sz w:val="20"/>
                <w:szCs w:val="20"/>
              </w:rPr>
            </w:pPr>
            <w:r w:rsidRPr="00D171EB">
              <w:rPr>
                <w:b/>
                <w:bCs/>
                <w:sz w:val="20"/>
                <w:szCs w:val="20"/>
              </w:rPr>
              <w:t>(0018,5100)</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6F7D254A" w14:textId="77777777" w:rsidR="00D171EB" w:rsidRPr="00D171EB" w:rsidRDefault="00D171EB" w:rsidP="00D171EB">
            <w:pPr>
              <w:rPr>
                <w:sz w:val="20"/>
                <w:szCs w:val="20"/>
              </w:rPr>
            </w:pPr>
            <w:r w:rsidRPr="00D171EB">
              <w:rPr>
                <w:sz w:val="20"/>
                <w:szCs w:val="20"/>
              </w:rPr>
              <w:t>PatientPosition</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2F0C761B" w14:textId="77777777" w:rsidR="00D171EB" w:rsidRPr="00D171EB" w:rsidRDefault="00D171EB" w:rsidP="00D171EB">
            <w:pPr>
              <w:rPr>
                <w:sz w:val="20"/>
                <w:szCs w:val="20"/>
              </w:rPr>
            </w:pPr>
            <w:r w:rsidRPr="00D171EB">
              <w:rPr>
                <w:sz w:val="20"/>
                <w:szCs w:val="20"/>
              </w:rPr>
              <w:t>Patient's physical orientation on the table (e.g., supine, prone).</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0C1BA4C8" w14:textId="77777777" w:rsidR="00D171EB" w:rsidRPr="00D171EB" w:rsidRDefault="00D171EB" w:rsidP="00D171EB">
            <w:pPr>
              <w:rPr>
                <w:sz w:val="20"/>
                <w:szCs w:val="20"/>
              </w:rPr>
            </w:pPr>
            <w:r w:rsidRPr="00D171EB">
              <w:rPr>
                <w:sz w:val="20"/>
                <w:szCs w:val="20"/>
              </w:rPr>
              <w:t>HFS (Head First Supine), FFP (Feet First Prone), etc.</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1B8D3E43" w14:textId="77777777" w:rsidR="00D171EB" w:rsidRPr="00D171EB" w:rsidRDefault="00D171EB" w:rsidP="00D171EB">
            <w:pPr>
              <w:rPr>
                <w:sz w:val="20"/>
                <w:szCs w:val="20"/>
              </w:rPr>
            </w:pPr>
            <w:r w:rsidRPr="00D171EB">
              <w:rPr>
                <w:sz w:val="20"/>
                <w:szCs w:val="20"/>
              </w:rPr>
              <w:t>HFS (if supine)</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149A4D42" w14:textId="77777777" w:rsidR="00D171EB" w:rsidRPr="00D171EB" w:rsidRDefault="00D171EB" w:rsidP="00D171EB">
            <w:pPr>
              <w:rPr>
                <w:sz w:val="20"/>
                <w:szCs w:val="20"/>
              </w:rPr>
            </w:pPr>
            <w:r w:rsidRPr="00D171EB">
              <w:rPr>
                <w:sz w:val="20"/>
                <w:szCs w:val="20"/>
              </w:rPr>
              <w:t>Not to be confused with ViewPosition.</w:t>
            </w:r>
          </w:p>
        </w:tc>
      </w:tr>
      <w:tr w:rsidR="00D171EB" w:rsidRPr="00D171EB" w14:paraId="3510204D"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5B9C3732" w14:textId="77777777" w:rsidR="00D171EB" w:rsidRPr="00D171EB" w:rsidRDefault="00D171EB" w:rsidP="00D171EB">
            <w:pPr>
              <w:rPr>
                <w:sz w:val="20"/>
                <w:szCs w:val="20"/>
              </w:rPr>
            </w:pPr>
            <w:r w:rsidRPr="00D171EB">
              <w:rPr>
                <w:b/>
                <w:bCs/>
                <w:sz w:val="20"/>
                <w:szCs w:val="20"/>
              </w:rPr>
              <w:t>(0018,9401)</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12FE504F" w14:textId="77777777" w:rsidR="00D171EB" w:rsidRPr="00D171EB" w:rsidRDefault="00D171EB" w:rsidP="00D171EB">
            <w:pPr>
              <w:rPr>
                <w:sz w:val="20"/>
                <w:szCs w:val="20"/>
              </w:rPr>
            </w:pPr>
            <w:r w:rsidRPr="00D171EB">
              <w:rPr>
                <w:sz w:val="20"/>
                <w:szCs w:val="20"/>
              </w:rPr>
              <w:t>ViewCodeSequence</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415BA3B1" w14:textId="77777777" w:rsidR="00D171EB" w:rsidRPr="00D171EB" w:rsidRDefault="00D171EB" w:rsidP="00D171EB">
            <w:pPr>
              <w:rPr>
                <w:sz w:val="20"/>
                <w:szCs w:val="20"/>
              </w:rPr>
            </w:pPr>
            <w:r w:rsidRPr="00D171EB">
              <w:rPr>
                <w:sz w:val="20"/>
                <w:szCs w:val="20"/>
              </w:rPr>
              <w:t>Structured description of the projection (e.g., "Lateral", "Oblique").</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73A39198" w14:textId="77777777" w:rsidR="00D171EB" w:rsidRPr="00D171EB" w:rsidRDefault="00D171EB" w:rsidP="00D171EB">
            <w:pPr>
              <w:rPr>
                <w:sz w:val="20"/>
                <w:szCs w:val="20"/>
              </w:rPr>
            </w:pPr>
            <w:r w:rsidRPr="00D171EB">
              <w:rPr>
                <w:sz w:val="20"/>
                <w:szCs w:val="20"/>
              </w:rPr>
              <w:t>SNOMED CT or DICOM-defined codes.</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65155B51" w14:textId="77777777" w:rsidR="00D171EB" w:rsidRPr="00D171EB" w:rsidRDefault="00D171EB" w:rsidP="00D171EB">
            <w:pPr>
              <w:rPr>
                <w:sz w:val="20"/>
                <w:szCs w:val="20"/>
              </w:rPr>
            </w:pPr>
            <w:r w:rsidRPr="00D171EB">
              <w:rPr>
                <w:sz w:val="20"/>
                <w:szCs w:val="20"/>
              </w:rPr>
              <w:t>399162004 (Lateral view)</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7F5D303A" w14:textId="77777777" w:rsidR="00D171EB" w:rsidRPr="00D171EB" w:rsidRDefault="00D171EB" w:rsidP="00D171EB">
            <w:pPr>
              <w:rPr>
                <w:sz w:val="20"/>
                <w:szCs w:val="20"/>
              </w:rPr>
            </w:pPr>
            <w:r w:rsidRPr="00D171EB">
              <w:rPr>
                <w:sz w:val="20"/>
                <w:szCs w:val="20"/>
              </w:rPr>
              <w:t>Preferred for detailed documentation.</w:t>
            </w:r>
          </w:p>
        </w:tc>
      </w:tr>
      <w:tr w:rsidR="00D171EB" w:rsidRPr="00D171EB" w14:paraId="31318AA9"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46B3EDEF" w14:textId="77777777" w:rsidR="00D171EB" w:rsidRPr="00D171EB" w:rsidRDefault="00D171EB" w:rsidP="00D171EB">
            <w:pPr>
              <w:rPr>
                <w:sz w:val="20"/>
                <w:szCs w:val="20"/>
              </w:rPr>
            </w:pPr>
            <w:r w:rsidRPr="00D171EB">
              <w:rPr>
                <w:b/>
                <w:bCs/>
                <w:sz w:val="20"/>
                <w:szCs w:val="20"/>
              </w:rPr>
              <w:t>(0020,0060)</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7FBBB9FE" w14:textId="77777777" w:rsidR="00D171EB" w:rsidRPr="00D171EB" w:rsidRDefault="00D171EB" w:rsidP="00D171EB">
            <w:pPr>
              <w:rPr>
                <w:sz w:val="20"/>
                <w:szCs w:val="20"/>
              </w:rPr>
            </w:pPr>
            <w:r w:rsidRPr="00D171EB">
              <w:rPr>
                <w:sz w:val="20"/>
                <w:szCs w:val="20"/>
              </w:rPr>
              <w:t>Laterality</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5FDB531C" w14:textId="77777777" w:rsidR="00D171EB" w:rsidRPr="00D171EB" w:rsidRDefault="00D171EB" w:rsidP="00D171EB">
            <w:pPr>
              <w:rPr>
                <w:sz w:val="20"/>
                <w:szCs w:val="20"/>
              </w:rPr>
            </w:pPr>
            <w:r w:rsidRPr="00D171EB">
              <w:rPr>
                <w:sz w:val="20"/>
                <w:szCs w:val="20"/>
              </w:rPr>
              <w:t>Side of paired body part (if applicable).</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7C105387" w14:textId="77777777" w:rsidR="00D171EB" w:rsidRPr="00D171EB" w:rsidRDefault="00D171EB" w:rsidP="00D171EB">
            <w:pPr>
              <w:rPr>
                <w:sz w:val="20"/>
                <w:szCs w:val="20"/>
              </w:rPr>
            </w:pPr>
            <w:r w:rsidRPr="00D171EB">
              <w:rPr>
                <w:sz w:val="20"/>
                <w:szCs w:val="20"/>
              </w:rPr>
              <w:t>R, L, B (both), or omitted.</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196153A3" w14:textId="77777777" w:rsidR="00D171EB" w:rsidRPr="00D171EB" w:rsidRDefault="00D171EB" w:rsidP="00D171EB">
            <w:pPr>
              <w:rPr>
                <w:sz w:val="20"/>
                <w:szCs w:val="20"/>
              </w:rPr>
            </w:pPr>
            <w:r w:rsidRPr="00D171EB">
              <w:rPr>
                <w:i/>
                <w:iCs/>
                <w:sz w:val="20"/>
                <w:szCs w:val="20"/>
              </w:rPr>
              <w:t>Omit</w:t>
            </w:r>
            <w:r w:rsidRPr="00D171EB">
              <w:rPr>
                <w:sz w:val="20"/>
                <w:szCs w:val="20"/>
              </w:rPr>
              <w:t> (clavicle is unilateral)</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45D255C7" w14:textId="77777777" w:rsidR="00D171EB" w:rsidRPr="00D171EB" w:rsidRDefault="00D171EB" w:rsidP="00D171EB">
            <w:pPr>
              <w:rPr>
                <w:sz w:val="20"/>
                <w:szCs w:val="20"/>
              </w:rPr>
            </w:pPr>
            <w:r w:rsidRPr="00D171EB">
              <w:rPr>
                <w:sz w:val="20"/>
                <w:szCs w:val="20"/>
              </w:rPr>
              <w:t>Only for paired structures (e.g., breasts, lungs).</w:t>
            </w:r>
          </w:p>
        </w:tc>
      </w:tr>
      <w:tr w:rsidR="00D171EB" w:rsidRPr="00D171EB" w14:paraId="0540C0F3"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54A1474A" w14:textId="77777777" w:rsidR="00D171EB" w:rsidRPr="00D171EB" w:rsidRDefault="00D171EB" w:rsidP="00D171EB">
            <w:pPr>
              <w:rPr>
                <w:sz w:val="20"/>
                <w:szCs w:val="20"/>
              </w:rPr>
            </w:pPr>
            <w:r w:rsidRPr="00D171EB">
              <w:rPr>
                <w:b/>
                <w:bCs/>
                <w:sz w:val="20"/>
                <w:szCs w:val="20"/>
              </w:rPr>
              <w:t>(0020,0062)</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4A38D02D" w14:textId="77777777" w:rsidR="00D171EB" w:rsidRPr="00D171EB" w:rsidRDefault="00D171EB" w:rsidP="00D171EB">
            <w:pPr>
              <w:rPr>
                <w:sz w:val="20"/>
                <w:szCs w:val="20"/>
              </w:rPr>
            </w:pPr>
            <w:r w:rsidRPr="00D171EB">
              <w:rPr>
                <w:sz w:val="20"/>
                <w:szCs w:val="20"/>
              </w:rPr>
              <w:t>ImageLaterality</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00973694" w14:textId="77777777" w:rsidR="00D171EB" w:rsidRPr="00D171EB" w:rsidRDefault="00D171EB" w:rsidP="00D171EB">
            <w:pPr>
              <w:rPr>
                <w:sz w:val="20"/>
                <w:szCs w:val="20"/>
              </w:rPr>
            </w:pPr>
            <w:r w:rsidRPr="00D171EB">
              <w:rPr>
                <w:sz w:val="20"/>
                <w:szCs w:val="20"/>
              </w:rPr>
              <w:t>Side of the body part actually imaged.</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44157247" w14:textId="77777777" w:rsidR="00D171EB" w:rsidRPr="00D171EB" w:rsidRDefault="00D171EB" w:rsidP="00D171EB">
            <w:pPr>
              <w:rPr>
                <w:sz w:val="20"/>
                <w:szCs w:val="20"/>
              </w:rPr>
            </w:pPr>
            <w:r w:rsidRPr="00D171EB">
              <w:rPr>
                <w:sz w:val="20"/>
                <w:szCs w:val="20"/>
              </w:rPr>
              <w:t>R, L, B (both).</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05CDF593" w14:textId="77777777" w:rsidR="00D171EB" w:rsidRPr="00D171EB" w:rsidRDefault="00D171EB" w:rsidP="00D171EB">
            <w:pPr>
              <w:rPr>
                <w:sz w:val="20"/>
                <w:szCs w:val="20"/>
              </w:rPr>
            </w:pPr>
            <w:r w:rsidRPr="00D171EB">
              <w:rPr>
                <w:sz w:val="20"/>
                <w:szCs w:val="20"/>
              </w:rPr>
              <w:t>R (Right clavicle)</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4952B6EF" w14:textId="77777777" w:rsidR="00D171EB" w:rsidRPr="00D171EB" w:rsidRDefault="00D171EB" w:rsidP="00D171EB">
            <w:pPr>
              <w:rPr>
                <w:sz w:val="20"/>
                <w:szCs w:val="20"/>
              </w:rPr>
            </w:pPr>
            <w:r w:rsidRPr="00D171EB">
              <w:rPr>
                <w:sz w:val="20"/>
                <w:szCs w:val="20"/>
              </w:rPr>
              <w:t>Required for unilateral exams.</w:t>
            </w:r>
          </w:p>
        </w:tc>
      </w:tr>
      <w:tr w:rsidR="00D171EB" w:rsidRPr="00D171EB" w14:paraId="252AD67A"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2036E0C1" w14:textId="77777777" w:rsidR="00D171EB" w:rsidRPr="00D171EB" w:rsidRDefault="00D171EB" w:rsidP="00D171EB">
            <w:pPr>
              <w:rPr>
                <w:sz w:val="20"/>
                <w:szCs w:val="20"/>
              </w:rPr>
            </w:pPr>
            <w:r w:rsidRPr="00D171EB">
              <w:rPr>
                <w:b/>
                <w:bCs/>
                <w:sz w:val="20"/>
                <w:szCs w:val="20"/>
              </w:rPr>
              <w:lastRenderedPageBreak/>
              <w:t>(0018,1500)</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7459019C" w14:textId="77777777" w:rsidR="00D171EB" w:rsidRPr="00D171EB" w:rsidRDefault="00D171EB" w:rsidP="00D171EB">
            <w:pPr>
              <w:rPr>
                <w:sz w:val="20"/>
                <w:szCs w:val="20"/>
              </w:rPr>
            </w:pPr>
            <w:r w:rsidRPr="00D171EB">
              <w:rPr>
                <w:sz w:val="20"/>
                <w:szCs w:val="20"/>
              </w:rPr>
              <w:t>BodyPartExamined</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159FB20A" w14:textId="77777777" w:rsidR="00D171EB" w:rsidRPr="00D171EB" w:rsidRDefault="00D171EB" w:rsidP="00D171EB">
            <w:pPr>
              <w:rPr>
                <w:sz w:val="20"/>
                <w:szCs w:val="20"/>
              </w:rPr>
            </w:pPr>
            <w:r w:rsidRPr="00D171EB">
              <w:rPr>
                <w:sz w:val="20"/>
                <w:szCs w:val="20"/>
              </w:rPr>
              <w:t>General anatomic region (free-text).</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2A7DE08F" w14:textId="77777777" w:rsidR="00D171EB" w:rsidRPr="00D171EB" w:rsidRDefault="00D171EB" w:rsidP="00D171EB">
            <w:pPr>
              <w:rPr>
                <w:sz w:val="20"/>
                <w:szCs w:val="20"/>
              </w:rPr>
            </w:pPr>
            <w:r w:rsidRPr="00D171EB">
              <w:rPr>
                <w:sz w:val="20"/>
                <w:szCs w:val="20"/>
              </w:rPr>
              <w:t>CLAVICLE, CHEST, SKULL, etc.</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3A1C86E5" w14:textId="77777777" w:rsidR="00D171EB" w:rsidRPr="00D171EB" w:rsidRDefault="00D171EB" w:rsidP="00D171EB">
            <w:pPr>
              <w:rPr>
                <w:sz w:val="20"/>
                <w:szCs w:val="20"/>
              </w:rPr>
            </w:pPr>
            <w:r w:rsidRPr="00D171EB">
              <w:rPr>
                <w:sz w:val="20"/>
                <w:szCs w:val="20"/>
              </w:rPr>
              <w:t>CLAVICLE</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736FDAD3" w14:textId="77777777" w:rsidR="00D171EB" w:rsidRPr="00D171EB" w:rsidRDefault="00D171EB" w:rsidP="00D171EB">
            <w:pPr>
              <w:rPr>
                <w:sz w:val="20"/>
                <w:szCs w:val="20"/>
              </w:rPr>
            </w:pPr>
            <w:r w:rsidRPr="00D171EB">
              <w:rPr>
                <w:sz w:val="20"/>
                <w:szCs w:val="20"/>
              </w:rPr>
              <w:t>Vendor-specific values may vary.</w:t>
            </w:r>
          </w:p>
        </w:tc>
      </w:tr>
      <w:tr w:rsidR="00D171EB" w:rsidRPr="00D171EB" w14:paraId="1E69BCA7"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7772C9AE" w14:textId="77777777" w:rsidR="00D171EB" w:rsidRPr="00D171EB" w:rsidRDefault="00D171EB" w:rsidP="00D171EB">
            <w:pPr>
              <w:rPr>
                <w:sz w:val="20"/>
                <w:szCs w:val="20"/>
              </w:rPr>
            </w:pPr>
            <w:r w:rsidRPr="00D171EB">
              <w:rPr>
                <w:b/>
                <w:bCs/>
                <w:sz w:val="20"/>
                <w:szCs w:val="20"/>
              </w:rPr>
              <w:t>(0008,2218)</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09AFFD5E" w14:textId="77777777" w:rsidR="00D171EB" w:rsidRPr="00D171EB" w:rsidRDefault="00D171EB" w:rsidP="00D171EB">
            <w:pPr>
              <w:rPr>
                <w:sz w:val="20"/>
                <w:szCs w:val="20"/>
              </w:rPr>
            </w:pPr>
            <w:r w:rsidRPr="00D171EB">
              <w:rPr>
                <w:sz w:val="20"/>
                <w:szCs w:val="20"/>
              </w:rPr>
              <w:t>AnatomicRegionSequence</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3F97BB04" w14:textId="77777777" w:rsidR="00D171EB" w:rsidRPr="00D171EB" w:rsidRDefault="00D171EB" w:rsidP="00D171EB">
            <w:pPr>
              <w:rPr>
                <w:sz w:val="20"/>
                <w:szCs w:val="20"/>
              </w:rPr>
            </w:pPr>
            <w:r w:rsidRPr="00D171EB">
              <w:rPr>
                <w:sz w:val="20"/>
                <w:szCs w:val="20"/>
              </w:rPr>
              <w:t>Detailed anatomic location (structured).</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3AEE6750" w14:textId="77777777" w:rsidR="00D171EB" w:rsidRPr="00D171EB" w:rsidRDefault="00D171EB" w:rsidP="00D171EB">
            <w:pPr>
              <w:rPr>
                <w:sz w:val="20"/>
                <w:szCs w:val="20"/>
              </w:rPr>
            </w:pPr>
            <w:r w:rsidRPr="00D171EB">
              <w:rPr>
                <w:sz w:val="20"/>
                <w:szCs w:val="20"/>
              </w:rPr>
              <w:t>SNOMED CT codes.</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66FE4040" w14:textId="77777777" w:rsidR="00D171EB" w:rsidRPr="00D171EB" w:rsidRDefault="00D171EB" w:rsidP="00D171EB">
            <w:pPr>
              <w:rPr>
                <w:sz w:val="20"/>
                <w:szCs w:val="20"/>
              </w:rPr>
            </w:pPr>
            <w:r w:rsidRPr="00D171EB">
              <w:rPr>
                <w:sz w:val="20"/>
                <w:szCs w:val="20"/>
              </w:rPr>
              <w:t>85756007 (Clavicle bone)</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42F3CF6F" w14:textId="77777777" w:rsidR="00D171EB" w:rsidRPr="00D171EB" w:rsidRDefault="00D171EB" w:rsidP="00D171EB">
            <w:pPr>
              <w:rPr>
                <w:sz w:val="20"/>
                <w:szCs w:val="20"/>
              </w:rPr>
            </w:pPr>
            <w:r w:rsidRPr="00D171EB">
              <w:rPr>
                <w:sz w:val="20"/>
                <w:szCs w:val="20"/>
              </w:rPr>
              <w:t>More precise than BodyPartExamined.</w:t>
            </w:r>
          </w:p>
        </w:tc>
      </w:tr>
      <w:tr w:rsidR="00D171EB" w:rsidRPr="00D171EB" w14:paraId="0BAF1803" w14:textId="77777777" w:rsidTr="00D171EB">
        <w:tc>
          <w:tcPr>
            <w:tcW w:w="709" w:type="dxa"/>
            <w:tcBorders>
              <w:top w:val="nil"/>
              <w:left w:val="nil"/>
              <w:bottom w:val="single" w:sz="6" w:space="0" w:color="525252"/>
              <w:right w:val="nil"/>
            </w:tcBorders>
            <w:tcMar>
              <w:top w:w="150" w:type="dxa"/>
              <w:left w:w="0" w:type="dxa"/>
              <w:bottom w:w="150" w:type="dxa"/>
              <w:right w:w="150" w:type="dxa"/>
            </w:tcMar>
            <w:vAlign w:val="center"/>
            <w:hideMark/>
          </w:tcPr>
          <w:p w14:paraId="597718A6" w14:textId="77777777" w:rsidR="00D171EB" w:rsidRPr="00D171EB" w:rsidRDefault="00D171EB" w:rsidP="00D171EB">
            <w:pPr>
              <w:rPr>
                <w:sz w:val="20"/>
                <w:szCs w:val="20"/>
              </w:rPr>
            </w:pPr>
            <w:r w:rsidRPr="00D171EB">
              <w:rPr>
                <w:b/>
                <w:bCs/>
                <w:sz w:val="20"/>
                <w:szCs w:val="20"/>
              </w:rPr>
              <w:t>(0018,5102)</w:t>
            </w:r>
          </w:p>
        </w:tc>
        <w:tc>
          <w:tcPr>
            <w:tcW w:w="1701" w:type="dxa"/>
            <w:tcBorders>
              <w:top w:val="nil"/>
              <w:left w:val="nil"/>
              <w:bottom w:val="single" w:sz="6" w:space="0" w:color="525252"/>
              <w:right w:val="nil"/>
            </w:tcBorders>
            <w:tcMar>
              <w:top w:w="150" w:type="dxa"/>
              <w:left w:w="150" w:type="dxa"/>
              <w:bottom w:w="150" w:type="dxa"/>
              <w:right w:w="150" w:type="dxa"/>
            </w:tcMar>
            <w:vAlign w:val="center"/>
            <w:hideMark/>
          </w:tcPr>
          <w:p w14:paraId="48F98B2B" w14:textId="77777777" w:rsidR="00D171EB" w:rsidRPr="00D171EB" w:rsidRDefault="00D171EB" w:rsidP="00D171EB">
            <w:pPr>
              <w:rPr>
                <w:sz w:val="20"/>
                <w:szCs w:val="20"/>
              </w:rPr>
            </w:pPr>
            <w:r w:rsidRPr="00D171EB">
              <w:rPr>
                <w:sz w:val="20"/>
                <w:szCs w:val="20"/>
              </w:rPr>
              <w:t>Orientation</w:t>
            </w:r>
          </w:p>
        </w:tc>
        <w:tc>
          <w:tcPr>
            <w:tcW w:w="2268" w:type="dxa"/>
            <w:tcBorders>
              <w:top w:val="nil"/>
              <w:left w:val="nil"/>
              <w:bottom w:val="single" w:sz="6" w:space="0" w:color="525252"/>
              <w:right w:val="nil"/>
            </w:tcBorders>
            <w:tcMar>
              <w:top w:w="150" w:type="dxa"/>
              <w:left w:w="150" w:type="dxa"/>
              <w:bottom w:w="150" w:type="dxa"/>
              <w:right w:w="150" w:type="dxa"/>
            </w:tcMar>
            <w:vAlign w:val="center"/>
            <w:hideMark/>
          </w:tcPr>
          <w:p w14:paraId="285CDBEC" w14:textId="77777777" w:rsidR="00D171EB" w:rsidRPr="00D171EB" w:rsidRDefault="00D171EB" w:rsidP="00D171EB">
            <w:pPr>
              <w:rPr>
                <w:sz w:val="20"/>
                <w:szCs w:val="20"/>
              </w:rPr>
            </w:pPr>
            <w:r w:rsidRPr="00D171EB">
              <w:rPr>
                <w:b/>
                <w:bCs/>
                <w:sz w:val="20"/>
                <w:szCs w:val="20"/>
              </w:rPr>
              <w:t>Primary anatomical plane</w:t>
            </w:r>
            <w:r w:rsidRPr="00D171EB">
              <w:rPr>
                <w:sz w:val="20"/>
                <w:szCs w:val="20"/>
              </w:rPr>
              <w:t> of the projection (coronal, sagittal, oblique).</w:t>
            </w:r>
          </w:p>
        </w:tc>
        <w:tc>
          <w:tcPr>
            <w:tcW w:w="1334" w:type="dxa"/>
            <w:tcBorders>
              <w:top w:val="nil"/>
              <w:left w:val="nil"/>
              <w:bottom w:val="single" w:sz="6" w:space="0" w:color="525252"/>
              <w:right w:val="nil"/>
            </w:tcBorders>
            <w:tcMar>
              <w:top w:w="150" w:type="dxa"/>
              <w:left w:w="150" w:type="dxa"/>
              <w:bottom w:w="150" w:type="dxa"/>
              <w:right w:w="150" w:type="dxa"/>
            </w:tcMar>
            <w:vAlign w:val="center"/>
            <w:hideMark/>
          </w:tcPr>
          <w:p w14:paraId="0D6DA469" w14:textId="77777777" w:rsidR="00D171EB" w:rsidRPr="00D171EB" w:rsidRDefault="00D171EB" w:rsidP="00D171EB">
            <w:pPr>
              <w:rPr>
                <w:sz w:val="20"/>
                <w:szCs w:val="20"/>
              </w:rPr>
            </w:pPr>
            <w:r w:rsidRPr="00D171EB">
              <w:rPr>
                <w:sz w:val="20"/>
                <w:szCs w:val="20"/>
              </w:rPr>
              <w:t>AP, PA, LATERAL, OBLIQUE.</w:t>
            </w:r>
          </w:p>
        </w:tc>
        <w:tc>
          <w:tcPr>
            <w:tcW w:w="1218" w:type="dxa"/>
            <w:tcBorders>
              <w:top w:val="nil"/>
              <w:left w:val="nil"/>
              <w:bottom w:val="single" w:sz="6" w:space="0" w:color="525252"/>
              <w:right w:val="nil"/>
            </w:tcBorders>
            <w:tcMar>
              <w:top w:w="150" w:type="dxa"/>
              <w:left w:w="150" w:type="dxa"/>
              <w:bottom w:w="150" w:type="dxa"/>
              <w:right w:w="150" w:type="dxa"/>
            </w:tcMar>
            <w:vAlign w:val="center"/>
            <w:hideMark/>
          </w:tcPr>
          <w:p w14:paraId="4249020C" w14:textId="77777777" w:rsidR="00D171EB" w:rsidRPr="00D171EB" w:rsidRDefault="00D171EB" w:rsidP="00D171EB">
            <w:pPr>
              <w:rPr>
                <w:sz w:val="20"/>
                <w:szCs w:val="20"/>
              </w:rPr>
            </w:pPr>
            <w:r w:rsidRPr="00D171EB">
              <w:rPr>
                <w:sz w:val="20"/>
                <w:szCs w:val="20"/>
              </w:rPr>
              <w:t>LATERAL (or OBLIQUE)</w:t>
            </w:r>
          </w:p>
        </w:tc>
        <w:tc>
          <w:tcPr>
            <w:tcW w:w="2176" w:type="dxa"/>
            <w:tcBorders>
              <w:top w:val="nil"/>
              <w:left w:val="nil"/>
              <w:bottom w:val="single" w:sz="6" w:space="0" w:color="525252"/>
              <w:right w:val="nil"/>
            </w:tcBorders>
            <w:tcMar>
              <w:top w:w="150" w:type="dxa"/>
              <w:left w:w="150" w:type="dxa"/>
              <w:bottom w:w="150" w:type="dxa"/>
              <w:right w:w="150" w:type="dxa"/>
            </w:tcMar>
            <w:vAlign w:val="center"/>
            <w:hideMark/>
          </w:tcPr>
          <w:p w14:paraId="05E05F27" w14:textId="77777777" w:rsidR="00D171EB" w:rsidRPr="00D171EB" w:rsidRDefault="00D171EB" w:rsidP="00D171EB">
            <w:pPr>
              <w:rPr>
                <w:sz w:val="20"/>
                <w:szCs w:val="20"/>
              </w:rPr>
            </w:pPr>
            <w:r w:rsidRPr="00D171EB">
              <w:rPr>
                <w:sz w:val="20"/>
                <w:szCs w:val="20"/>
              </w:rPr>
              <w:t>Often misused—should reflect anatomy, not beam.</w:t>
            </w:r>
          </w:p>
        </w:tc>
      </w:tr>
    </w:tbl>
    <w:p w14:paraId="73AD6EB2" w14:textId="77777777" w:rsidR="00D171EB" w:rsidRDefault="00D171EB" w:rsidP="00D171EB"/>
    <w:p w14:paraId="36B8208E" w14:textId="77777777" w:rsidR="00D171EB" w:rsidRDefault="00D171EB" w:rsidP="00D171EB"/>
    <w:p w14:paraId="35971FEF" w14:textId="77777777" w:rsidR="00D171EB" w:rsidRPr="00D171EB" w:rsidRDefault="00D171EB" w:rsidP="00D171EB">
      <w:r w:rsidRPr="00D171EB">
        <w:rPr>
          <w:b/>
          <w:bCs/>
        </w:rPr>
        <w:t>How to Use This Table</w:t>
      </w:r>
    </w:p>
    <w:p w14:paraId="01B0E56D" w14:textId="77777777" w:rsidR="00D171EB" w:rsidRPr="00D171EB" w:rsidRDefault="00D171EB" w:rsidP="00D171EB">
      <w:pPr>
        <w:numPr>
          <w:ilvl w:val="0"/>
          <w:numId w:val="10"/>
        </w:numPr>
      </w:pPr>
      <w:r w:rsidRPr="00D171EB">
        <w:rPr>
          <w:b/>
          <w:bCs/>
        </w:rPr>
        <w:t>For a Clavicle LAT RT</w:t>
      </w:r>
      <w:r w:rsidRPr="00D171EB">
        <w:t>:</w:t>
      </w:r>
    </w:p>
    <w:p w14:paraId="7A5E32A7" w14:textId="77777777" w:rsidR="00D171EB" w:rsidRPr="00D171EB" w:rsidRDefault="00D171EB" w:rsidP="00D171EB">
      <w:pPr>
        <w:numPr>
          <w:ilvl w:val="1"/>
          <w:numId w:val="10"/>
        </w:numPr>
      </w:pPr>
      <w:r w:rsidRPr="00D171EB">
        <w:t>ViewPosition = RL (beam left→right, right side on detector).</w:t>
      </w:r>
    </w:p>
    <w:p w14:paraId="0ACA2962" w14:textId="77777777" w:rsidR="00D171EB" w:rsidRPr="00D171EB" w:rsidRDefault="00D171EB" w:rsidP="00D171EB">
      <w:pPr>
        <w:numPr>
          <w:ilvl w:val="1"/>
          <w:numId w:val="10"/>
        </w:numPr>
      </w:pPr>
      <w:r w:rsidRPr="00D171EB">
        <w:t>Orientation = LATERAL (sagittal plane alignment).</w:t>
      </w:r>
    </w:p>
    <w:p w14:paraId="08A2509F" w14:textId="77777777" w:rsidR="00D171EB" w:rsidRPr="00D171EB" w:rsidRDefault="00D171EB" w:rsidP="00D171EB">
      <w:pPr>
        <w:numPr>
          <w:ilvl w:val="1"/>
          <w:numId w:val="10"/>
        </w:numPr>
      </w:pPr>
      <w:r w:rsidRPr="00D171EB">
        <w:t>ImageLaterality = R (right clavicle).</w:t>
      </w:r>
    </w:p>
    <w:p w14:paraId="55FBAA31" w14:textId="77777777" w:rsidR="00D171EB" w:rsidRPr="00D171EB" w:rsidRDefault="00D171EB" w:rsidP="00D171EB">
      <w:pPr>
        <w:numPr>
          <w:ilvl w:val="1"/>
          <w:numId w:val="10"/>
        </w:numPr>
      </w:pPr>
      <w:r w:rsidRPr="00D171EB">
        <w:t>Laterality = </w:t>
      </w:r>
      <w:r w:rsidRPr="00D171EB">
        <w:rPr>
          <w:i/>
          <w:iCs/>
        </w:rPr>
        <w:t>Omit</w:t>
      </w:r>
      <w:r w:rsidRPr="00D171EB">
        <w:t> (not a paired structure).</w:t>
      </w:r>
    </w:p>
    <w:p w14:paraId="32BD101D" w14:textId="77777777" w:rsidR="00D171EB" w:rsidRPr="00D171EB" w:rsidRDefault="00D171EB" w:rsidP="00D171EB">
      <w:pPr>
        <w:numPr>
          <w:ilvl w:val="0"/>
          <w:numId w:val="10"/>
        </w:numPr>
      </w:pPr>
      <w:r w:rsidRPr="00D171EB">
        <w:rPr>
          <w:b/>
          <w:bCs/>
        </w:rPr>
        <w:t>For a Chest PA</w:t>
      </w:r>
      <w:r w:rsidRPr="00D171EB">
        <w:t>:</w:t>
      </w:r>
    </w:p>
    <w:p w14:paraId="1A1FFB1C" w14:textId="77777777" w:rsidR="00D171EB" w:rsidRPr="00D171EB" w:rsidRDefault="00D171EB" w:rsidP="00D171EB">
      <w:pPr>
        <w:numPr>
          <w:ilvl w:val="1"/>
          <w:numId w:val="10"/>
        </w:numPr>
      </w:pPr>
      <w:r w:rsidRPr="00D171EB">
        <w:t>ViewPosition = PA (beam posterior→anterior).</w:t>
      </w:r>
    </w:p>
    <w:p w14:paraId="57F11B17" w14:textId="77777777" w:rsidR="00D171EB" w:rsidRPr="00D171EB" w:rsidRDefault="00D171EB" w:rsidP="00D171EB">
      <w:pPr>
        <w:numPr>
          <w:ilvl w:val="1"/>
          <w:numId w:val="10"/>
        </w:numPr>
      </w:pPr>
      <w:r w:rsidRPr="00D171EB">
        <w:t>Orientation = PA (coronal plane).</w:t>
      </w:r>
    </w:p>
    <w:p w14:paraId="57A92ADA" w14:textId="77777777" w:rsidR="00D171EB" w:rsidRPr="00D171EB" w:rsidRDefault="00D171EB" w:rsidP="00D171EB">
      <w:pPr>
        <w:numPr>
          <w:ilvl w:val="1"/>
          <w:numId w:val="10"/>
        </w:numPr>
      </w:pPr>
      <w:r w:rsidRPr="00D171EB">
        <w:t>Laterality = </w:t>
      </w:r>
      <w:r w:rsidRPr="00D171EB">
        <w:rPr>
          <w:i/>
          <w:iCs/>
        </w:rPr>
        <w:t>Omit</w:t>
      </w:r>
      <w:r w:rsidRPr="00D171EB">
        <w:t> (unless lung-specific).</w:t>
      </w:r>
    </w:p>
    <w:p w14:paraId="0FDDE3CF" w14:textId="77777777" w:rsidR="00D171EB" w:rsidRPr="00D171EB" w:rsidRDefault="00D171EB" w:rsidP="00D171EB">
      <w:pPr>
        <w:numPr>
          <w:ilvl w:val="0"/>
          <w:numId w:val="10"/>
        </w:numPr>
      </w:pPr>
      <w:r w:rsidRPr="00D171EB">
        <w:rPr>
          <w:b/>
          <w:bCs/>
        </w:rPr>
        <w:t>For a Knee AP Left</w:t>
      </w:r>
      <w:r w:rsidRPr="00D171EB">
        <w:t>:</w:t>
      </w:r>
    </w:p>
    <w:p w14:paraId="4E794448" w14:textId="77777777" w:rsidR="00D171EB" w:rsidRPr="00D171EB" w:rsidRDefault="00D171EB" w:rsidP="00D171EB">
      <w:pPr>
        <w:numPr>
          <w:ilvl w:val="1"/>
          <w:numId w:val="10"/>
        </w:numPr>
      </w:pPr>
      <w:r w:rsidRPr="00D171EB">
        <w:t>ViewPosition = AP (beam anterior→posterior).</w:t>
      </w:r>
    </w:p>
    <w:p w14:paraId="1D3D4DF5" w14:textId="77777777" w:rsidR="00D171EB" w:rsidRPr="00D171EB" w:rsidRDefault="00D171EB" w:rsidP="00D171EB">
      <w:pPr>
        <w:numPr>
          <w:ilvl w:val="1"/>
          <w:numId w:val="10"/>
        </w:numPr>
      </w:pPr>
      <w:r w:rsidRPr="00D171EB">
        <w:lastRenderedPageBreak/>
        <w:t>Orientation = AP (coronal plane).</w:t>
      </w:r>
    </w:p>
    <w:p w14:paraId="53E474A3" w14:textId="77777777" w:rsidR="00D171EB" w:rsidRPr="00D171EB" w:rsidRDefault="00D171EB" w:rsidP="00D171EB">
      <w:pPr>
        <w:numPr>
          <w:ilvl w:val="1"/>
          <w:numId w:val="10"/>
        </w:numPr>
      </w:pPr>
      <w:r w:rsidRPr="00D171EB">
        <w:t>ImageLaterality = L.</w:t>
      </w:r>
    </w:p>
    <w:p w14:paraId="4A614963" w14:textId="77777777" w:rsidR="00D171EB" w:rsidRDefault="00D171EB" w:rsidP="00D171EB"/>
    <w:p w14:paraId="758EB3B5" w14:textId="77777777" w:rsidR="00D171EB" w:rsidRDefault="00D171EB" w:rsidP="00D171EB"/>
    <w:p w14:paraId="37728D93" w14:textId="77777777" w:rsidR="00D171EB" w:rsidRPr="00D171EB" w:rsidRDefault="00D171EB" w:rsidP="00D171EB">
      <w:r w:rsidRPr="00D171EB">
        <w:rPr>
          <w:b/>
          <w:bCs/>
        </w:rPr>
        <w:t>Standards Reference</w:t>
      </w:r>
    </w:p>
    <w:p w14:paraId="40AE1EF6" w14:textId="77777777" w:rsidR="00D171EB" w:rsidRPr="00D171EB" w:rsidRDefault="00D171EB" w:rsidP="00D171EB">
      <w:pPr>
        <w:numPr>
          <w:ilvl w:val="0"/>
          <w:numId w:val="11"/>
        </w:numPr>
      </w:pPr>
      <w:r w:rsidRPr="00D171EB">
        <w:rPr>
          <w:b/>
          <w:bCs/>
        </w:rPr>
        <w:t>DICOM PS3.3</w:t>
      </w:r>
      <w:r w:rsidRPr="00D171EB">
        <w:t>: Defines these tags in the "DX Positioning" module (e.g., DX Anatomy Imaged, DX View Position).</w:t>
      </w:r>
    </w:p>
    <w:p w14:paraId="72E6A60C" w14:textId="77777777" w:rsidR="00D171EB" w:rsidRPr="00D171EB" w:rsidRDefault="00D171EB" w:rsidP="00D171EB">
      <w:pPr>
        <w:numPr>
          <w:ilvl w:val="0"/>
          <w:numId w:val="11"/>
        </w:numPr>
      </w:pPr>
      <w:r w:rsidRPr="00D171EB">
        <w:rPr>
          <w:b/>
          <w:bCs/>
        </w:rPr>
        <w:t>IHE RAD-TF</w:t>
      </w:r>
      <w:r w:rsidRPr="00D171EB">
        <w:t>: Recommends consistent use of ViewCodeSequence for interoperability.</w:t>
      </w:r>
    </w:p>
    <w:p w14:paraId="157CFCAB" w14:textId="77777777" w:rsidR="00D171EB" w:rsidRPr="00D171EB" w:rsidRDefault="00D171EB" w:rsidP="00D171EB">
      <w:pPr>
        <w:numPr>
          <w:ilvl w:val="0"/>
          <w:numId w:val="11"/>
        </w:numPr>
      </w:pPr>
      <w:r w:rsidRPr="00D171EB">
        <w:rPr>
          <w:b/>
          <w:bCs/>
        </w:rPr>
        <w:t>SNOMED CT</w:t>
      </w:r>
      <w:r w:rsidRPr="00D171EB">
        <w:t>: Provides standard codes for AnatomicRegionSequence and ViewCodeSequence.</w:t>
      </w:r>
    </w:p>
    <w:p w14:paraId="76F5EB95" w14:textId="77777777" w:rsidR="00D171EB" w:rsidRPr="00D171EB" w:rsidRDefault="00D171EB" w:rsidP="00D171EB">
      <w:r w:rsidRPr="00D171EB">
        <w:pict w14:anchorId="05E82F7D">
          <v:rect id="_x0000_i1025" style="width:0;height:.75pt" o:hralign="center" o:hrstd="t" o:hrnoshade="t" o:hr="t" fillcolor="#f8faff" stroked="f"/>
        </w:pict>
      </w:r>
    </w:p>
    <w:p w14:paraId="535BAD90" w14:textId="77777777" w:rsidR="00D171EB" w:rsidRPr="00D171EB" w:rsidRDefault="00D171EB" w:rsidP="00D171EB">
      <w:r w:rsidRPr="00D171EB">
        <w:rPr>
          <w:b/>
          <w:bCs/>
        </w:rPr>
        <w:t>Common Pitfalls</w:t>
      </w:r>
    </w:p>
    <w:p w14:paraId="7F1E3FA8" w14:textId="77777777" w:rsidR="00D171EB" w:rsidRPr="00D171EB" w:rsidRDefault="00D171EB" w:rsidP="00D171EB">
      <w:pPr>
        <w:numPr>
          <w:ilvl w:val="0"/>
          <w:numId w:val="12"/>
        </w:numPr>
      </w:pPr>
      <w:r w:rsidRPr="00D171EB">
        <w:rPr>
          <w:b/>
          <w:bCs/>
        </w:rPr>
        <w:t>Mixing </w:t>
      </w:r>
      <w:r w:rsidRPr="00D171EB">
        <w:t>ViewPosition</w:t>
      </w:r>
      <w:r w:rsidRPr="00D171EB">
        <w:rPr>
          <w:b/>
          <w:bCs/>
        </w:rPr>
        <w:t> and </w:t>
      </w:r>
      <w:r w:rsidRPr="00D171EB">
        <w:t>Orientation:</w:t>
      </w:r>
    </w:p>
    <w:p w14:paraId="467D01C6" w14:textId="77777777" w:rsidR="00D171EB" w:rsidRPr="00D171EB" w:rsidRDefault="00D171EB" w:rsidP="00D171EB">
      <w:pPr>
        <w:numPr>
          <w:ilvl w:val="1"/>
          <w:numId w:val="12"/>
        </w:numPr>
      </w:pPr>
      <w:r w:rsidRPr="00D171EB">
        <w:t>AP/PA in Orientation = coronal plane.</w:t>
      </w:r>
    </w:p>
    <w:p w14:paraId="44B9D894" w14:textId="77777777" w:rsidR="00D171EB" w:rsidRPr="00D171EB" w:rsidRDefault="00D171EB" w:rsidP="00D171EB">
      <w:pPr>
        <w:numPr>
          <w:ilvl w:val="1"/>
          <w:numId w:val="12"/>
        </w:numPr>
      </w:pPr>
      <w:r w:rsidRPr="00D171EB">
        <w:t>AP/PA in ViewPosition = beam direction.</w:t>
      </w:r>
    </w:p>
    <w:p w14:paraId="28B682D4" w14:textId="77777777" w:rsidR="00D171EB" w:rsidRPr="00D171EB" w:rsidRDefault="00D171EB" w:rsidP="00D171EB">
      <w:pPr>
        <w:numPr>
          <w:ilvl w:val="0"/>
          <w:numId w:val="12"/>
        </w:numPr>
      </w:pPr>
      <w:r w:rsidRPr="00D171EB">
        <w:rPr>
          <w:b/>
          <w:bCs/>
        </w:rPr>
        <w:t>Overusing </w:t>
      </w:r>
      <w:r w:rsidRPr="00D171EB">
        <w:t>Laterality: Only for truly paired structures (e.g., not spine or skull).</w:t>
      </w:r>
    </w:p>
    <w:p w14:paraId="7CC5C96B" w14:textId="77777777" w:rsidR="00D171EB" w:rsidRPr="00D171EB" w:rsidRDefault="00D171EB" w:rsidP="00D171EB">
      <w:r w:rsidRPr="00D171EB">
        <w:t>Would you like a mapping for a specific exam type (e.g., scoliosis series, portable chest)?</w:t>
      </w:r>
    </w:p>
    <w:p w14:paraId="1D772608" w14:textId="77777777" w:rsidR="00D171EB" w:rsidRDefault="00D171EB" w:rsidP="00D171EB"/>
    <w:p w14:paraId="2102DED1" w14:textId="4015DF8B" w:rsidR="00D0245B" w:rsidRDefault="00D0245B" w:rsidP="00D171EB">
      <w:r>
        <w:rPr>
          <w:noProof/>
        </w:rPr>
        <w:lastRenderedPageBreak/>
        <w:drawing>
          <wp:inline distT="0" distB="0" distL="0" distR="0" wp14:anchorId="4E682FB0" wp14:editId="0DD50462">
            <wp:extent cx="4105275" cy="6905625"/>
            <wp:effectExtent l="0" t="0" r="9525" b="9525"/>
            <wp:docPr id="1254184945" name="Picture 1" descr="This may contain: the diagram shows different types of mitts and their functions in each region of the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is may contain: the diagram shows different types of mitts and their functions in each region of the bo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6905625"/>
                    </a:xfrm>
                    <a:prstGeom prst="rect">
                      <a:avLst/>
                    </a:prstGeom>
                    <a:noFill/>
                    <a:ln>
                      <a:noFill/>
                    </a:ln>
                  </pic:spPr>
                </pic:pic>
              </a:graphicData>
            </a:graphic>
          </wp:inline>
        </w:drawing>
      </w:r>
    </w:p>
    <w:p w14:paraId="1E8CE2D1" w14:textId="4C8C658D" w:rsidR="0037141D" w:rsidRPr="00D171EB" w:rsidRDefault="0037141D" w:rsidP="0037141D">
      <w:r w:rsidRPr="0037141D">
        <w:t>Radiographic views. The term radiographic “projection” references the path of the central ray as it exits the x-ray tube and passes through the patient’s body. For example, </w:t>
      </w:r>
      <w:r w:rsidRPr="0037141D">
        <w:rPr>
          <w:b/>
          <w:bCs/>
        </w:rPr>
        <w:t>A</w:t>
      </w:r>
      <w:r w:rsidRPr="0037141D">
        <w:t> denotes an anteroposterior (AP) projection and </w:t>
      </w:r>
      <w:r w:rsidRPr="0037141D">
        <w:rPr>
          <w:b/>
          <w:bCs/>
        </w:rPr>
        <w:t>B</w:t>
      </w:r>
      <w:r w:rsidRPr="0037141D">
        <w:t xml:space="preserve"> a posteroanterior (PA) projection. In the extremities, lateral projections are similarly described by the direction of the central ray; hence, mediolateral and lateromedial projections are possible. However, when one deals </w:t>
      </w:r>
      <w:r w:rsidRPr="0037141D">
        <w:lastRenderedPageBreak/>
        <w:t>with the head, neck, or body tunk, the lateral and oblique projections are further clarified by the specific “position” of the patient. Position denotes the placement of the patient’s body, specifically the portion of the patient’s anatomy that is in contact with the Bucky. For example, </w:t>
      </w:r>
      <w:r w:rsidRPr="0037141D">
        <w:rPr>
          <w:b/>
          <w:bCs/>
        </w:rPr>
        <w:t>C</w:t>
      </w:r>
      <w:r w:rsidRPr="0037141D">
        <w:t> indicates a lateral projection in a right lateral position and </w:t>
      </w:r>
      <w:r w:rsidRPr="0037141D">
        <w:rPr>
          <w:b/>
          <w:bCs/>
        </w:rPr>
        <w:t>D</w:t>
      </w:r>
      <w:r w:rsidRPr="0037141D">
        <w:t> indicates a lateral projection in a left lateral position. In </w:t>
      </w:r>
      <w:r w:rsidRPr="0037141D">
        <w:rPr>
          <w:b/>
          <w:bCs/>
        </w:rPr>
        <w:t>E,</w:t>
      </w:r>
      <w:r w:rsidRPr="0037141D">
        <w:t> the patient is in a left anterior oblique (LAO) position, and in </w:t>
      </w:r>
      <w:r w:rsidRPr="0037141D">
        <w:rPr>
          <w:b/>
          <w:bCs/>
        </w:rPr>
        <w:t>F</w:t>
      </w:r>
      <w:r w:rsidRPr="0037141D">
        <w:t> the patients is in a right anterior oblique (RAO) position, both corresponding to posteroanterior oblique projections.</w:t>
      </w:r>
    </w:p>
    <w:sectPr w:rsidR="0037141D" w:rsidRPr="00D171E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906"/>
    <w:multiLevelType w:val="multilevel"/>
    <w:tmpl w:val="38C4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14C7"/>
    <w:multiLevelType w:val="multilevel"/>
    <w:tmpl w:val="AE70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C13E3"/>
    <w:multiLevelType w:val="multilevel"/>
    <w:tmpl w:val="41CC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49D2"/>
    <w:multiLevelType w:val="multilevel"/>
    <w:tmpl w:val="83E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7241A"/>
    <w:multiLevelType w:val="multilevel"/>
    <w:tmpl w:val="642A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C2F28"/>
    <w:multiLevelType w:val="multilevel"/>
    <w:tmpl w:val="9C2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904B9"/>
    <w:multiLevelType w:val="multilevel"/>
    <w:tmpl w:val="AB8E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55B50"/>
    <w:multiLevelType w:val="multilevel"/>
    <w:tmpl w:val="9F24C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E7E37"/>
    <w:multiLevelType w:val="multilevel"/>
    <w:tmpl w:val="BB66B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70400"/>
    <w:multiLevelType w:val="multilevel"/>
    <w:tmpl w:val="2CB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F0B27"/>
    <w:multiLevelType w:val="multilevel"/>
    <w:tmpl w:val="2C20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D1B12"/>
    <w:multiLevelType w:val="multilevel"/>
    <w:tmpl w:val="876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20797">
    <w:abstractNumId w:val="11"/>
  </w:num>
  <w:num w:numId="2" w16cid:durableId="1855848592">
    <w:abstractNumId w:val="0"/>
  </w:num>
  <w:num w:numId="3" w16cid:durableId="559705949">
    <w:abstractNumId w:val="5"/>
  </w:num>
  <w:num w:numId="4" w16cid:durableId="1463226741">
    <w:abstractNumId w:val="1"/>
  </w:num>
  <w:num w:numId="5" w16cid:durableId="743649230">
    <w:abstractNumId w:val="9"/>
  </w:num>
  <w:num w:numId="6" w16cid:durableId="587882083">
    <w:abstractNumId w:val="4"/>
  </w:num>
  <w:num w:numId="7" w16cid:durableId="659578594">
    <w:abstractNumId w:val="8"/>
  </w:num>
  <w:num w:numId="8" w16cid:durableId="1239250955">
    <w:abstractNumId w:val="6"/>
  </w:num>
  <w:num w:numId="9" w16cid:durableId="847789418">
    <w:abstractNumId w:val="10"/>
  </w:num>
  <w:num w:numId="10" w16cid:durableId="1491289082">
    <w:abstractNumId w:val="7"/>
  </w:num>
  <w:num w:numId="11" w16cid:durableId="1059328398">
    <w:abstractNumId w:val="3"/>
  </w:num>
  <w:num w:numId="12" w16cid:durableId="42141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EB"/>
    <w:rsid w:val="0020375D"/>
    <w:rsid w:val="0037141D"/>
    <w:rsid w:val="005F2F06"/>
    <w:rsid w:val="00952004"/>
    <w:rsid w:val="0097035B"/>
    <w:rsid w:val="00D0245B"/>
    <w:rsid w:val="00D171EB"/>
    <w:rsid w:val="00E70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A685"/>
  <w15:chartTrackingRefBased/>
  <w15:docId w15:val="{2C1FEC31-0F26-4F0C-8759-D735179F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1EB"/>
    <w:rPr>
      <w:rFonts w:eastAsiaTheme="majorEastAsia" w:cstheme="majorBidi"/>
      <w:color w:val="272727" w:themeColor="text1" w:themeTint="D8"/>
    </w:rPr>
  </w:style>
  <w:style w:type="paragraph" w:styleId="Title">
    <w:name w:val="Title"/>
    <w:basedOn w:val="Normal"/>
    <w:next w:val="Normal"/>
    <w:link w:val="TitleChar"/>
    <w:uiPriority w:val="10"/>
    <w:qFormat/>
    <w:rsid w:val="00D17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1EB"/>
    <w:pPr>
      <w:spacing w:before="160"/>
      <w:jc w:val="center"/>
    </w:pPr>
    <w:rPr>
      <w:i/>
      <w:iCs/>
      <w:color w:val="404040" w:themeColor="text1" w:themeTint="BF"/>
    </w:rPr>
  </w:style>
  <w:style w:type="character" w:customStyle="1" w:styleId="QuoteChar">
    <w:name w:val="Quote Char"/>
    <w:basedOn w:val="DefaultParagraphFont"/>
    <w:link w:val="Quote"/>
    <w:uiPriority w:val="29"/>
    <w:rsid w:val="00D171EB"/>
    <w:rPr>
      <w:i/>
      <w:iCs/>
      <w:color w:val="404040" w:themeColor="text1" w:themeTint="BF"/>
    </w:rPr>
  </w:style>
  <w:style w:type="paragraph" w:styleId="ListParagraph">
    <w:name w:val="List Paragraph"/>
    <w:basedOn w:val="Normal"/>
    <w:uiPriority w:val="34"/>
    <w:qFormat/>
    <w:rsid w:val="00D171EB"/>
    <w:pPr>
      <w:ind w:left="720"/>
      <w:contextualSpacing/>
    </w:pPr>
  </w:style>
  <w:style w:type="character" w:styleId="IntenseEmphasis">
    <w:name w:val="Intense Emphasis"/>
    <w:basedOn w:val="DefaultParagraphFont"/>
    <w:uiPriority w:val="21"/>
    <w:qFormat/>
    <w:rsid w:val="00D171EB"/>
    <w:rPr>
      <w:i/>
      <w:iCs/>
      <w:color w:val="0F4761" w:themeColor="accent1" w:themeShade="BF"/>
    </w:rPr>
  </w:style>
  <w:style w:type="paragraph" w:styleId="IntenseQuote">
    <w:name w:val="Intense Quote"/>
    <w:basedOn w:val="Normal"/>
    <w:next w:val="Normal"/>
    <w:link w:val="IntenseQuoteChar"/>
    <w:uiPriority w:val="30"/>
    <w:qFormat/>
    <w:rsid w:val="00D17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1EB"/>
    <w:rPr>
      <w:i/>
      <w:iCs/>
      <w:color w:val="0F4761" w:themeColor="accent1" w:themeShade="BF"/>
    </w:rPr>
  </w:style>
  <w:style w:type="character" w:styleId="IntenseReference">
    <w:name w:val="Intense Reference"/>
    <w:basedOn w:val="DefaultParagraphFont"/>
    <w:uiPriority w:val="32"/>
    <w:qFormat/>
    <w:rsid w:val="00D17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9864">
      <w:bodyDiv w:val="1"/>
      <w:marLeft w:val="0"/>
      <w:marRight w:val="0"/>
      <w:marTop w:val="0"/>
      <w:marBottom w:val="0"/>
      <w:divBdr>
        <w:top w:val="none" w:sz="0" w:space="0" w:color="auto"/>
        <w:left w:val="none" w:sz="0" w:space="0" w:color="auto"/>
        <w:bottom w:val="none" w:sz="0" w:space="0" w:color="auto"/>
        <w:right w:val="none" w:sz="0" w:space="0" w:color="auto"/>
      </w:divBdr>
    </w:div>
    <w:div w:id="502864067">
      <w:bodyDiv w:val="1"/>
      <w:marLeft w:val="0"/>
      <w:marRight w:val="0"/>
      <w:marTop w:val="0"/>
      <w:marBottom w:val="0"/>
      <w:divBdr>
        <w:top w:val="none" w:sz="0" w:space="0" w:color="auto"/>
        <w:left w:val="none" w:sz="0" w:space="0" w:color="auto"/>
        <w:bottom w:val="none" w:sz="0" w:space="0" w:color="auto"/>
        <w:right w:val="none" w:sz="0" w:space="0" w:color="auto"/>
      </w:divBdr>
    </w:div>
    <w:div w:id="8948973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783">
          <w:marLeft w:val="0"/>
          <w:marRight w:val="0"/>
          <w:marTop w:val="0"/>
          <w:marBottom w:val="0"/>
          <w:divBdr>
            <w:top w:val="none" w:sz="0" w:space="0" w:color="auto"/>
            <w:left w:val="none" w:sz="0" w:space="0" w:color="auto"/>
            <w:bottom w:val="none" w:sz="0" w:space="0" w:color="auto"/>
            <w:right w:val="none" w:sz="0" w:space="0" w:color="auto"/>
          </w:divBdr>
        </w:div>
      </w:divsChild>
    </w:div>
    <w:div w:id="1194734061">
      <w:bodyDiv w:val="1"/>
      <w:marLeft w:val="0"/>
      <w:marRight w:val="0"/>
      <w:marTop w:val="0"/>
      <w:marBottom w:val="0"/>
      <w:divBdr>
        <w:top w:val="none" w:sz="0" w:space="0" w:color="auto"/>
        <w:left w:val="none" w:sz="0" w:space="0" w:color="auto"/>
        <w:bottom w:val="none" w:sz="0" w:space="0" w:color="auto"/>
        <w:right w:val="none" w:sz="0" w:space="0" w:color="auto"/>
      </w:divBdr>
      <w:divsChild>
        <w:div w:id="1127238547">
          <w:marLeft w:val="0"/>
          <w:marRight w:val="0"/>
          <w:marTop w:val="100"/>
          <w:marBottom w:val="100"/>
          <w:divBdr>
            <w:top w:val="none" w:sz="0" w:space="0" w:color="auto"/>
            <w:left w:val="none" w:sz="0" w:space="0" w:color="auto"/>
            <w:bottom w:val="none" w:sz="0" w:space="0" w:color="auto"/>
            <w:right w:val="none" w:sz="0" w:space="0" w:color="auto"/>
          </w:divBdr>
          <w:divsChild>
            <w:div w:id="451873781">
              <w:marLeft w:val="0"/>
              <w:marRight w:val="0"/>
              <w:marTop w:val="0"/>
              <w:marBottom w:val="0"/>
              <w:divBdr>
                <w:top w:val="none" w:sz="0" w:space="0" w:color="auto"/>
                <w:left w:val="none" w:sz="0" w:space="0" w:color="auto"/>
                <w:bottom w:val="none" w:sz="0" w:space="0" w:color="auto"/>
                <w:right w:val="none" w:sz="0" w:space="0" w:color="auto"/>
              </w:divBdr>
              <w:divsChild>
                <w:div w:id="1489907059">
                  <w:marLeft w:val="0"/>
                  <w:marRight w:val="0"/>
                  <w:marTop w:val="0"/>
                  <w:marBottom w:val="0"/>
                  <w:divBdr>
                    <w:top w:val="none" w:sz="0" w:space="0" w:color="auto"/>
                    <w:left w:val="none" w:sz="0" w:space="0" w:color="auto"/>
                    <w:bottom w:val="none" w:sz="0" w:space="0" w:color="auto"/>
                    <w:right w:val="none" w:sz="0" w:space="0" w:color="auto"/>
                  </w:divBdr>
                  <w:divsChild>
                    <w:div w:id="329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934">
              <w:marLeft w:val="0"/>
              <w:marRight w:val="0"/>
              <w:marTop w:val="0"/>
              <w:marBottom w:val="240"/>
              <w:divBdr>
                <w:top w:val="none" w:sz="0" w:space="0" w:color="auto"/>
                <w:left w:val="none" w:sz="0" w:space="0" w:color="auto"/>
                <w:bottom w:val="none" w:sz="0" w:space="0" w:color="auto"/>
                <w:right w:val="none" w:sz="0" w:space="0" w:color="auto"/>
              </w:divBdr>
              <w:divsChild>
                <w:div w:id="1077436670">
                  <w:marLeft w:val="0"/>
                  <w:marRight w:val="0"/>
                  <w:marTop w:val="0"/>
                  <w:marBottom w:val="0"/>
                  <w:divBdr>
                    <w:top w:val="none" w:sz="0" w:space="0" w:color="auto"/>
                    <w:left w:val="none" w:sz="0" w:space="0" w:color="auto"/>
                    <w:bottom w:val="none" w:sz="0" w:space="0" w:color="auto"/>
                    <w:right w:val="none" w:sz="0" w:space="0" w:color="auto"/>
                  </w:divBdr>
                </w:div>
              </w:divsChild>
            </w:div>
            <w:div w:id="895165597">
              <w:marLeft w:val="0"/>
              <w:marRight w:val="0"/>
              <w:marTop w:val="0"/>
              <w:marBottom w:val="180"/>
              <w:divBdr>
                <w:top w:val="none" w:sz="0" w:space="0" w:color="auto"/>
                <w:left w:val="none" w:sz="0" w:space="0" w:color="auto"/>
                <w:bottom w:val="none" w:sz="0" w:space="0" w:color="auto"/>
                <w:right w:val="none" w:sz="0" w:space="0" w:color="auto"/>
              </w:divBdr>
              <w:divsChild>
                <w:div w:id="862014928">
                  <w:marLeft w:val="0"/>
                  <w:marRight w:val="0"/>
                  <w:marTop w:val="0"/>
                  <w:marBottom w:val="0"/>
                  <w:divBdr>
                    <w:top w:val="none" w:sz="0" w:space="0" w:color="auto"/>
                    <w:left w:val="none" w:sz="0" w:space="0" w:color="auto"/>
                    <w:bottom w:val="none" w:sz="0" w:space="0" w:color="auto"/>
                    <w:right w:val="none" w:sz="0" w:space="0" w:color="auto"/>
                  </w:divBdr>
                  <w:divsChild>
                    <w:div w:id="9734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917">
      <w:bodyDiv w:val="1"/>
      <w:marLeft w:val="0"/>
      <w:marRight w:val="0"/>
      <w:marTop w:val="0"/>
      <w:marBottom w:val="0"/>
      <w:divBdr>
        <w:top w:val="none" w:sz="0" w:space="0" w:color="auto"/>
        <w:left w:val="none" w:sz="0" w:space="0" w:color="auto"/>
        <w:bottom w:val="none" w:sz="0" w:space="0" w:color="auto"/>
        <w:right w:val="none" w:sz="0" w:space="0" w:color="auto"/>
      </w:divBdr>
      <w:divsChild>
        <w:div w:id="1971548044">
          <w:marLeft w:val="0"/>
          <w:marRight w:val="0"/>
          <w:marTop w:val="0"/>
          <w:marBottom w:val="0"/>
          <w:divBdr>
            <w:top w:val="none" w:sz="0" w:space="0" w:color="auto"/>
            <w:left w:val="none" w:sz="0" w:space="0" w:color="auto"/>
            <w:bottom w:val="none" w:sz="0" w:space="0" w:color="auto"/>
            <w:right w:val="none" w:sz="0" w:space="0" w:color="auto"/>
          </w:divBdr>
        </w:div>
      </w:divsChild>
    </w:div>
    <w:div w:id="1963029425">
      <w:bodyDiv w:val="1"/>
      <w:marLeft w:val="0"/>
      <w:marRight w:val="0"/>
      <w:marTop w:val="0"/>
      <w:marBottom w:val="0"/>
      <w:divBdr>
        <w:top w:val="none" w:sz="0" w:space="0" w:color="auto"/>
        <w:left w:val="none" w:sz="0" w:space="0" w:color="auto"/>
        <w:bottom w:val="none" w:sz="0" w:space="0" w:color="auto"/>
        <w:right w:val="none" w:sz="0" w:space="0" w:color="auto"/>
      </w:divBdr>
      <w:divsChild>
        <w:div w:id="1829325761">
          <w:marLeft w:val="0"/>
          <w:marRight w:val="0"/>
          <w:marTop w:val="100"/>
          <w:marBottom w:val="100"/>
          <w:divBdr>
            <w:top w:val="none" w:sz="0" w:space="0" w:color="auto"/>
            <w:left w:val="none" w:sz="0" w:space="0" w:color="auto"/>
            <w:bottom w:val="none" w:sz="0" w:space="0" w:color="auto"/>
            <w:right w:val="none" w:sz="0" w:space="0" w:color="auto"/>
          </w:divBdr>
          <w:divsChild>
            <w:div w:id="112359442">
              <w:marLeft w:val="0"/>
              <w:marRight w:val="0"/>
              <w:marTop w:val="0"/>
              <w:marBottom w:val="0"/>
              <w:divBdr>
                <w:top w:val="none" w:sz="0" w:space="0" w:color="auto"/>
                <w:left w:val="none" w:sz="0" w:space="0" w:color="auto"/>
                <w:bottom w:val="none" w:sz="0" w:space="0" w:color="auto"/>
                <w:right w:val="none" w:sz="0" w:space="0" w:color="auto"/>
              </w:divBdr>
              <w:divsChild>
                <w:div w:id="358241186">
                  <w:marLeft w:val="0"/>
                  <w:marRight w:val="0"/>
                  <w:marTop w:val="0"/>
                  <w:marBottom w:val="0"/>
                  <w:divBdr>
                    <w:top w:val="none" w:sz="0" w:space="0" w:color="auto"/>
                    <w:left w:val="none" w:sz="0" w:space="0" w:color="auto"/>
                    <w:bottom w:val="none" w:sz="0" w:space="0" w:color="auto"/>
                    <w:right w:val="none" w:sz="0" w:space="0" w:color="auto"/>
                  </w:divBdr>
                  <w:divsChild>
                    <w:div w:id="8472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055">
              <w:marLeft w:val="0"/>
              <w:marRight w:val="0"/>
              <w:marTop w:val="0"/>
              <w:marBottom w:val="240"/>
              <w:divBdr>
                <w:top w:val="none" w:sz="0" w:space="0" w:color="auto"/>
                <w:left w:val="none" w:sz="0" w:space="0" w:color="auto"/>
                <w:bottom w:val="none" w:sz="0" w:space="0" w:color="auto"/>
                <w:right w:val="none" w:sz="0" w:space="0" w:color="auto"/>
              </w:divBdr>
              <w:divsChild>
                <w:div w:id="520513297">
                  <w:marLeft w:val="0"/>
                  <w:marRight w:val="0"/>
                  <w:marTop w:val="0"/>
                  <w:marBottom w:val="0"/>
                  <w:divBdr>
                    <w:top w:val="none" w:sz="0" w:space="0" w:color="auto"/>
                    <w:left w:val="none" w:sz="0" w:space="0" w:color="auto"/>
                    <w:bottom w:val="none" w:sz="0" w:space="0" w:color="auto"/>
                    <w:right w:val="none" w:sz="0" w:space="0" w:color="auto"/>
                  </w:divBdr>
                </w:div>
              </w:divsChild>
            </w:div>
            <w:div w:id="568806606">
              <w:marLeft w:val="0"/>
              <w:marRight w:val="0"/>
              <w:marTop w:val="0"/>
              <w:marBottom w:val="180"/>
              <w:divBdr>
                <w:top w:val="none" w:sz="0" w:space="0" w:color="auto"/>
                <w:left w:val="none" w:sz="0" w:space="0" w:color="auto"/>
                <w:bottom w:val="none" w:sz="0" w:space="0" w:color="auto"/>
                <w:right w:val="none" w:sz="0" w:space="0" w:color="auto"/>
              </w:divBdr>
              <w:divsChild>
                <w:div w:id="1999530246">
                  <w:marLeft w:val="0"/>
                  <w:marRight w:val="0"/>
                  <w:marTop w:val="0"/>
                  <w:marBottom w:val="0"/>
                  <w:divBdr>
                    <w:top w:val="none" w:sz="0" w:space="0" w:color="auto"/>
                    <w:left w:val="none" w:sz="0" w:space="0" w:color="auto"/>
                    <w:bottom w:val="none" w:sz="0" w:space="0" w:color="auto"/>
                    <w:right w:val="none" w:sz="0" w:space="0" w:color="auto"/>
                  </w:divBdr>
                  <w:divsChild>
                    <w:div w:id="10508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7822">
      <w:bodyDiv w:val="1"/>
      <w:marLeft w:val="0"/>
      <w:marRight w:val="0"/>
      <w:marTop w:val="0"/>
      <w:marBottom w:val="0"/>
      <w:divBdr>
        <w:top w:val="none" w:sz="0" w:space="0" w:color="auto"/>
        <w:left w:val="none" w:sz="0" w:space="0" w:color="auto"/>
        <w:bottom w:val="none" w:sz="0" w:space="0" w:color="auto"/>
        <w:right w:val="none" w:sz="0" w:space="0" w:color="auto"/>
      </w:divBdr>
    </w:div>
    <w:div w:id="213818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 Brusan</dc:creator>
  <cp:keywords/>
  <dc:description/>
  <cp:lastModifiedBy>Altay Brusan</cp:lastModifiedBy>
  <cp:revision>2</cp:revision>
  <dcterms:created xsi:type="dcterms:W3CDTF">2025-06-14T10:08:00Z</dcterms:created>
  <dcterms:modified xsi:type="dcterms:W3CDTF">2025-06-17T06:06:00Z</dcterms:modified>
</cp:coreProperties>
</file>