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3ACE5" w14:textId="77777777" w:rsidR="00C9066D" w:rsidRDefault="00000000">
      <w:pPr>
        <w:spacing w:after="40"/>
        <w:jc w:val="center"/>
      </w:pPr>
      <w:r>
        <w:rPr>
          <w:noProof/>
        </w:rPr>
        <w:drawing>
          <wp:inline distT="0" distB="0" distL="0" distR="0" wp14:anchorId="5A9AA6E3" wp14:editId="2BE294C9">
            <wp:extent cx="2080260" cy="2080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_logo_from_template.jpeg"/>
                    <pic:cNvPicPr/>
                  </pic:nvPicPr>
                  <pic:blipFill>
                    <a:blip r:embed="rId8"/>
                    <a:stretch>
                      <a:fillRect/>
                    </a:stretch>
                  </pic:blipFill>
                  <pic:spPr>
                    <a:xfrm>
                      <a:off x="0" y="0"/>
                      <a:ext cx="2080260" cy="2080260"/>
                    </a:xfrm>
                    <a:prstGeom prst="rect">
                      <a:avLst/>
                    </a:prstGeom>
                  </pic:spPr>
                </pic:pic>
              </a:graphicData>
            </a:graphic>
          </wp:inline>
        </w:drawing>
      </w:r>
    </w:p>
    <w:p w14:paraId="345CA216" w14:textId="77777777" w:rsidR="00C9066D" w:rsidRDefault="00C9066D">
      <w:pPr>
        <w:pBdr>
          <w:bottom w:val="single" w:sz="14" w:space="1" w:color="000000"/>
        </w:pBdr>
        <w:spacing w:after="0"/>
      </w:pPr>
    </w:p>
    <w:p w14:paraId="60C2F81D" w14:textId="77777777" w:rsidR="00C9066D" w:rsidRDefault="00000000">
      <w:pPr>
        <w:spacing w:after="40"/>
        <w:jc w:val="center"/>
      </w:pPr>
      <w:r>
        <w:rPr>
          <w:b/>
          <w:sz w:val="44"/>
        </w:rPr>
        <w:t>SOFTWARE DEVELOPMENT PROJECT</w:t>
      </w:r>
    </w:p>
    <w:p w14:paraId="32B54D5F" w14:textId="77777777" w:rsidR="00C9066D" w:rsidRDefault="00000000">
      <w:pPr>
        <w:spacing w:after="40"/>
        <w:jc w:val="center"/>
      </w:pPr>
      <w:r>
        <w:rPr>
          <w:b/>
          <w:i/>
          <w:sz w:val="26"/>
        </w:rPr>
        <w:t>Final Report</w:t>
      </w:r>
    </w:p>
    <w:p w14:paraId="7066115F" w14:textId="77777777" w:rsidR="00C9066D" w:rsidRDefault="00C9066D">
      <w:pPr>
        <w:pBdr>
          <w:bottom w:val="single" w:sz="14" w:space="1" w:color="000000"/>
        </w:pBdr>
        <w:spacing w:after="0"/>
      </w:pPr>
    </w:p>
    <w:p w14:paraId="16B55DE1" w14:textId="77777777" w:rsidR="00C9066D" w:rsidRDefault="00000000">
      <w:pPr>
        <w:spacing w:before="300" w:after="200"/>
        <w:jc w:val="center"/>
      </w:pPr>
      <w:r>
        <w:rPr>
          <w:b/>
          <w:color w:val="DC0000"/>
          <w:sz w:val="36"/>
        </w:rPr>
        <w:t>CivicLink: Municipal Incident Reporting and Community Alert Platform</w:t>
      </w:r>
    </w:p>
    <w:p w14:paraId="46DF37A9" w14:textId="77777777" w:rsidR="00C9066D" w:rsidRDefault="00000000">
      <w:pPr>
        <w:jc w:val="center"/>
      </w:pPr>
      <w:r>
        <w:rPr>
          <w:b/>
          <w:i/>
        </w:rPr>
        <w:t>Prepared by:</w:t>
      </w:r>
    </w:p>
    <w:p w14:paraId="7C672DB3" w14:textId="77777777" w:rsidR="00C9066D" w:rsidRDefault="00000000">
      <w:pPr>
        <w:spacing w:after="0"/>
        <w:jc w:val="center"/>
      </w:pPr>
      <w:r>
        <w:rPr>
          <w:color w:val="DC0000"/>
        </w:rPr>
        <w:t>Nthoroane KP</w:t>
      </w:r>
    </w:p>
    <w:p w14:paraId="1D512E08" w14:textId="77777777" w:rsidR="00C9066D" w:rsidRDefault="00000000">
      <w:pPr>
        <w:spacing w:after="0"/>
        <w:jc w:val="center"/>
      </w:pPr>
      <w:r>
        <w:rPr>
          <w:color w:val="DC0000"/>
        </w:rPr>
        <w:t>202328762</w:t>
      </w:r>
    </w:p>
    <w:p w14:paraId="4E5FA213" w14:textId="77777777" w:rsidR="00C9066D" w:rsidRDefault="00000000">
      <w:pPr>
        <w:spacing w:after="0"/>
        <w:jc w:val="center"/>
      </w:pPr>
      <w:r>
        <w:t>Department of Computer Science &amp; Information Technology</w:t>
      </w:r>
    </w:p>
    <w:p w14:paraId="45D9A372" w14:textId="77777777" w:rsidR="00C9066D" w:rsidRDefault="00000000">
      <w:pPr>
        <w:spacing w:after="0"/>
        <w:jc w:val="center"/>
      </w:pPr>
      <w:r>
        <w:t>Sol Plaatje University</w:t>
      </w:r>
    </w:p>
    <w:p w14:paraId="49601F82" w14:textId="77777777" w:rsidR="00C9066D" w:rsidRDefault="00000000">
      <w:pPr>
        <w:spacing w:before="200"/>
        <w:jc w:val="center"/>
      </w:pPr>
      <w:r>
        <w:rPr>
          <w:b/>
          <w:i/>
        </w:rPr>
        <w:t>Submitted to:</w:t>
      </w:r>
    </w:p>
    <w:p w14:paraId="07A5A8EE" w14:textId="77777777" w:rsidR="00C9066D" w:rsidRDefault="00000000">
      <w:pPr>
        <w:spacing w:after="0"/>
        <w:jc w:val="center"/>
      </w:pPr>
      <w:r>
        <w:t>Dr Silas Verkijika</w:t>
      </w:r>
    </w:p>
    <w:p w14:paraId="794E58BF" w14:textId="77777777" w:rsidR="00C9066D" w:rsidRDefault="00000000">
      <w:pPr>
        <w:spacing w:after="0"/>
        <w:jc w:val="center"/>
      </w:pPr>
      <w:r>
        <w:t>Lecturer: Project (NPRJ740)</w:t>
      </w:r>
    </w:p>
    <w:p w14:paraId="4DAF909F" w14:textId="77777777" w:rsidR="00C9066D" w:rsidRDefault="00000000">
      <w:pPr>
        <w:spacing w:after="0"/>
        <w:jc w:val="center"/>
      </w:pPr>
      <w:r>
        <w:t>Department of Computer Science &amp; Information Technology</w:t>
      </w:r>
    </w:p>
    <w:p w14:paraId="634BF9B4" w14:textId="77777777" w:rsidR="00C9066D" w:rsidRDefault="00000000">
      <w:pPr>
        <w:spacing w:after="0"/>
        <w:jc w:val="center"/>
      </w:pPr>
      <w:r>
        <w:t>Sol Plaatje University</w:t>
      </w:r>
    </w:p>
    <w:p w14:paraId="74B75557" w14:textId="77777777" w:rsidR="00C9066D" w:rsidRDefault="00000000">
      <w:pPr>
        <w:spacing w:after="0"/>
        <w:jc w:val="center"/>
      </w:pPr>
      <w:r>
        <w:t>24-26 Scanlan St, New Park, Kimberley, 8301</w:t>
      </w:r>
    </w:p>
    <w:p w14:paraId="3851DA79" w14:textId="77777777" w:rsidR="00C9066D" w:rsidRDefault="00000000">
      <w:pPr>
        <w:spacing w:before="160"/>
        <w:jc w:val="center"/>
      </w:pPr>
      <w:r>
        <w:rPr>
          <w:color w:val="DC0000"/>
        </w:rPr>
        <w:t>30 October 2026</w:t>
      </w:r>
    </w:p>
    <w:p w14:paraId="37373524" w14:textId="77777777" w:rsidR="00C9066D" w:rsidRDefault="00000000">
      <w:r>
        <w:br w:type="page"/>
      </w:r>
    </w:p>
    <w:p>
      <w:pPr>
        <w:pStyle w:val="Heading1"/>
      </w:pPr>
      <w:r>
        <w:t>EXECUTIVE SUMMARY</w:t>
      </w:r>
    </w:p>
    <w:p>
      <w:r>
        <w:t>Sol Plaatje Local Municipality in Kimberley receives reports of burst pipes, power outages, potholes and illegal dumping by telephone, walk-in visits and community WhatsApp groups. Reports are logged by hand without a precise location. The same incident is reported many times. Field teams are dispatched by phone with no record of progress, and residents hear nothing back unless they call again. When municipal workers went on strike on 31 March 2026 and blocked roads across the city, there was no official way to warn commuters.</w:t>
      </w:r>
    </w:p>
    <w:p>
      <w:r>
        <w:t xml:space="preserve">CivicLink is a web application that connects four groups in one workflow. </w:t>
      </w:r>
      <w:r>
        <w:rPr>
          <w:b/>
        </w:rPr>
        <w:t>Residents</w:t>
      </w:r>
      <w:r>
        <w:t xml:space="preserve"> report incidents from their phones with a map location, photos and a severity, receive a reference number, and follow the report live until it is fixed. </w:t>
      </w:r>
      <w:r>
        <w:rPr>
          <w:b/>
        </w:rPr>
        <w:t>Municipal officials</w:t>
      </w:r>
      <w:r>
        <w:t xml:space="preserve"> triage reports for their department, assign them to field workers, escalate overdue work and broadcast alerts to specific suburbs. </w:t>
      </w:r>
      <w:r>
        <w:rPr>
          <w:b/>
        </w:rPr>
        <w:t>Field workers</w:t>
      </w:r>
      <w:r>
        <w:t xml:space="preserve"> receive tasks on their phones, record progress and close each task with completion notes and a proof photo. </w:t>
      </w:r>
      <w:r>
        <w:rPr>
          <w:b/>
        </w:rPr>
        <w:t>Administrators</w:t>
      </w:r>
      <w:r>
        <w:t xml:space="preserve"> manage staff accounts, departments and incident categories.</w:t>
      </w:r>
    </w:p>
    <w:p>
      <w:r>
        <w:t>The final release implements 28 of the 32 specified functional requirements, including all 14 Must-have requirements. The core lifecycle runs end to end: report, duplicate detection, triage, assignment, field completion, and resident confirmation or reopening. It is supported by real-time notifications, suburb-targeted alerts with read receipts, a privacy-safe community map, live service-delivery analytics, SLA-based automatic escalation, a complete audit trail, Google sign-in, and self-service account deletion that meets POPIA's right to erasure. Push notifications (Could-have), SMS alerts, offline drafting and scheduled alerts were deliberately deferred.</w:t>
      </w:r>
    </w:p>
    <w:p>
      <w:r>
        <w:t>The system is built with React and TypeScript on Firebase Authentication and Cloud Firestore, with a Node.js command API. Every state-changing operation runs on the server inside a database transaction, and access is enforced by Security Rules. It runs entirely on free tiers: the deployed system uses Vercel and Firebase's free Spark plan, and a local configuration using the Firebase Emulator Suite can be reproduced with two commands and no cloud account. It is verified by 136 automated tests (unit, security-rule, API integration, end-to-end and non-functional) running in continuous integration. All five success criteria were achieved.</w:t>
      </w:r>
    </w:p>
    <w:p>
      <w:pPr>
        <w:pStyle w:val="Heading1"/>
        <w:numPr>
          <w:ilvl w:val="0"/>
          <w:numId w:val="9"/>
        </w:numPr>
      </w:pPr>
      <w:r>
        <w:t>PROJECT CONTEXT</w:t>
      </w:r>
    </w:p>
    <w:p>
      <w:r>
        <w:rPr>
          <w:b/>
        </w:rPr>
        <w:t>Application domain.</w:t>
      </w:r>
      <w:r>
        <w:t xml:space="preserve"> Municipal service delivery: the reporting, dispatch and resolution of infrastructure and community incidents (water, electricity, roads, waste and public safety), and communication between a municipality and its residents.</w:t>
      </w:r>
    </w:p>
    <w:p>
      <w:r>
        <w:rPr>
          <w:b/>
        </w:rPr>
        <w:t>Primary users and client.</w:t>
      </w:r>
      <w:r>
        <w:t xml:space="preserve"> The intended client is Sol Plaatje Local Municipality, Northern Cape. Its users are residents of the municipal area (Kimberley, Galeshewe, Roodepan, Ritchie, Platfontein and surrounding areas), municipal officials in the five service departments, field workers who carry out repairs, and system administrators.</w:t>
      </w:r>
    </w:p>
    <w:p>
      <w:r>
        <w:rPr>
          <w:b/>
        </w:rPr>
        <w:t>Basis of the project.</w:t>
      </w:r>
      <w:r>
        <w:t xml:space="preserve"> The project is based on a </w:t>
      </w:r>
      <w:r>
        <w:rPr>
          <w:b/>
        </w:rPr>
        <w:t>real organisation and real events</w:t>
      </w:r>
      <w:r>
        <w:t xml:space="preserve"> (the municipality, its departments and the 31 March 2026 strike). The requirements were gathered through a </w:t>
      </w:r>
      <w:r>
        <w:rPr>
          <w:b/>
        </w:rPr>
        <w:t>simulated</w:t>
      </w:r>
      <w:r>
        <w:t xml:space="preserve"> stakeholder interview with a senior infrastructure official, an analysis of the municipality's daily reporting transactions, and published sources. CivicLink has not been commissioned or deployed by the municipality.</w:t>
      </w:r>
    </w:p>
    <w:p>
      <w:pPr>
        <w:pStyle w:val="Heading1"/>
        <w:numPr>
          <w:ilvl w:val="0"/>
          <w:numId w:val="9"/>
        </w:numPr>
      </w:pPr>
      <w:r>
        <w:t>PROBLEM, PURPOSE AND SUCCESS CRITERIA</w:t>
      </w:r>
    </w:p>
    <w:p>
      <w:pPr>
        <w:pStyle w:val="Heading2"/>
        <w:numPr>
          <w:ilvl w:val="1"/>
          <w:numId w:val="9"/>
        </w:numPr>
      </w:pPr>
      <w:r>
        <w:t>Problem Statement</w:t>
      </w:r>
    </w:p>
    <w:p>
      <w:r>
        <w:t>Residents of Sol Plaatje have no dependable digital channel for reporting service failures, and the municipality has no single system for managing them. The Phase 1 investigation found the following:</w:t>
      </w:r>
    </w:p>
    <w:p>
      <w:pPr>
        <w:pStyle w:val="BulletCompact"/>
        <w:numPr>
          <w:ilvl w:val="0"/>
          <w:numId w:val="8"/>
        </w:numPr>
      </w:pPr>
      <w:r>
        <w:rPr>
          <w:b/>
        </w:rPr>
        <w:t>No precise capture.</w:t>
      </w:r>
      <w:r>
        <w:t xml:space="preserve"> Calls are written on paper or in spreadsheets, without GPS coordinates or photos, so field teams are sent to the wrong place and repeat visits are common, especially for illegal dumping.</w:t>
      </w:r>
    </w:p>
    <w:p>
      <w:pPr>
        <w:pStyle w:val="BulletCompact"/>
        <w:numPr>
          <w:ilvl w:val="0"/>
          <w:numId w:val="8"/>
        </w:numPr>
      </w:pPr>
      <w:r>
        <w:rPr>
          <w:b/>
        </w:rPr>
        <w:t>Duplicate reports.</w:t>
      </w:r>
      <w:r>
        <w:t xml:space="preserve"> The same burst pipe or outage is reported many times across channels, which wastes call-centre time and distorts priorities.</w:t>
      </w:r>
    </w:p>
    <w:p>
      <w:pPr>
        <w:pStyle w:val="BulletCompact"/>
        <w:numPr>
          <w:ilvl w:val="0"/>
          <w:numId w:val="8"/>
        </w:numPr>
      </w:pPr>
      <w:r>
        <w:rPr>
          <w:b/>
        </w:rPr>
        <w:t>No accountability for dispatch.</w:t>
      </w:r>
      <w:r>
        <w:t xml:space="preserve"> Supervisors phone field workers directly, leaving no record of who was assigned, when work started, or whether it was finished.</w:t>
      </w:r>
    </w:p>
    <w:p>
      <w:pPr>
        <w:pStyle w:val="BulletCompact"/>
        <w:numPr>
          <w:ilvl w:val="0"/>
          <w:numId w:val="8"/>
        </w:numPr>
      </w:pPr>
      <w:r>
        <w:rPr>
          <w:b/>
        </w:rPr>
        <w:t>No feedback to residents.</w:t>
      </w:r>
      <w:r>
        <w:t xml:space="preserve"> Residents are not told when a report is accepted or resolved, so they call back repeatedly. This adds to the call-centre load and erodes trust.</w:t>
      </w:r>
    </w:p>
    <w:p>
      <w:pPr>
        <w:pStyle w:val="BulletCompact"/>
        <w:numPr>
          <w:ilvl w:val="0"/>
          <w:numId w:val="8"/>
        </w:numPr>
      </w:pPr>
      <w:r>
        <w:rPr>
          <w:b/>
        </w:rPr>
        <w:t>No targeted public communication.</w:t>
      </w:r>
      <w:r>
        <w:t xml:space="preserve"> During the 31 March 2026 strike, road closures were communicated only by radio and informal WhatsApp groups. Residents and taxi commuters received no official guidance.</w:t>
      </w:r>
    </w:p>
    <w:p>
      <w:pPr>
        <w:pStyle w:val="BulletCompact"/>
        <w:numPr>
          <w:ilvl w:val="0"/>
          <w:numId w:val="8"/>
        </w:numPr>
      </w:pPr>
      <w:r>
        <w:rPr>
          <w:b/>
        </w:rPr>
        <w:t>No management visibility.</w:t>
      </w:r>
      <w:r>
        <w:t xml:space="preserve"> Without data, the municipality cannot measure response times, compare departments or identify hotspots.</w:t>
      </w:r>
    </w:p>
    <w:p>
      <w:r>
        <w:t>The stakeholder questionnaire reported response times of 24–72 hours for burst pipes, mainly because reports were routed to the wrong team. These problems are structural rather than individual: they come from analogue, fragmented processes. A shared digital system that records every report, assignment and status change in one place, enforces routing and accountability rules, and pushes updates to the people affected directly addresses each of them.</w:t>
      </w:r>
    </w:p>
    <w:p>
      <w:r>
        <w:t>These findings agree with published evidence that municipal service delivery in South Africa suffers from weak monitoring, poor record-keeping and slow responses to infrastructure failures (Auditor-General South Africa, 2024). They also agree with the municipality's own planning documents, which identify ageing water and electricity infrastructure as a priority (Sol Plaatje Local Municipality, 2022).</w:t>
      </w:r>
    </w:p>
    <w:p>
      <w:r>
        <w:rPr>
          <w:b/>
          <w:highlight w:val="yellow"/>
        </w:rPr>
        <w:t>TO VERIFY BEFORE SUBMISSION: Before submission, confirm the Sol Plaatje IDP edition and add one sentence with a specific figure from it (e.g. water-loss percentage or backlog), and the Census 2022 population figure for Sol Plaatje (Statistics South Africa, 2023). Phase 1 quoted "approximately 250 000"; replace it with the census value.</w:t>
      </w:r>
    </w:p>
    <w:p>
      <w:pPr>
        <w:pStyle w:val="Heading2"/>
        <w:numPr>
          <w:ilvl w:val="1"/>
          <w:numId w:val="9"/>
        </w:numPr>
      </w:pPr>
      <w:r>
        <w:t>Project Purpose</w:t>
      </w:r>
    </w:p>
    <w:p>
      <w:r>
        <w:t>CivicLink is intended to replace the municipality's manual, fragmented incident reporting with one accountable digital workflow. Residents should be able to report a located, evidenced incident in under a minute and follow it to resolution. Officials should be able to route and dispatch work and warn affected suburbs immediately. Field workers should be able to close tasks with proof. Every action should leave an auditable record.</w:t>
      </w:r>
    </w:p>
    <w:p>
      <w:pPr>
        <w:pStyle w:val="Heading2"/>
        <w:numPr>
          <w:ilvl w:val="1"/>
          <w:numId w:val="9"/>
        </w:numPr>
      </w:pPr>
      <w:r>
        <w:t>Success Criteria</w:t>
      </w:r>
    </w:p>
    <w:p>
      <w:pPr>
        <w:pStyle w:val="Caption"/>
        <w:keepNext/>
      </w:pPr>
      <w:r>
        <w:t>Table 1: Success criteria</w:t>
      </w:r>
    </w:p>
    <w:tbl>
      <w:tblPr>
        <w:tblStyle w:val="TableGrid"/>
        <w:tblW w:type="auto" w:w="0"/>
        <w:jc w:val="center"/>
        <w:tblLayout w:type="fixed"/>
        <w:tblLook w:firstColumn="1" w:firstRow="1" w:lastColumn="0" w:lastRow="0" w:noHBand="0" w:noVBand="1" w:val="04A0"/>
        <w:tblLayout w:type="fixed"/>
      </w:tblPr>
      <w:tblGrid>
        <w:gridCol w:w="934"/>
        <w:gridCol w:w="5779"/>
        <w:gridCol w:w="2647"/>
      </w:tblGrid>
      <w:tr>
        <w:trPr>
          <w:tblHeader w:val="true"/>
        </w:trPr>
        <w:tc>
          <w:tcPr>
            <w:tcW w:type="dxa" w:w="934"/>
            <w:shd w:val="clear" w:color="auto" w:fill="D5EBF4"/>
          </w:tcPr>
          <w:p>
            <w:pPr>
              <w:spacing w:after="0"/>
            </w:pPr>
            <w:r>
              <w:rPr>
                <w:b/>
                <w:sz w:val="18"/>
              </w:rPr>
              <w:t>ID</w:t>
            </w:r>
          </w:p>
        </w:tc>
        <w:tc>
          <w:tcPr>
            <w:tcW w:type="dxa" w:w="5779"/>
            <w:shd w:val="clear" w:color="auto" w:fill="D5EBF4"/>
          </w:tcPr>
          <w:p>
            <w:pPr>
              <w:spacing w:after="0"/>
            </w:pPr>
            <w:r>
              <w:rPr>
                <w:b/>
                <w:sz w:val="18"/>
              </w:rPr>
              <w:t>Success criterion</w:t>
            </w:r>
          </w:p>
        </w:tc>
        <w:tc>
          <w:tcPr>
            <w:tcW w:type="dxa" w:w="2647"/>
            <w:shd w:val="clear" w:color="auto" w:fill="D5EBF4"/>
          </w:tcPr>
          <w:p>
            <w:pPr>
              <w:spacing w:after="0"/>
            </w:pPr>
            <w:r>
              <w:rPr>
                <w:b/>
                <w:sz w:val="18"/>
              </w:rPr>
              <w:t>How it is verified</w:t>
            </w:r>
          </w:p>
        </w:tc>
      </w:tr>
      <w:tr>
        <w:tc>
          <w:tcPr>
            <w:tcW w:type="dxa" w:w="934"/>
          </w:tcPr>
          <w:p>
            <w:pPr>
              <w:spacing w:after="0"/>
            </w:pPr>
            <w:r>
              <w:rPr>
                <w:sz w:val="18"/>
              </w:rPr>
              <w:t>SC-01</w:t>
            </w:r>
          </w:p>
        </w:tc>
        <w:tc>
          <w:tcPr>
            <w:tcW w:type="dxa" w:w="5779"/>
          </w:tcPr>
          <w:p>
            <w:pPr>
              <w:spacing w:after="0"/>
            </w:pPr>
            <w:r>
              <w:rPr>
                <w:sz w:val="18"/>
              </w:rPr>
              <w:t>The complete incident lifecycle runs end-to-end on the submitted system: a resident submits, an official triages and assigns, a field worker completes with proof, and the resident sees the report resolved with a full status history.</w:t>
            </w:r>
          </w:p>
        </w:tc>
        <w:tc>
          <w:tcPr>
            <w:tcW w:type="dxa" w:w="2647"/>
          </w:tcPr>
          <w:p>
            <w:pPr>
              <w:spacing w:after="0"/>
            </w:pPr>
            <w:r>
              <w:rPr>
                <w:sz w:val="18"/>
              </w:rPr>
              <w:t>End-to-end test E2E-01; demonstration</w:t>
            </w:r>
          </w:p>
        </w:tc>
      </w:tr>
      <w:tr>
        <w:tc>
          <w:tcPr>
            <w:tcW w:type="dxa" w:w="934"/>
          </w:tcPr>
          <w:p>
            <w:pPr>
              <w:spacing w:after="0"/>
            </w:pPr>
            <w:r>
              <w:rPr>
                <w:sz w:val="18"/>
              </w:rPr>
              <w:t>SC-02</w:t>
            </w:r>
          </w:p>
        </w:tc>
        <w:tc>
          <w:tcPr>
            <w:tcW w:type="dxa" w:w="5779"/>
          </w:tcPr>
          <w:p>
            <w:pPr>
              <w:spacing w:after="0"/>
            </w:pPr>
            <w:r>
              <w:rPr>
                <w:sz w:val="18"/>
              </w:rPr>
              <w:t>The key business rules are enforced on the server, not only in the interface: duplicate detection, allowed status transitions, one active task per report, valid assignment and SLA escalation.</w:t>
            </w:r>
          </w:p>
        </w:tc>
        <w:tc>
          <w:tcPr>
            <w:tcW w:type="dxa" w:w="2647"/>
          </w:tcPr>
          <w:p>
            <w:pPr>
              <w:spacing w:after="0"/>
            </w:pPr>
            <w:r>
              <w:rPr>
                <w:sz w:val="18"/>
              </w:rPr>
              <w:t>Unit and integration tests for BR-03 to BR-11</w:t>
            </w:r>
          </w:p>
        </w:tc>
      </w:tr>
      <w:tr>
        <w:tc>
          <w:tcPr>
            <w:tcW w:type="dxa" w:w="934"/>
          </w:tcPr>
          <w:p>
            <w:pPr>
              <w:spacing w:after="0"/>
            </w:pPr>
            <w:r>
              <w:rPr>
                <w:sz w:val="18"/>
              </w:rPr>
              <w:t>SC-03</w:t>
            </w:r>
          </w:p>
        </w:tc>
        <w:tc>
          <w:tcPr>
            <w:tcW w:type="dxa" w:w="5779"/>
          </w:tcPr>
          <w:p>
            <w:pPr>
              <w:spacing w:after="0"/>
            </w:pPr>
            <w:r>
              <w:rPr>
                <w:sz w:val="18"/>
              </w:rPr>
              <w:t>Role-based access control holds: each role can perform exactly the functions in the permission matrix and nothing else.</w:t>
            </w:r>
          </w:p>
        </w:tc>
        <w:tc>
          <w:tcPr>
            <w:tcW w:type="dxa" w:w="2647"/>
          </w:tcPr>
          <w:p>
            <w:pPr>
              <w:spacing w:after="0"/>
            </w:pPr>
            <w:r>
              <w:rPr>
                <w:sz w:val="18"/>
              </w:rPr>
              <w:t>Security-rule tests RT-*, API authorisation tests, E2E-04</w:t>
            </w:r>
          </w:p>
        </w:tc>
      </w:tr>
      <w:tr>
        <w:tc>
          <w:tcPr>
            <w:tcW w:type="dxa" w:w="934"/>
          </w:tcPr>
          <w:p>
            <w:pPr>
              <w:spacing w:after="0"/>
            </w:pPr>
            <w:r>
              <w:rPr>
                <w:sz w:val="18"/>
              </w:rPr>
              <w:t>SC-04</w:t>
            </w:r>
          </w:p>
        </w:tc>
        <w:tc>
          <w:tcPr>
            <w:tcW w:type="dxa" w:w="5779"/>
          </w:tcPr>
          <w:p>
            <w:pPr>
              <w:spacing w:after="0"/>
            </w:pPr>
            <w:r>
              <w:rPr>
                <w:sz w:val="18"/>
              </w:rPr>
              <w:t>Residents receive timely, targeted information: a status change or a suburb alert appears in the resident's app within 5 seconds, without refreshing.</w:t>
            </w:r>
          </w:p>
        </w:tc>
        <w:tc>
          <w:tcPr>
            <w:tcW w:type="dxa" w:w="2647"/>
          </w:tcPr>
          <w:p>
            <w:pPr>
              <w:spacing w:after="0"/>
            </w:pPr>
            <w:r>
              <w:rPr>
                <w:sz w:val="18"/>
              </w:rPr>
              <w:t>NFT-05, E2E-03</w:t>
            </w:r>
          </w:p>
        </w:tc>
      </w:tr>
      <w:tr>
        <w:tc>
          <w:tcPr>
            <w:tcW w:type="dxa" w:w="934"/>
          </w:tcPr>
          <w:p>
            <w:pPr>
              <w:spacing w:after="0"/>
            </w:pPr>
            <w:r>
              <w:rPr>
                <w:sz w:val="18"/>
              </w:rPr>
              <w:t>SC-05</w:t>
            </w:r>
          </w:p>
        </w:tc>
        <w:tc>
          <w:tcPr>
            <w:tcW w:type="dxa" w:w="5779"/>
          </w:tcPr>
          <w:p>
            <w:pPr>
              <w:spacing w:after="0"/>
            </w:pPr>
            <w:r>
              <w:rPr>
                <w:sz w:val="18"/>
              </w:rPr>
              <w:t>Officials have operational visibility from live data: dashboard metrics match the known dataset.</w:t>
            </w:r>
          </w:p>
        </w:tc>
        <w:tc>
          <w:tcPr>
            <w:tcW w:type="dxa" w:w="2647"/>
          </w:tcPr>
          <w:p>
            <w:pPr>
              <w:spacing w:after="0"/>
            </w:pPr>
            <w:r>
              <w:rPr>
                <w:sz w:val="18"/>
              </w:rPr>
              <w:t>UT-ANL-01, IT-ANL-01</w:t>
            </w:r>
          </w:p>
        </w:tc>
      </w:tr>
    </w:tbl>
    <w:p/>
    <w:p>
      <w:pPr>
        <w:pStyle w:val="Heading1"/>
        <w:numPr>
          <w:ilvl w:val="0"/>
          <w:numId w:val="9"/>
        </w:numPr>
      </w:pPr>
      <w:r>
        <w:t>SOLUTION OVERVIEW AND SCOPE</w:t>
      </w:r>
    </w:p>
    <w:p>
      <w:pPr>
        <w:pStyle w:val="Heading2"/>
        <w:numPr>
          <w:ilvl w:val="1"/>
          <w:numId w:val="9"/>
        </w:numPr>
      </w:pPr>
      <w:r>
        <w:t>Solution Overview</w:t>
      </w:r>
    </w:p>
    <w:p>
      <w:r>
        <w:t>CivicLink is a responsive web application backed by Firebase. The system boundary contains the React single-page application (with separate resident, official, field-worker and administrator areas), a Node.js command API (served by Cloud Functions locally and by Vercel serverless functions when deployed), Cloud Firestore and Firebase Authentication. The external actors are the four user roles. The only external services are OpenStreetMap, which supplies map tiles, and the browser's geolocation service on the user's device.</w:t>
      </w:r>
    </w:p>
    <w:p>
      <w:r>
        <w:t>Its major functional areas are:</w:t>
      </w:r>
    </w:p>
    <w:p>
      <w:pPr>
        <w:pStyle w:val="BulletCompact"/>
        <w:numPr>
          <w:ilvl w:val="0"/>
          <w:numId w:val="8"/>
        </w:numPr>
      </w:pPr>
      <w:r>
        <w:rPr>
          <w:b/>
        </w:rPr>
        <w:t>Incident reporting:</w:t>
      </w:r>
      <w:r>
        <w:t xml:space="preserve"> a three-step report form with category, map location, suburb, landmark, description, severity and up to three photos; reference numbers; and duplicate detection within 100 m.</w:t>
      </w:r>
    </w:p>
    <w:p>
      <w:pPr>
        <w:pStyle w:val="BulletCompact"/>
        <w:numPr>
          <w:ilvl w:val="0"/>
          <w:numId w:val="8"/>
        </w:numPr>
      </w:pPr>
      <w:r>
        <w:rPr>
          <w:b/>
        </w:rPr>
        <w:t>Tracking and feedback:</w:t>
      </w:r>
      <w:r>
        <w:t xml:space="preserve"> a live status lifecycle, an audit timeline, in-app notifications, confirmation or reopening by the resident, and automatic closure.</w:t>
      </w:r>
    </w:p>
    <w:p>
      <w:pPr>
        <w:pStyle w:val="BulletCompact"/>
        <w:numPr>
          <w:ilvl w:val="0"/>
          <w:numId w:val="8"/>
        </w:numPr>
      </w:pPr>
      <w:r>
        <w:rPr>
          <w:b/>
        </w:rPr>
        <w:t>Dispatch:</w:t>
      </w:r>
      <w:r>
        <w:t xml:space="preserve"> a department-scoped report queue with triage, rejection, assignment, reassignment and escalation, plus internal staff notes.</w:t>
      </w:r>
    </w:p>
    <w:p>
      <w:pPr>
        <w:pStyle w:val="BulletCompact"/>
        <w:numPr>
          <w:ilvl w:val="0"/>
          <w:numId w:val="8"/>
        </w:numPr>
      </w:pPr>
      <w:r>
        <w:rPr>
          <w:b/>
        </w:rPr>
        <w:t>Field work:</w:t>
      </w:r>
      <w:r>
        <w:t xml:space="preserve"> a mobile task list where the worker accepts, starts and completes tasks with notes and proof photos.</w:t>
      </w:r>
    </w:p>
    <w:p>
      <w:pPr>
        <w:pStyle w:val="BulletCompact"/>
        <w:numPr>
          <w:ilvl w:val="0"/>
          <w:numId w:val="8"/>
        </w:numPr>
      </w:pPr>
      <w:r>
        <w:rPr>
          <w:b/>
        </w:rPr>
        <w:t>Community communication:</w:t>
      </w:r>
      <w:r>
        <w:t xml:space="preserve"> suburb-targeted alerts with delivery and read receipts, and a community incident map with approximate locations.</w:t>
      </w:r>
    </w:p>
    <w:p>
      <w:pPr>
        <w:pStyle w:val="BulletCompact"/>
        <w:numPr>
          <w:ilvl w:val="0"/>
          <w:numId w:val="8"/>
        </w:numPr>
      </w:pPr>
      <w:r>
        <w:rPr>
          <w:b/>
        </w:rPr>
        <w:t>Management and administration:</w:t>
      </w:r>
      <w:r>
        <w:t xml:space="preserve"> live analytics on volumes, resolution time and SLA compliance; user, role, department and category management; and a system log.</w:t>
      </w:r>
    </w:p>
    <w:p>
      <w:pPr>
        <w:keepNext/>
        <w:jc w:val="center"/>
      </w:pPr>
      <w:r>
        <w:drawing>
          <wp:inline xmlns:a="http://schemas.openxmlformats.org/drawingml/2006/main" xmlns:pic="http://schemas.openxmlformats.org/drawingml/2006/picture">
            <wp:extent cx="5029200" cy="3399145"/>
            <wp:docPr id="2" name="Picture 2"/>
            <wp:cNvGraphicFramePr>
              <a:graphicFrameLocks noChangeAspect="1"/>
            </wp:cNvGraphicFramePr>
            <a:graphic>
              <a:graphicData uri="http://schemas.openxmlformats.org/drawingml/2006/picture">
                <pic:pic>
                  <pic:nvPicPr>
                    <pic:cNvPr id="0" name="context.png"/>
                    <pic:cNvPicPr/>
                  </pic:nvPicPr>
                  <pic:blipFill>
                    <a:blip r:embed="rId12"/>
                    <a:stretch>
                      <a:fillRect/>
                    </a:stretch>
                  </pic:blipFill>
                  <pic:spPr>
                    <a:xfrm>
                      <a:off x="0" y="0"/>
                      <a:ext cx="5029200" cy="3399145"/>
                    </a:xfrm>
                    <a:prstGeom prst="rect"/>
                  </pic:spPr>
                </pic:pic>
              </a:graphicData>
            </a:graphic>
          </wp:inline>
        </w:drawing>
      </w:r>
    </w:p>
    <w:p>
      <w:pPr>
        <w:pStyle w:val="Caption"/>
        <w:jc w:val="center"/>
      </w:pPr>
      <w:r>
        <w:t>Figure 1: CivicLink system context diagram</w:t>
      </w:r>
    </w:p>
    <w:p>
      <w:pPr>
        <w:pStyle w:val="Heading2"/>
        <w:numPr>
          <w:ilvl w:val="1"/>
          <w:numId w:val="9"/>
        </w:numPr>
      </w:pPr>
      <w:r>
        <w:t>Final Release Scope</w:t>
      </w:r>
    </w:p>
    <w:p>
      <w:r>
        <w:t>The submitted release (tag v1.0.0) includes the following capabilities. Each one is traceable to its requirements in Section 4 and to its tests in Section 7.</w:t>
      </w:r>
    </w:p>
    <w:p>
      <w:pPr>
        <w:pStyle w:val="Caption"/>
        <w:keepNext/>
      </w:pPr>
      <w:r>
        <w:t>Table 2: Final release scope</w:t>
      </w:r>
    </w:p>
    <w:tbl>
      <w:tblPr>
        <w:tblStyle w:val="TableGrid"/>
        <w:tblW w:type="auto" w:w="0"/>
        <w:jc w:val="center"/>
        <w:tblLayout w:type="fixed"/>
        <w:tblLook w:firstColumn="1" w:firstRow="1" w:lastColumn="0" w:lastRow="0" w:noHBand="0" w:noVBand="1" w:val="04A0"/>
        <w:tblLayout w:type="fixed"/>
      </w:tblPr>
      <w:tblGrid>
        <w:gridCol w:w="5556"/>
        <w:gridCol w:w="2285"/>
        <w:gridCol w:w="1519"/>
      </w:tblGrid>
      <w:tr>
        <w:trPr>
          <w:tblHeader w:val="true"/>
        </w:trPr>
        <w:tc>
          <w:tcPr>
            <w:tcW w:type="dxa" w:w="5556"/>
            <w:shd w:val="clear" w:color="auto" w:fill="D5EBF4"/>
          </w:tcPr>
          <w:p>
            <w:pPr>
              <w:spacing w:after="0"/>
            </w:pPr>
            <w:r>
              <w:rPr>
                <w:b/>
                <w:sz w:val="18"/>
              </w:rPr>
              <w:t>Capability</w:t>
            </w:r>
          </w:p>
        </w:tc>
        <w:tc>
          <w:tcPr>
            <w:tcW w:type="dxa" w:w="2285"/>
            <w:shd w:val="clear" w:color="auto" w:fill="D5EBF4"/>
          </w:tcPr>
          <w:p>
            <w:pPr>
              <w:spacing w:after="0"/>
            </w:pPr>
            <w:r>
              <w:rPr>
                <w:b/>
                <w:sz w:val="18"/>
              </w:rPr>
              <w:t>Requirements</w:t>
            </w:r>
          </w:p>
        </w:tc>
        <w:tc>
          <w:tcPr>
            <w:tcW w:type="dxa" w:w="1519"/>
            <w:shd w:val="clear" w:color="auto" w:fill="D5EBF4"/>
          </w:tcPr>
          <w:p>
            <w:pPr>
              <w:spacing w:after="0"/>
            </w:pPr>
            <w:r>
              <w:rPr>
                <w:b/>
                <w:sz w:val="18"/>
              </w:rPr>
              <w:t>Priority</w:t>
            </w:r>
          </w:p>
        </w:tc>
      </w:tr>
      <w:tr>
        <w:tc>
          <w:tcPr>
            <w:tcW w:type="dxa" w:w="5556"/>
          </w:tcPr>
          <w:p>
            <w:pPr>
              <w:spacing w:after="0"/>
            </w:pPr>
            <w:r>
              <w:rPr>
                <w:sz w:val="18"/>
              </w:rPr>
              <w:t>Resident registration, sign-in and role-based routing; account deactivation</w:t>
            </w:r>
          </w:p>
        </w:tc>
        <w:tc>
          <w:tcPr>
            <w:tcW w:type="dxa" w:w="2285"/>
          </w:tcPr>
          <w:p>
            <w:pPr>
              <w:spacing w:after="0"/>
            </w:pPr>
            <w:r>
              <w:rPr>
                <w:sz w:val="18"/>
              </w:rPr>
              <w:t>FR-01, FR-02, FR-20</w:t>
            </w:r>
          </w:p>
        </w:tc>
        <w:tc>
          <w:tcPr>
            <w:tcW w:type="dxa" w:w="1519"/>
          </w:tcPr>
          <w:p>
            <w:pPr>
              <w:spacing w:after="0"/>
            </w:pPr>
            <w:r>
              <w:rPr>
                <w:sz w:val="18"/>
              </w:rPr>
              <w:t>Must</w:t>
            </w:r>
          </w:p>
        </w:tc>
      </w:tr>
      <w:tr>
        <w:tc>
          <w:tcPr>
            <w:tcW w:type="dxa" w:w="5556"/>
          </w:tcPr>
          <w:p>
            <w:pPr>
              <w:spacing w:after="0"/>
            </w:pPr>
            <w:r>
              <w:rPr>
                <w:sz w:val="18"/>
              </w:rPr>
              <w:t>Located incident report with photos; reference number; duplicate detection</w:t>
            </w:r>
          </w:p>
        </w:tc>
        <w:tc>
          <w:tcPr>
            <w:tcW w:type="dxa" w:w="2285"/>
          </w:tcPr>
          <w:p>
            <w:pPr>
              <w:spacing w:after="0"/>
            </w:pPr>
            <w:r>
              <w:rPr>
                <w:sz w:val="18"/>
              </w:rPr>
              <w:t>FR-03, FR-04, FR-05</w:t>
            </w:r>
          </w:p>
        </w:tc>
        <w:tc>
          <w:tcPr>
            <w:tcW w:type="dxa" w:w="1519"/>
          </w:tcPr>
          <w:p>
            <w:pPr>
              <w:spacing w:after="0"/>
            </w:pPr>
            <w:r>
              <w:rPr>
                <w:sz w:val="18"/>
              </w:rPr>
              <w:t>Must</w:t>
            </w:r>
          </w:p>
        </w:tc>
      </w:tr>
      <w:tr>
        <w:tc>
          <w:tcPr>
            <w:tcW w:type="dxa" w:w="5556"/>
          </w:tcPr>
          <w:p>
            <w:pPr>
              <w:spacing w:after="0"/>
            </w:pPr>
            <w:r>
              <w:rPr>
                <w:sz w:val="18"/>
              </w:rPr>
              <w:t>My reports with live status lifecycle and audit timeline</w:t>
            </w:r>
          </w:p>
        </w:tc>
        <w:tc>
          <w:tcPr>
            <w:tcW w:type="dxa" w:w="2285"/>
          </w:tcPr>
          <w:p>
            <w:pPr>
              <w:spacing w:after="0"/>
            </w:pPr>
            <w:r>
              <w:rPr>
                <w:sz w:val="18"/>
              </w:rPr>
              <w:t>FR-06</w:t>
            </w:r>
          </w:p>
        </w:tc>
        <w:tc>
          <w:tcPr>
            <w:tcW w:type="dxa" w:w="1519"/>
          </w:tcPr>
          <w:p>
            <w:pPr>
              <w:spacing w:after="0"/>
            </w:pPr>
            <w:r>
              <w:rPr>
                <w:sz w:val="18"/>
              </w:rPr>
              <w:t>Must</w:t>
            </w:r>
          </w:p>
        </w:tc>
      </w:tr>
      <w:tr>
        <w:tc>
          <w:tcPr>
            <w:tcW w:type="dxa" w:w="5556"/>
          </w:tcPr>
          <w:p>
            <w:pPr>
              <w:spacing w:after="0"/>
            </w:pPr>
            <w:r>
              <w:rPr>
                <w:sz w:val="18"/>
              </w:rPr>
              <w:t>Department report queue with filters, search and CSV export</w:t>
            </w:r>
          </w:p>
        </w:tc>
        <w:tc>
          <w:tcPr>
            <w:tcW w:type="dxa" w:w="2285"/>
          </w:tcPr>
          <w:p>
            <w:pPr>
              <w:spacing w:after="0"/>
            </w:pPr>
            <w:r>
              <w:rPr>
                <w:sz w:val="18"/>
              </w:rPr>
              <w:t>FR-08, FR-26</w:t>
            </w:r>
          </w:p>
        </w:tc>
        <w:tc>
          <w:tcPr>
            <w:tcW w:type="dxa" w:w="1519"/>
          </w:tcPr>
          <w:p>
            <w:pPr>
              <w:spacing w:after="0"/>
            </w:pPr>
            <w:r>
              <w:rPr>
                <w:sz w:val="18"/>
              </w:rPr>
              <w:t>Must / Could</w:t>
            </w:r>
          </w:p>
        </w:tc>
      </w:tr>
      <w:tr>
        <w:tc>
          <w:tcPr>
            <w:tcW w:type="dxa" w:w="5556"/>
          </w:tcPr>
          <w:p>
            <w:pPr>
              <w:spacing w:after="0"/>
            </w:pPr>
            <w:r>
              <w:rPr>
                <w:sz w:val="18"/>
              </w:rPr>
              <w:t>Triage, reject, assign field worker</w:t>
            </w:r>
          </w:p>
        </w:tc>
        <w:tc>
          <w:tcPr>
            <w:tcW w:type="dxa" w:w="2285"/>
          </w:tcPr>
          <w:p>
            <w:pPr>
              <w:spacing w:after="0"/>
            </w:pPr>
            <w:r>
              <w:rPr>
                <w:sz w:val="18"/>
              </w:rPr>
              <w:t>FR-09, FR-10</w:t>
            </w:r>
          </w:p>
        </w:tc>
        <w:tc>
          <w:tcPr>
            <w:tcW w:type="dxa" w:w="1519"/>
          </w:tcPr>
          <w:p>
            <w:pPr>
              <w:spacing w:after="0"/>
            </w:pPr>
            <w:r>
              <w:rPr>
                <w:sz w:val="18"/>
              </w:rPr>
              <w:t>Must</w:t>
            </w:r>
          </w:p>
        </w:tc>
      </w:tr>
      <w:tr>
        <w:tc>
          <w:tcPr>
            <w:tcW w:type="dxa" w:w="5556"/>
          </w:tcPr>
          <w:p>
            <w:pPr>
              <w:spacing w:after="0"/>
            </w:pPr>
            <w:r>
              <w:rPr>
                <w:sz w:val="18"/>
              </w:rPr>
              <w:t>Field-worker task list; accept, start, complete with proof</w:t>
            </w:r>
          </w:p>
        </w:tc>
        <w:tc>
          <w:tcPr>
            <w:tcW w:type="dxa" w:w="2285"/>
          </w:tcPr>
          <w:p>
            <w:pPr>
              <w:spacing w:after="0"/>
            </w:pPr>
            <w:r>
              <w:rPr>
                <w:sz w:val="18"/>
              </w:rPr>
              <w:t>FR-11</w:t>
            </w:r>
          </w:p>
        </w:tc>
        <w:tc>
          <w:tcPr>
            <w:tcW w:type="dxa" w:w="1519"/>
          </w:tcPr>
          <w:p>
            <w:pPr>
              <w:spacing w:after="0"/>
            </w:pPr>
            <w:r>
              <w:rPr>
                <w:sz w:val="18"/>
              </w:rPr>
              <w:t>Must</w:t>
            </w:r>
          </w:p>
        </w:tc>
      </w:tr>
      <w:tr>
        <w:tc>
          <w:tcPr>
            <w:tcW w:type="dxa" w:w="5556"/>
          </w:tcPr>
          <w:p>
            <w:pPr>
              <w:spacing w:after="0"/>
            </w:pPr>
            <w:r>
              <w:rPr>
                <w:sz w:val="18"/>
              </w:rPr>
              <w:t>Real-time in-app notifications</w:t>
            </w:r>
          </w:p>
        </w:tc>
        <w:tc>
          <w:tcPr>
            <w:tcW w:type="dxa" w:w="2285"/>
          </w:tcPr>
          <w:p>
            <w:pPr>
              <w:spacing w:after="0"/>
            </w:pPr>
            <w:r>
              <w:rPr>
                <w:sz w:val="18"/>
              </w:rPr>
              <w:t>FR-15</w:t>
            </w:r>
          </w:p>
        </w:tc>
        <w:tc>
          <w:tcPr>
            <w:tcW w:type="dxa" w:w="1519"/>
          </w:tcPr>
          <w:p>
            <w:pPr>
              <w:spacing w:after="0"/>
            </w:pPr>
            <w:r>
              <w:rPr>
                <w:sz w:val="18"/>
              </w:rPr>
              <w:t>Must</w:t>
            </w:r>
          </w:p>
        </w:tc>
      </w:tr>
      <w:tr>
        <w:tc>
          <w:tcPr>
            <w:tcW w:type="dxa" w:w="5556"/>
          </w:tcPr>
          <w:p>
            <w:pPr>
              <w:spacing w:after="0"/>
            </w:pPr>
            <w:r>
              <w:rPr>
                <w:sz w:val="18"/>
              </w:rPr>
              <w:t>Suburb-targeted alert broadcast and resident alerts feed</w:t>
            </w:r>
          </w:p>
        </w:tc>
        <w:tc>
          <w:tcPr>
            <w:tcW w:type="dxa" w:w="2285"/>
          </w:tcPr>
          <w:p>
            <w:pPr>
              <w:spacing w:after="0"/>
            </w:pPr>
            <w:r>
              <w:rPr>
                <w:sz w:val="18"/>
              </w:rPr>
              <w:t>FR-16, FR-17</w:t>
            </w:r>
          </w:p>
        </w:tc>
        <w:tc>
          <w:tcPr>
            <w:tcW w:type="dxa" w:w="1519"/>
          </w:tcPr>
          <w:p>
            <w:pPr>
              <w:spacing w:after="0"/>
            </w:pPr>
            <w:r>
              <w:rPr>
                <w:sz w:val="18"/>
              </w:rPr>
              <w:t>Must</w:t>
            </w:r>
          </w:p>
        </w:tc>
      </w:tr>
      <w:tr>
        <w:tc>
          <w:tcPr>
            <w:tcW w:type="dxa" w:w="5556"/>
          </w:tcPr>
          <w:p>
            <w:pPr>
              <w:spacing w:after="0"/>
            </w:pPr>
            <w:r>
              <w:rPr>
                <w:sz w:val="18"/>
              </w:rPr>
              <w:t>Reassignment; manual and SLA-based escalation; resident confirm/reopen; auto-close</w:t>
            </w:r>
          </w:p>
        </w:tc>
        <w:tc>
          <w:tcPr>
            <w:tcW w:type="dxa" w:w="2285"/>
          </w:tcPr>
          <w:p>
            <w:pPr>
              <w:spacing w:after="0"/>
            </w:pPr>
            <w:r>
              <w:rPr>
                <w:sz w:val="18"/>
              </w:rPr>
              <w:t>FR-12, FR-13, FR-14</w:t>
            </w:r>
          </w:p>
        </w:tc>
        <w:tc>
          <w:tcPr>
            <w:tcW w:type="dxa" w:w="1519"/>
          </w:tcPr>
          <w:p>
            <w:pPr>
              <w:spacing w:after="0"/>
            </w:pPr>
            <w:r>
              <w:rPr>
                <w:sz w:val="18"/>
              </w:rPr>
              <w:t>Should</w:t>
            </w:r>
          </w:p>
        </w:tc>
      </w:tr>
      <w:tr>
        <w:tc>
          <w:tcPr>
            <w:tcW w:type="dxa" w:w="5556"/>
          </w:tcPr>
          <w:p>
            <w:pPr>
              <w:spacing w:after="0"/>
            </w:pPr>
            <w:r>
              <w:rPr>
                <w:sz w:val="18"/>
              </w:rPr>
              <w:t>Community incident map (privacy-safe)</w:t>
            </w:r>
          </w:p>
        </w:tc>
        <w:tc>
          <w:tcPr>
            <w:tcW w:type="dxa" w:w="2285"/>
          </w:tcPr>
          <w:p>
            <w:pPr>
              <w:spacing w:after="0"/>
            </w:pPr>
            <w:r>
              <w:rPr>
                <w:sz w:val="18"/>
              </w:rPr>
              <w:t>FR-07</w:t>
            </w:r>
          </w:p>
        </w:tc>
        <w:tc>
          <w:tcPr>
            <w:tcW w:type="dxa" w:w="1519"/>
          </w:tcPr>
          <w:p>
            <w:pPr>
              <w:spacing w:after="0"/>
            </w:pPr>
            <w:r>
              <w:rPr>
                <w:sz w:val="18"/>
              </w:rPr>
              <w:t>Should</w:t>
            </w:r>
          </w:p>
        </w:tc>
      </w:tr>
      <w:tr>
        <w:tc>
          <w:tcPr>
            <w:tcW w:type="dxa" w:w="5556"/>
          </w:tcPr>
          <w:p>
            <w:pPr>
              <w:spacing w:after="0"/>
            </w:pPr>
            <w:r>
              <w:rPr>
                <w:sz w:val="18"/>
              </w:rPr>
              <w:t>Alert history with delivery and read counts</w:t>
            </w:r>
          </w:p>
        </w:tc>
        <w:tc>
          <w:tcPr>
            <w:tcW w:type="dxa" w:w="2285"/>
          </w:tcPr>
          <w:p>
            <w:pPr>
              <w:spacing w:after="0"/>
            </w:pPr>
            <w:r>
              <w:rPr>
                <w:sz w:val="18"/>
              </w:rPr>
              <w:t>FR-18</w:t>
            </w:r>
          </w:p>
        </w:tc>
        <w:tc>
          <w:tcPr>
            <w:tcW w:type="dxa" w:w="1519"/>
          </w:tcPr>
          <w:p>
            <w:pPr>
              <w:spacing w:after="0"/>
            </w:pPr>
            <w:r>
              <w:rPr>
                <w:sz w:val="18"/>
              </w:rPr>
              <w:t>Should</w:t>
            </w:r>
          </w:p>
        </w:tc>
      </w:tr>
      <w:tr>
        <w:tc>
          <w:tcPr>
            <w:tcW w:type="dxa" w:w="5556"/>
          </w:tcPr>
          <w:p>
            <w:pPr>
              <w:spacing w:after="0"/>
            </w:pPr>
            <w:r>
              <w:rPr>
                <w:sz w:val="18"/>
              </w:rPr>
              <w:t>Service-delivery analytics</w:t>
            </w:r>
          </w:p>
        </w:tc>
        <w:tc>
          <w:tcPr>
            <w:tcW w:type="dxa" w:w="2285"/>
          </w:tcPr>
          <w:p>
            <w:pPr>
              <w:spacing w:after="0"/>
            </w:pPr>
            <w:r>
              <w:rPr>
                <w:sz w:val="18"/>
              </w:rPr>
              <w:t>FR-19</w:t>
            </w:r>
          </w:p>
        </w:tc>
        <w:tc>
          <w:tcPr>
            <w:tcW w:type="dxa" w:w="1519"/>
          </w:tcPr>
          <w:p>
            <w:pPr>
              <w:spacing w:after="0"/>
            </w:pPr>
            <w:r>
              <w:rPr>
                <w:sz w:val="18"/>
              </w:rPr>
              <w:t>Should</w:t>
            </w:r>
          </w:p>
        </w:tc>
      </w:tr>
      <w:tr>
        <w:tc>
          <w:tcPr>
            <w:tcW w:type="dxa" w:w="5556"/>
          </w:tcPr>
          <w:p>
            <w:pPr>
              <w:spacing w:after="0"/>
            </w:pPr>
            <w:r>
              <w:rPr>
                <w:sz w:val="18"/>
              </w:rPr>
              <w:t>Department and category configuration</w:t>
            </w:r>
          </w:p>
        </w:tc>
        <w:tc>
          <w:tcPr>
            <w:tcW w:type="dxa" w:w="2285"/>
          </w:tcPr>
          <w:p>
            <w:pPr>
              <w:spacing w:after="0"/>
            </w:pPr>
            <w:r>
              <w:rPr>
                <w:sz w:val="18"/>
              </w:rPr>
              <w:t>FR-21</w:t>
            </w:r>
          </w:p>
        </w:tc>
        <w:tc>
          <w:tcPr>
            <w:tcW w:type="dxa" w:w="1519"/>
          </w:tcPr>
          <w:p>
            <w:pPr>
              <w:spacing w:after="0"/>
            </w:pPr>
            <w:r>
              <w:rPr>
                <w:sz w:val="18"/>
              </w:rPr>
              <w:t>Should</w:t>
            </w:r>
          </w:p>
        </w:tc>
      </w:tr>
      <w:tr>
        <w:tc>
          <w:tcPr>
            <w:tcW w:type="dxa" w:w="5556"/>
          </w:tcPr>
          <w:p>
            <w:pPr>
              <w:spacing w:after="0"/>
            </w:pPr>
            <w:r>
              <w:rPr>
                <w:sz w:val="18"/>
              </w:rPr>
              <w:t>Internal staff comments; system log</w:t>
            </w:r>
          </w:p>
        </w:tc>
        <w:tc>
          <w:tcPr>
            <w:tcW w:type="dxa" w:w="2285"/>
          </w:tcPr>
          <w:p>
            <w:pPr>
              <w:spacing w:after="0"/>
            </w:pPr>
            <w:r>
              <w:rPr>
                <w:sz w:val="18"/>
              </w:rPr>
              <w:t>FR-22, FR-23</w:t>
            </w:r>
          </w:p>
        </w:tc>
        <w:tc>
          <w:tcPr>
            <w:tcW w:type="dxa" w:w="1519"/>
          </w:tcPr>
          <w:p>
            <w:pPr>
              <w:spacing w:after="0"/>
            </w:pPr>
            <w:r>
              <w:rPr>
                <w:sz w:val="18"/>
              </w:rPr>
              <w:t>Could</w:t>
            </w:r>
          </w:p>
        </w:tc>
      </w:tr>
      <w:tr>
        <w:tc>
          <w:tcPr>
            <w:tcW w:type="dxa" w:w="5556"/>
          </w:tcPr>
          <w:p>
            <w:pPr>
              <w:spacing w:after="0"/>
            </w:pPr>
            <w:r>
              <w:rPr>
                <w:sz w:val="18"/>
              </w:rPr>
              <w:t>Google sign-in; password reset; profile editing; POPIA account deletion</w:t>
            </w:r>
          </w:p>
        </w:tc>
        <w:tc>
          <w:tcPr>
            <w:tcW w:type="dxa" w:w="2285"/>
          </w:tcPr>
          <w:p>
            <w:pPr>
              <w:spacing w:after="0"/>
            </w:pPr>
            <w:r>
              <w:rPr>
                <w:sz w:val="18"/>
              </w:rPr>
              <w:t>FR-29–FR-32</w:t>
            </w:r>
          </w:p>
        </w:tc>
        <w:tc>
          <w:tcPr>
            <w:tcW w:type="dxa" w:w="1519"/>
          </w:tcPr>
          <w:p>
            <w:pPr>
              <w:spacing w:after="0"/>
            </w:pPr>
            <w:r>
              <w:rPr>
                <w:sz w:val="18"/>
              </w:rPr>
              <w:t>Should</w:t>
            </w:r>
          </w:p>
        </w:tc>
      </w:tr>
    </w:tbl>
    <w:p/>
    <w:p>
      <w:pPr>
        <w:pStyle w:val="Heading2"/>
        <w:numPr>
          <w:ilvl w:val="1"/>
          <w:numId w:val="9"/>
        </w:numPr>
      </w:pPr>
      <w:r>
        <w:t>Excluded and Deferred Capabilities</w:t>
      </w:r>
    </w:p>
    <w:p>
      <w:pPr>
        <w:pStyle w:val="Caption"/>
        <w:keepNext/>
      </w:pPr>
      <w:r>
        <w:t>Table 3: Excluded and deferred capabilities</w:t>
      </w:r>
    </w:p>
    <w:tbl>
      <w:tblPr>
        <w:tblStyle w:val="TableGrid"/>
        <w:tblW w:type="auto" w:w="0"/>
        <w:jc w:val="center"/>
        <w:tblLayout w:type="fixed"/>
        <w:tblLook w:firstColumn="1" w:firstRow="1" w:lastColumn="0" w:lastRow="0" w:noHBand="0" w:noVBand="1" w:val="04A0"/>
        <w:tblLayout w:type="fixed"/>
      </w:tblPr>
      <w:tblGrid>
        <w:gridCol w:w="3374"/>
        <w:gridCol w:w="1691"/>
        <w:gridCol w:w="4295"/>
      </w:tblGrid>
      <w:tr>
        <w:trPr>
          <w:tblHeader w:val="true"/>
        </w:trPr>
        <w:tc>
          <w:tcPr>
            <w:tcW w:type="dxa" w:w="3374"/>
            <w:shd w:val="clear" w:color="auto" w:fill="D5EBF4"/>
          </w:tcPr>
          <w:p>
            <w:pPr>
              <w:spacing w:after="0"/>
            </w:pPr>
            <w:r>
              <w:rPr>
                <w:b/>
                <w:sz w:val="18"/>
              </w:rPr>
              <w:t>Capability</w:t>
            </w:r>
          </w:p>
        </w:tc>
        <w:tc>
          <w:tcPr>
            <w:tcW w:type="dxa" w:w="1691"/>
            <w:shd w:val="clear" w:color="auto" w:fill="D5EBF4"/>
          </w:tcPr>
          <w:p>
            <w:pPr>
              <w:spacing w:after="0"/>
            </w:pPr>
            <w:r>
              <w:rPr>
                <w:b/>
                <w:sz w:val="18"/>
              </w:rPr>
              <w:t>Status</w:t>
            </w:r>
          </w:p>
        </w:tc>
        <w:tc>
          <w:tcPr>
            <w:tcW w:type="dxa" w:w="4295"/>
            <w:shd w:val="clear" w:color="auto" w:fill="D5EBF4"/>
          </w:tcPr>
          <w:p>
            <w:pPr>
              <w:spacing w:after="0"/>
            </w:pPr>
            <w:r>
              <w:rPr>
                <w:b/>
                <w:sz w:val="18"/>
              </w:rPr>
              <w:t>Reason</w:t>
            </w:r>
          </w:p>
        </w:tc>
      </w:tr>
      <w:tr>
        <w:tc>
          <w:tcPr>
            <w:tcW w:type="dxa" w:w="3374"/>
          </w:tcPr>
          <w:p>
            <w:pPr>
              <w:spacing w:after="0"/>
            </w:pPr>
            <w:r>
              <w:rPr>
                <w:sz w:val="18"/>
              </w:rPr>
              <w:t>Web push notifications via Firebase Cloud Messaging (FR-24)</w:t>
            </w:r>
          </w:p>
        </w:tc>
        <w:tc>
          <w:tcPr>
            <w:tcW w:type="dxa" w:w="1691"/>
          </w:tcPr>
          <w:p>
            <w:pPr>
              <w:spacing w:after="0"/>
            </w:pPr>
            <w:r>
              <w:rPr>
                <w:sz w:val="18"/>
              </w:rPr>
              <w:t>Deferred</w:t>
            </w:r>
          </w:p>
        </w:tc>
        <w:tc>
          <w:tcPr>
            <w:tcW w:type="dxa" w:w="4295"/>
          </w:tcPr>
          <w:p>
            <w:pPr>
              <w:spacing w:after="0"/>
            </w:pPr>
            <w:r>
              <w:rPr>
                <w:sz w:val="18"/>
              </w:rPr>
              <w:t>Could-have. Push delivery cannot be demonstrated in the emulator environment; in-app real-time notifications meet the feedback need</w:t>
            </w:r>
          </w:p>
        </w:tc>
      </w:tr>
      <w:tr>
        <w:tc>
          <w:tcPr>
            <w:tcW w:type="dxa" w:w="3374"/>
          </w:tcPr>
          <w:p>
            <w:pPr>
              <w:spacing w:after="0"/>
            </w:pPr>
            <w:r>
              <w:rPr>
                <w:sz w:val="18"/>
              </w:rPr>
              <w:t>SMS alerts for residents without data (FR-25)</w:t>
            </w:r>
          </w:p>
        </w:tc>
        <w:tc>
          <w:tcPr>
            <w:tcW w:type="dxa" w:w="1691"/>
          </w:tcPr>
          <w:p>
            <w:pPr>
              <w:spacing w:after="0"/>
            </w:pPr>
            <w:r>
              <w:rPr>
                <w:sz w:val="18"/>
              </w:rPr>
              <w:t>Deferred</w:t>
            </w:r>
          </w:p>
        </w:tc>
        <w:tc>
          <w:tcPr>
            <w:tcW w:type="dxa" w:w="4295"/>
          </w:tcPr>
          <w:p>
            <w:pPr>
              <w:spacing w:after="0"/>
            </w:pPr>
            <w:r>
              <w:rPr>
                <w:sz w:val="18"/>
              </w:rPr>
              <w:t>Paid external service (e.g. Twilio); cannot be verified in the assessment environment</w:t>
            </w:r>
          </w:p>
        </w:tc>
      </w:tr>
      <w:tr>
        <w:tc>
          <w:tcPr>
            <w:tcW w:type="dxa" w:w="3374"/>
          </w:tcPr>
          <w:p>
            <w:pPr>
              <w:spacing w:after="0"/>
            </w:pPr>
            <w:r>
              <w:rPr>
                <w:sz w:val="18"/>
              </w:rPr>
              <w:t>Offline report drafting with synchronisation (FR-27)</w:t>
            </w:r>
          </w:p>
        </w:tc>
        <w:tc>
          <w:tcPr>
            <w:tcW w:type="dxa" w:w="1691"/>
          </w:tcPr>
          <w:p>
            <w:pPr>
              <w:spacing w:after="0"/>
            </w:pPr>
            <w:r>
              <w:rPr>
                <w:sz w:val="18"/>
              </w:rPr>
              <w:t>Deferred</w:t>
            </w:r>
          </w:p>
        </w:tc>
        <w:tc>
          <w:tcPr>
            <w:tcW w:type="dxa" w:w="4295"/>
          </w:tcPr>
          <w:p>
            <w:pPr>
              <w:spacing w:after="0"/>
            </w:pPr>
            <w:r>
              <w:rPr>
                <w:sz w:val="18"/>
              </w:rPr>
              <w:t>Conflict handling for drafts and uploads exceeds the time available</w:t>
            </w:r>
          </w:p>
        </w:tc>
      </w:tr>
      <w:tr>
        <w:tc>
          <w:tcPr>
            <w:tcW w:type="dxa" w:w="3374"/>
          </w:tcPr>
          <w:p>
            <w:pPr>
              <w:spacing w:after="0"/>
            </w:pPr>
            <w:r>
              <w:rPr>
                <w:sz w:val="18"/>
              </w:rPr>
              <w:t>Scheduled (future-dated) alerts (FR-28)</w:t>
            </w:r>
          </w:p>
        </w:tc>
        <w:tc>
          <w:tcPr>
            <w:tcW w:type="dxa" w:w="1691"/>
          </w:tcPr>
          <w:p>
            <w:pPr>
              <w:spacing w:after="0"/>
            </w:pPr>
            <w:r>
              <w:rPr>
                <w:sz w:val="18"/>
              </w:rPr>
              <w:t>Deferred</w:t>
            </w:r>
          </w:p>
        </w:tc>
        <w:tc>
          <w:tcPr>
            <w:tcW w:type="dxa" w:w="4295"/>
          </w:tcPr>
          <w:p>
            <w:pPr>
              <w:spacing w:after="0"/>
            </w:pPr>
            <w:r>
              <w:rPr>
                <w:sz w:val="18"/>
              </w:rPr>
              <w:t>Low value for the MVP; immediate alerts cover the strike scenario</w:t>
            </w:r>
          </w:p>
        </w:tc>
      </w:tr>
      <w:tr>
        <w:tc>
          <w:tcPr>
            <w:tcW w:type="dxa" w:w="3374"/>
          </w:tcPr>
          <w:p>
            <w:pPr>
              <w:spacing w:after="0"/>
            </w:pPr>
            <w:r>
              <w:rPr>
                <w:sz w:val="18"/>
              </w:rPr>
              <w:t>Bulk assignment of reports</w:t>
            </w:r>
          </w:p>
        </w:tc>
        <w:tc>
          <w:tcPr>
            <w:tcW w:type="dxa" w:w="1691"/>
          </w:tcPr>
          <w:p>
            <w:pPr>
              <w:spacing w:after="0"/>
            </w:pPr>
            <w:r>
              <w:rPr>
                <w:sz w:val="18"/>
              </w:rPr>
              <w:t>Deferred</w:t>
            </w:r>
          </w:p>
        </w:tc>
        <w:tc>
          <w:tcPr>
            <w:tcW w:type="dxa" w:w="4295"/>
          </w:tcPr>
          <w:p>
            <w:pPr>
              <w:spacing w:after="0"/>
            </w:pPr>
            <w:r>
              <w:rPr>
                <w:sz w:val="18"/>
              </w:rPr>
              <w:t>Efficiency feature; single assignment covers the workflow</w:t>
            </w:r>
          </w:p>
        </w:tc>
      </w:tr>
      <w:tr>
        <w:tc>
          <w:tcPr>
            <w:tcW w:type="dxa" w:w="3374"/>
          </w:tcPr>
          <w:p>
            <w:pPr>
              <w:spacing w:after="0"/>
            </w:pPr>
            <w:r>
              <w:rPr>
                <w:sz w:val="18"/>
              </w:rPr>
              <w:t>Native Android/iOS apps</w:t>
            </w:r>
          </w:p>
        </w:tc>
        <w:tc>
          <w:tcPr>
            <w:tcW w:type="dxa" w:w="1691"/>
          </w:tcPr>
          <w:p>
            <w:pPr>
              <w:spacing w:after="0"/>
            </w:pPr>
            <w:r>
              <w:rPr>
                <w:sz w:val="18"/>
              </w:rPr>
              <w:t>Excluded</w:t>
            </w:r>
          </w:p>
        </w:tc>
        <w:tc>
          <w:tcPr>
            <w:tcW w:type="dxa" w:w="4295"/>
          </w:tcPr>
          <w:p>
            <w:pPr>
              <w:spacing w:after="0"/>
            </w:pPr>
            <w:r>
              <w:rPr>
                <w:sz w:val="18"/>
              </w:rPr>
              <w:t>The responsive web app works on low-end phones without app-store distribution</w:t>
            </w:r>
          </w:p>
        </w:tc>
      </w:tr>
      <w:tr>
        <w:tc>
          <w:tcPr>
            <w:tcW w:type="dxa" w:w="3374"/>
          </w:tcPr>
          <w:p>
            <w:pPr>
              <w:spacing w:after="0"/>
            </w:pPr>
            <w:r>
              <w:rPr>
                <w:sz w:val="18"/>
              </w:rPr>
              <w:t>Google Maps and reverse geocoding</w:t>
            </w:r>
          </w:p>
        </w:tc>
        <w:tc>
          <w:tcPr>
            <w:tcW w:type="dxa" w:w="1691"/>
          </w:tcPr>
          <w:p>
            <w:pPr>
              <w:spacing w:after="0"/>
            </w:pPr>
            <w:r>
              <w:rPr>
                <w:sz w:val="18"/>
              </w:rPr>
              <w:t>Excluded (replaced)</w:t>
            </w:r>
          </w:p>
        </w:tc>
        <w:tc>
          <w:tcPr>
            <w:tcW w:type="dxa" w:w="4295"/>
          </w:tcPr>
          <w:p>
            <w:pPr>
              <w:spacing w:after="0"/>
            </w:pPr>
            <w:r>
              <w:rPr>
                <w:sz w:val="18"/>
              </w:rPr>
              <w:t>Replaced by Leaflet and OpenStreetMap (decision D4)</w:t>
            </w:r>
          </w:p>
        </w:tc>
      </w:tr>
      <w:tr>
        <w:tc>
          <w:tcPr>
            <w:tcW w:type="dxa" w:w="3374"/>
          </w:tcPr>
          <w:p>
            <w:pPr>
              <w:spacing w:after="0"/>
            </w:pPr>
            <w:r>
              <w:rPr>
                <w:sz w:val="18"/>
              </w:rPr>
              <w:t>99.5% availability, 10 000 concurrent users, multi-region failover</w:t>
            </w:r>
          </w:p>
        </w:tc>
        <w:tc>
          <w:tcPr>
            <w:tcW w:type="dxa" w:w="1691"/>
          </w:tcPr>
          <w:p>
            <w:pPr>
              <w:spacing w:after="0"/>
            </w:pPr>
            <w:r>
              <w:rPr>
                <w:sz w:val="18"/>
              </w:rPr>
              <w:t>Excluded</w:t>
            </w:r>
          </w:p>
        </w:tc>
        <w:tc>
          <w:tcPr>
            <w:tcW w:type="dxa" w:w="4295"/>
          </w:tcPr>
          <w:p>
            <w:pPr>
              <w:spacing w:after="0"/>
            </w:pPr>
            <w:r>
              <w:rPr>
                <w:sz w:val="18"/>
              </w:rPr>
              <w:t>Production targets from Phases 1–2 that cannot be verified in a student environment</w:t>
            </w:r>
          </w:p>
        </w:tc>
      </w:tr>
      <w:tr>
        <w:tc>
          <w:tcPr>
            <w:tcW w:type="dxa" w:w="3374"/>
          </w:tcPr>
          <w:p>
            <w:pPr>
              <w:spacing w:after="0"/>
            </w:pPr>
            <w:r>
              <w:rPr>
                <w:sz w:val="18"/>
              </w:rPr>
              <w:t>AI/ML prediction</w:t>
            </w:r>
          </w:p>
        </w:tc>
        <w:tc>
          <w:tcPr>
            <w:tcW w:type="dxa" w:w="1691"/>
          </w:tcPr>
          <w:p>
            <w:pPr>
              <w:spacing w:after="0"/>
            </w:pPr>
            <w:r>
              <w:rPr>
                <w:sz w:val="18"/>
              </w:rPr>
              <w:t>Excluded</w:t>
            </w:r>
          </w:p>
        </w:tc>
        <w:tc>
          <w:tcPr>
            <w:tcW w:type="dxa" w:w="4295"/>
          </w:tcPr>
          <w:p>
            <w:pPr>
              <w:spacing w:after="0"/>
            </w:pPr>
            <w:r>
              <w:rPr>
                <w:sz w:val="18"/>
              </w:rPr>
              <w:t>Not part of the product</w:t>
            </w:r>
          </w:p>
        </w:tc>
      </w:tr>
    </w:tbl>
    <w:p/>
    <w:p>
      <w:pPr>
        <w:pStyle w:val="Heading2"/>
        <w:numPr>
          <w:ilvl w:val="1"/>
          <w:numId w:val="9"/>
        </w:numPr>
      </w:pPr>
      <w:r>
        <w:t>Known Limitations and Open Issues</w:t>
      </w:r>
    </w:p>
    <w:p>
      <w:r>
        <w:t>All capabilities listed in Section 3.2 are complete and verified. The following limitations affect included functionality:</w:t>
      </w:r>
    </w:p>
    <w:p>
      <w:pPr>
        <w:pStyle w:val="Caption"/>
        <w:keepNext/>
      </w:pPr>
      <w:r>
        <w:t>Table 4: Known limitations</w:t>
      </w:r>
    </w:p>
    <w:tbl>
      <w:tblPr>
        <w:tblStyle w:val="TableGrid"/>
        <w:tblW w:type="auto" w:w="0"/>
        <w:jc w:val="center"/>
        <w:tblLayout w:type="fixed"/>
        <w:tblLook w:firstColumn="1" w:firstRow="1" w:lastColumn="0" w:lastRow="0" w:noHBand="0" w:noVBand="1" w:val="04A0"/>
        <w:tblLayout w:type="fixed"/>
      </w:tblPr>
      <w:tblGrid>
        <w:gridCol w:w="1978"/>
        <w:gridCol w:w="2543"/>
        <w:gridCol w:w="2749"/>
        <w:gridCol w:w="2089"/>
      </w:tblGrid>
      <w:tr>
        <w:trPr>
          <w:tblHeader w:val="true"/>
        </w:trPr>
        <w:tc>
          <w:tcPr>
            <w:tcW w:type="dxa" w:w="1978"/>
            <w:shd w:val="clear" w:color="auto" w:fill="D5EBF4"/>
          </w:tcPr>
          <w:p>
            <w:pPr>
              <w:spacing w:after="0"/>
            </w:pPr>
            <w:r>
              <w:rPr>
                <w:b/>
                <w:sz w:val="18"/>
              </w:rPr>
              <w:t>Area</w:t>
            </w:r>
          </w:p>
        </w:tc>
        <w:tc>
          <w:tcPr>
            <w:tcW w:type="dxa" w:w="2543"/>
            <w:shd w:val="clear" w:color="auto" w:fill="D5EBF4"/>
          </w:tcPr>
          <w:p>
            <w:pPr>
              <w:spacing w:after="0"/>
            </w:pPr>
            <w:r>
              <w:rPr>
                <w:b/>
                <w:sz w:val="18"/>
              </w:rPr>
              <w:t>Limitation</w:t>
            </w:r>
          </w:p>
        </w:tc>
        <w:tc>
          <w:tcPr>
            <w:tcW w:type="dxa" w:w="2749"/>
            <w:shd w:val="clear" w:color="auto" w:fill="D5EBF4"/>
          </w:tcPr>
          <w:p>
            <w:pPr>
              <w:spacing w:after="0"/>
            </w:pPr>
            <w:r>
              <w:rPr>
                <w:b/>
                <w:sz w:val="18"/>
              </w:rPr>
              <w:t>Impact</w:t>
            </w:r>
          </w:p>
        </w:tc>
        <w:tc>
          <w:tcPr>
            <w:tcW w:type="dxa" w:w="2089"/>
            <w:shd w:val="clear" w:color="auto" w:fill="D5EBF4"/>
          </w:tcPr>
          <w:p>
            <w:pPr>
              <w:spacing w:after="0"/>
            </w:pPr>
            <w:r>
              <w:rPr>
                <w:b/>
                <w:sz w:val="18"/>
              </w:rPr>
              <w:t>Status / workaround</w:t>
            </w:r>
          </w:p>
        </w:tc>
      </w:tr>
      <w:tr>
        <w:tc>
          <w:tcPr>
            <w:tcW w:type="dxa" w:w="1978"/>
          </w:tcPr>
          <w:p>
            <w:pPr>
              <w:spacing w:after="0"/>
            </w:pPr>
            <w:r>
              <w:rPr>
                <w:sz w:val="18"/>
              </w:rPr>
              <w:t>Notifications (FR-15)</w:t>
            </w:r>
          </w:p>
        </w:tc>
        <w:tc>
          <w:tcPr>
            <w:tcW w:type="dxa" w:w="2543"/>
          </w:tcPr>
          <w:p>
            <w:pPr>
              <w:spacing w:after="0"/>
            </w:pPr>
            <w:r>
              <w:rPr>
                <w:sz w:val="18"/>
              </w:rPr>
              <w:t>Notifications are in-app only</w:t>
            </w:r>
          </w:p>
        </w:tc>
        <w:tc>
          <w:tcPr>
            <w:tcW w:type="dxa" w:w="2749"/>
          </w:tcPr>
          <w:p>
            <w:pPr>
              <w:spacing w:after="0"/>
            </w:pPr>
            <w:r>
              <w:rPr>
                <w:sz w:val="18"/>
              </w:rPr>
              <w:t>A resident who does not open CivicLink is not alerted</w:t>
            </w:r>
          </w:p>
        </w:tc>
        <w:tc>
          <w:tcPr>
            <w:tcW w:type="dxa" w:w="2089"/>
          </w:tcPr>
          <w:p>
            <w:pPr>
              <w:spacing w:after="0"/>
            </w:pPr>
            <w:r>
              <w:rPr>
                <w:sz w:val="18"/>
              </w:rPr>
              <w:t>Push (FR-24) and SMS (FR-25) deferred</w:t>
            </w:r>
          </w:p>
        </w:tc>
      </w:tr>
      <w:tr>
        <w:tc>
          <w:tcPr>
            <w:tcW w:type="dxa" w:w="1978"/>
          </w:tcPr>
          <w:p>
            <w:pPr>
              <w:spacing w:after="0"/>
            </w:pPr>
            <w:r>
              <w:rPr>
                <w:sz w:val="18"/>
              </w:rPr>
              <w:t>Scheduled rules (FR-13, FR-14)</w:t>
            </w:r>
          </w:p>
        </w:tc>
        <w:tc>
          <w:tcPr>
            <w:tcW w:type="dxa" w:w="2543"/>
          </w:tcPr>
          <w:p>
            <w:pPr>
              <w:spacing w:after="0"/>
            </w:pPr>
            <w:r>
              <w:rPr>
                <w:sz w:val="18"/>
              </w:rPr>
              <w:t>The local emulator does not fire scheduled functions</w:t>
            </w:r>
          </w:p>
        </w:tc>
        <w:tc>
          <w:tcPr>
            <w:tcW w:type="dxa" w:w="2749"/>
          </w:tcPr>
          <w:p>
            <w:pPr>
              <w:spacing w:after="0"/>
            </w:pPr>
            <w:r>
              <w:rPr>
                <w:sz w:val="18"/>
              </w:rPr>
              <w:t>In the local demo, escalation and auto-close run when an administrator selects "Run SLA &amp; auto-close now"</w:t>
            </w:r>
          </w:p>
        </w:tc>
        <w:tc>
          <w:tcPr>
            <w:tcW w:type="dxa" w:w="2089"/>
          </w:tcPr>
          <w:p>
            <w:pPr>
              <w:spacing w:after="0"/>
            </w:pPr>
            <w:r>
              <w:rPr>
                <w:sz w:val="18"/>
              </w:rPr>
              <w:t>When deployed, Cloud Scheduler runs them hourly and daily</w:t>
            </w:r>
          </w:p>
        </w:tc>
      </w:tr>
      <w:tr>
        <w:tc>
          <w:tcPr>
            <w:tcW w:type="dxa" w:w="1978"/>
          </w:tcPr>
          <w:p>
            <w:pPr>
              <w:spacing w:after="0"/>
            </w:pPr>
            <w:r>
              <w:rPr>
                <w:sz w:val="18"/>
              </w:rPr>
              <w:t>Alert broadcast (FR-16)</w:t>
            </w:r>
          </w:p>
        </w:tc>
        <w:tc>
          <w:tcPr>
            <w:tcW w:type="dxa" w:w="2543"/>
          </w:tcPr>
          <w:p>
            <w:pPr>
              <w:spacing w:after="0"/>
            </w:pPr>
            <w:r>
              <w:rPr>
                <w:sz w:val="18"/>
              </w:rPr>
              <w:t>Delivery records are written in batches after the alert document, not in one transaction</w:t>
            </w:r>
          </w:p>
        </w:tc>
        <w:tc>
          <w:tcPr>
            <w:tcW w:type="dxa" w:w="2749"/>
          </w:tcPr>
          <w:p>
            <w:pPr>
              <w:spacing w:after="0"/>
            </w:pPr>
            <w:r>
              <w:rPr>
                <w:sz w:val="18"/>
              </w:rPr>
              <w:t>A failure during a broadcast could leave the recipient count higher than the stored delivery records</w:t>
            </w:r>
          </w:p>
        </w:tc>
        <w:tc>
          <w:tcPr>
            <w:tcW w:type="dxa" w:w="2089"/>
          </w:tcPr>
          <w:p>
            <w:pPr>
              <w:spacing w:after="0"/>
            </w:pPr>
            <w:r>
              <w:rPr>
                <w:sz w:val="18"/>
              </w:rPr>
              <w:t>Acceptable at municipal scale; records can be re-derived from the suburb query</w:t>
            </w:r>
          </w:p>
        </w:tc>
      </w:tr>
      <w:tr>
        <w:tc>
          <w:tcPr>
            <w:tcW w:type="dxa" w:w="1978"/>
          </w:tcPr>
          <w:p>
            <w:pPr>
              <w:spacing w:after="0"/>
            </w:pPr>
            <w:r>
              <w:rPr>
                <w:sz w:val="18"/>
              </w:rPr>
              <w:t>Location (FR-03)</w:t>
            </w:r>
          </w:p>
        </w:tc>
        <w:tc>
          <w:tcPr>
            <w:tcW w:type="dxa" w:w="2543"/>
          </w:tcPr>
          <w:p>
            <w:pPr>
              <w:spacing w:after="0"/>
            </w:pPr>
            <w:r>
              <w:rPr>
                <w:sz w:val="18"/>
              </w:rPr>
              <w:t>No street address; location is a map pin plus suburb and optional landmark</w:t>
            </w:r>
          </w:p>
        </w:tc>
        <w:tc>
          <w:tcPr>
            <w:tcW w:type="dxa" w:w="2749"/>
          </w:tcPr>
          <w:p>
            <w:pPr>
              <w:spacing w:after="0"/>
            </w:pPr>
            <w:r>
              <w:rPr>
                <w:sz w:val="18"/>
              </w:rPr>
              <w:t>Officials rely on the pin and the landmark text</w:t>
            </w:r>
          </w:p>
        </w:tc>
        <w:tc>
          <w:tcPr>
            <w:tcW w:type="dxa" w:w="2089"/>
          </w:tcPr>
          <w:p>
            <w:pPr>
              <w:spacing w:after="0"/>
            </w:pPr>
            <w:r>
              <w:rPr>
                <w:sz w:val="18"/>
              </w:rPr>
              <w:t>Deliberate (decision D4)</w:t>
            </w:r>
          </w:p>
        </w:tc>
      </w:tr>
    </w:tbl>
    <w:p/>
    <w:p>
      <w:pPr>
        <w:pStyle w:val="Heading1"/>
        <w:numPr>
          <w:ilvl w:val="0"/>
          <w:numId w:val="9"/>
        </w:numPr>
      </w:pPr>
      <w:r>
        <w:t>SYSTEM REQUIREMENTS SPECIFICATION</w:t>
      </w:r>
    </w:p>
    <w:p>
      <w:r>
        <w:t xml:space="preserve">The requirements below are the consolidated baseline that controls the project. Changes from the Phase 1–3 documents (for example the added Administrator actor, the eight-state report lifecycle and the rewritten non-functional requirements) are recorded as change requests CR-01 to CR-28 in </w:t>
      </w:r>
      <w:r>
        <w:rPr>
          <w:rFonts w:ascii="Consolas" w:hAnsi="Consolas"/>
          <w:sz w:val="18"/>
        </w:rPr>
        <w:t>docs/baseline/change-log.md</w:t>
      </w:r>
      <w:r>
        <w:t>.</w:t>
      </w:r>
    </w:p>
    <w:p>
      <w:pPr>
        <w:pStyle w:val="Heading2"/>
        <w:numPr>
          <w:ilvl w:val="1"/>
          <w:numId w:val="9"/>
        </w:numPr>
      </w:pPr>
      <w:r>
        <w:t>Functional Requirements</w:t>
      </w:r>
    </w:p>
    <w:p>
      <w:pPr>
        <w:pStyle w:val="Caption"/>
        <w:keepNext/>
      </w:pPr>
      <w:r>
        <w:t>Table 5: Functional requirements</w:t>
      </w:r>
    </w:p>
    <w:tbl>
      <w:tblPr>
        <w:tblStyle w:val="TableGrid"/>
        <w:tblW w:type="auto" w:w="0"/>
        <w:jc w:val="center"/>
        <w:tblLayout w:type="fixed"/>
        <w:tblLook w:firstColumn="1" w:firstRow="1" w:lastColumn="0" w:lastRow="0" w:noHBand="0" w:noVBand="1" w:val="04A0"/>
        <w:tblLayout w:type="fixed"/>
      </w:tblPr>
      <w:tblGrid>
        <w:gridCol w:w="940"/>
        <w:gridCol w:w="5614"/>
        <w:gridCol w:w="1449"/>
        <w:gridCol w:w="1358"/>
      </w:tblGrid>
      <w:tr>
        <w:trPr>
          <w:tblHeader w:val="true"/>
        </w:trPr>
        <w:tc>
          <w:tcPr>
            <w:tcW w:type="dxa" w:w="940"/>
            <w:shd w:val="clear" w:color="auto" w:fill="D5EBF4"/>
          </w:tcPr>
          <w:p>
            <w:pPr>
              <w:spacing w:after="0"/>
            </w:pPr>
            <w:r>
              <w:rPr>
                <w:b/>
                <w:sz w:val="18"/>
              </w:rPr>
              <w:t>ID</w:t>
            </w:r>
          </w:p>
        </w:tc>
        <w:tc>
          <w:tcPr>
            <w:tcW w:type="dxa" w:w="5614"/>
            <w:shd w:val="clear" w:color="auto" w:fill="D5EBF4"/>
          </w:tcPr>
          <w:p>
            <w:pPr>
              <w:spacing w:after="0"/>
            </w:pPr>
            <w:r>
              <w:rPr>
                <w:b/>
                <w:sz w:val="18"/>
              </w:rPr>
              <w:t>Functional requirement</w:t>
            </w:r>
          </w:p>
        </w:tc>
        <w:tc>
          <w:tcPr>
            <w:tcW w:type="dxa" w:w="1449"/>
            <w:shd w:val="clear" w:color="auto" w:fill="D5EBF4"/>
          </w:tcPr>
          <w:p>
            <w:pPr>
              <w:spacing w:after="0"/>
            </w:pPr>
            <w:r>
              <w:rPr>
                <w:b/>
                <w:sz w:val="18"/>
              </w:rPr>
              <w:t>Priority</w:t>
            </w:r>
          </w:p>
        </w:tc>
        <w:tc>
          <w:tcPr>
            <w:tcW w:type="dxa" w:w="1358"/>
            <w:shd w:val="clear" w:color="auto" w:fill="D5EBF4"/>
          </w:tcPr>
          <w:p>
            <w:pPr>
              <w:spacing w:after="0"/>
            </w:pPr>
            <w:r>
              <w:rPr>
                <w:b/>
                <w:sz w:val="18"/>
              </w:rPr>
              <w:t>Release status</w:t>
            </w:r>
          </w:p>
        </w:tc>
      </w:tr>
      <w:tr>
        <w:tc>
          <w:tcPr>
            <w:tcW w:type="dxa" w:w="940"/>
          </w:tcPr>
          <w:p>
            <w:pPr>
              <w:spacing w:after="0"/>
            </w:pPr>
            <w:r>
              <w:rPr>
                <w:sz w:val="18"/>
              </w:rPr>
              <w:t>FR-01</w:t>
            </w:r>
          </w:p>
        </w:tc>
        <w:tc>
          <w:tcPr>
            <w:tcW w:type="dxa" w:w="5614"/>
          </w:tcPr>
          <w:p>
            <w:pPr>
              <w:spacing w:after="0"/>
            </w:pPr>
            <w:r>
              <w:rPr>
                <w:sz w:val="18"/>
              </w:rPr>
              <w:t>The system shall allow a member of the public to register as a Resident with name, email, password, suburb and optional phone number.</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FR-02</w:t>
            </w:r>
          </w:p>
        </w:tc>
        <w:tc>
          <w:tcPr>
            <w:tcW w:type="dxa" w:w="5614"/>
          </w:tcPr>
          <w:p>
            <w:pPr>
              <w:spacing w:after="0"/>
            </w:pPr>
            <w:r>
              <w:rPr>
                <w:sz w:val="18"/>
              </w:rPr>
              <w:t>The system shall authenticate users by email and password and route each user to the interface for their role; deactivated accounts are refused.</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FR-03</w:t>
            </w:r>
          </w:p>
        </w:tc>
        <w:tc>
          <w:tcPr>
            <w:tcW w:type="dxa" w:w="5614"/>
          </w:tcPr>
          <w:p>
            <w:pPr>
              <w:spacing w:after="0"/>
            </w:pPr>
            <w:r>
              <w:rPr>
                <w:sz w:val="18"/>
              </w:rPr>
              <w:t>The system shall allow an authenticated Resident to submit an incident report with category, description, map location, suburb, optional landmark, severity and 0–3 photos.</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FR-04</w:t>
            </w:r>
          </w:p>
        </w:tc>
        <w:tc>
          <w:tcPr>
            <w:tcW w:type="dxa" w:w="5614"/>
          </w:tcPr>
          <w:p>
            <w:pPr>
              <w:spacing w:after="0"/>
            </w:pPr>
            <w:r>
              <w:rPr>
                <w:sz w:val="18"/>
              </w:rPr>
              <w:t>The system shall give each accepted report a unique reference (CL-YYYY-NNNN), status Submitted, a default department derived from its category, and a first history entry.</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FR-05</w:t>
            </w:r>
          </w:p>
        </w:tc>
        <w:tc>
          <w:tcPr>
            <w:tcW w:type="dxa" w:w="5614"/>
          </w:tcPr>
          <w:p>
            <w:pPr>
              <w:spacing w:after="0"/>
            </w:pPr>
            <w:r>
              <w:rPr>
                <w:sz w:val="18"/>
              </w:rPr>
              <w:t>The system shall detect when a new report duplicates an open report, link it to the original and tell the resident the original's reference.</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FR-06</w:t>
            </w:r>
          </w:p>
        </w:tc>
        <w:tc>
          <w:tcPr>
            <w:tcW w:type="dxa" w:w="5614"/>
          </w:tcPr>
          <w:p>
            <w:pPr>
              <w:spacing w:after="0"/>
            </w:pPr>
            <w:r>
              <w:rPr>
                <w:sz w:val="18"/>
              </w:rPr>
              <w:t>The system shall allow a Resident to list their reports (All / Active / Resolved) and view a report's details and full status timeline.</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FR-07</w:t>
            </w:r>
          </w:p>
        </w:tc>
        <w:tc>
          <w:tcPr>
            <w:tcW w:type="dxa" w:w="5614"/>
          </w:tcPr>
          <w:p>
            <w:pPr>
              <w:spacing w:after="0"/>
            </w:pPr>
            <w:r>
              <w:rPr>
                <w:sz w:val="18"/>
              </w:rPr>
              <w:t>The system shall show a community map of open reports with category filtering, without revealing reporter identity or photos.</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FR-08</w:t>
            </w:r>
          </w:p>
        </w:tc>
        <w:tc>
          <w:tcPr>
            <w:tcW w:type="dxa" w:w="5614"/>
          </w:tcPr>
          <w:p>
            <w:pPr>
              <w:spacing w:after="0"/>
            </w:pPr>
            <w:r>
              <w:rPr>
                <w:sz w:val="18"/>
              </w:rPr>
              <w:t>The system shall allow an Official to view the report queue with filters (status, category, department, severity, unassigned) and search by reference.</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FR-09</w:t>
            </w:r>
          </w:p>
        </w:tc>
        <w:tc>
          <w:tcPr>
            <w:tcW w:type="dxa" w:w="5614"/>
          </w:tcPr>
          <w:p>
            <w:pPr>
              <w:spacing w:after="0"/>
            </w:pPr>
            <w:r>
              <w:rPr>
                <w:sz w:val="18"/>
              </w:rPr>
              <w:t>The system shall allow an Official to triage a Submitted report (to Under Review, confirming or changing the department) or reject it with a reason.</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FR-10</w:t>
            </w:r>
          </w:p>
        </w:tc>
        <w:tc>
          <w:tcPr>
            <w:tcW w:type="dxa" w:w="5614"/>
          </w:tcPr>
          <w:p>
            <w:pPr>
              <w:spacing w:after="0"/>
            </w:pPr>
            <w:r>
              <w:rPr>
                <w:sz w:val="18"/>
              </w:rPr>
              <w:t>The system shall allow an Official to assign a report under review or escalated to an active field worker in its department, creating a task and moving the report to In Progress.</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FR-11</w:t>
            </w:r>
          </w:p>
        </w:tc>
        <w:tc>
          <w:tcPr>
            <w:tcW w:type="dxa" w:w="5614"/>
          </w:tcPr>
          <w:p>
            <w:pPr>
              <w:spacing w:after="0"/>
            </w:pPr>
            <w:r>
              <w:rPr>
                <w:sz w:val="18"/>
              </w:rPr>
              <w:t>The system shall allow a Field Worker to view, accept, start and complete their tasks; completion requires notes and at least one proof photo and resolves the report.</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FR-12</w:t>
            </w:r>
          </w:p>
        </w:tc>
        <w:tc>
          <w:tcPr>
            <w:tcW w:type="dxa" w:w="5614"/>
          </w:tcPr>
          <w:p>
            <w:pPr>
              <w:spacing w:after="0"/>
            </w:pPr>
            <w:r>
              <w:rPr>
                <w:sz w:val="18"/>
              </w:rPr>
              <w:t>The system shall allow an Official to reassign an active task to another eligible field worker.</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FR-13</w:t>
            </w:r>
          </w:p>
        </w:tc>
        <w:tc>
          <w:tcPr>
            <w:tcW w:type="dxa" w:w="5614"/>
          </w:tcPr>
          <w:p>
            <w:pPr>
              <w:spacing w:after="0"/>
            </w:pPr>
            <w:r>
              <w:rPr>
                <w:sz w:val="18"/>
              </w:rPr>
              <w:t>The system shall escalate open reports that exceed their department's SLA hours automatically, and allow an Official to escalate manually with a reason.</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FR-14</w:t>
            </w:r>
          </w:p>
        </w:tc>
        <w:tc>
          <w:tcPr>
            <w:tcW w:type="dxa" w:w="5614"/>
          </w:tcPr>
          <w:p>
            <w:pPr>
              <w:spacing w:after="0"/>
            </w:pPr>
            <w:r>
              <w:rPr>
                <w:sz w:val="18"/>
              </w:rPr>
              <w:t>The system shall allow the reporting Resident to confirm or reopen a resolved report within 7 days, and shall close resolved reports automatically after 7 days.</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FR-15</w:t>
            </w:r>
          </w:p>
        </w:tc>
        <w:tc>
          <w:tcPr>
            <w:tcW w:type="dxa" w:w="5614"/>
          </w:tcPr>
          <w:p>
            <w:pPr>
              <w:spacing w:after="0"/>
            </w:pPr>
            <w:r>
              <w:rPr>
                <w:sz w:val="18"/>
              </w:rPr>
              <w:t>The system shall notify users in-app in real time: residents on every status change of their (or a followed) report, officials on new reports, and field workers on assignment.</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FR-16</w:t>
            </w:r>
          </w:p>
        </w:tc>
        <w:tc>
          <w:tcPr>
            <w:tcW w:type="dxa" w:w="5614"/>
          </w:tcPr>
          <w:p>
            <w:pPr>
              <w:spacing w:after="0"/>
            </w:pPr>
            <w:r>
              <w:rPr>
                <w:sz w:val="18"/>
              </w:rPr>
              <w:t>The system shall allow an Official to broadcast an alert with type, title, message, target suburbs (or all) and expiry, recording a delivery record for each targeted resident.</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FR-17</w:t>
            </w:r>
          </w:p>
        </w:tc>
        <w:tc>
          <w:tcPr>
            <w:tcW w:type="dxa" w:w="5614"/>
          </w:tcPr>
          <w:p>
            <w:pPr>
              <w:spacing w:after="0"/>
            </w:pPr>
            <w:r>
              <w:rPr>
                <w:sz w:val="18"/>
              </w:rPr>
              <w:t>The system shall show Residents the active, unexpired alerts for their suburb, emergencies first, with unread markers and read receipts.</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FR-18</w:t>
            </w:r>
          </w:p>
        </w:tc>
        <w:tc>
          <w:tcPr>
            <w:tcW w:type="dxa" w:w="5614"/>
          </w:tcPr>
          <w:p>
            <w:pPr>
              <w:spacing w:after="0"/>
            </w:pPr>
            <w:r>
              <w:rPr>
                <w:sz w:val="18"/>
              </w:rPr>
              <w:t>The system shall allow an Official to view sent alerts with recipient and read counts and to end an alert early.</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FR-19</w:t>
            </w:r>
          </w:p>
        </w:tc>
        <w:tc>
          <w:tcPr>
            <w:tcW w:type="dxa" w:w="5614"/>
          </w:tcPr>
          <w:p>
            <w:pPr>
              <w:spacing w:after="0"/>
            </w:pPr>
            <w:r>
              <w:rPr>
                <w:sz w:val="18"/>
              </w:rPr>
              <w:t>The system shall show Officials an analytics dashboard computed from live data: open reports, resolution time, SLA compliance per department and the daily trend.</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FR-20</w:t>
            </w:r>
          </w:p>
        </w:tc>
        <w:tc>
          <w:tcPr>
            <w:tcW w:type="dxa" w:w="5614"/>
          </w:tcPr>
          <w:p>
            <w:pPr>
              <w:spacing w:after="0"/>
            </w:pPr>
            <w:r>
              <w:rPr>
                <w:sz w:val="18"/>
              </w:rPr>
              <w:t>The system shall allow an Administrator to create staff accounts, change roles and deactivate or reactivate accounts.</w:t>
            </w:r>
          </w:p>
        </w:tc>
        <w:tc>
          <w:tcPr>
            <w:tcW w:type="dxa" w:w="1449"/>
          </w:tcPr>
          <w:p>
            <w:pPr>
              <w:spacing w:after="0"/>
            </w:pPr>
            <w:r>
              <w:rPr>
                <w:sz w:val="18"/>
              </w:rPr>
              <w:t>Must Have</w:t>
            </w:r>
          </w:p>
        </w:tc>
        <w:tc>
          <w:tcPr>
            <w:tcW w:type="dxa" w:w="1358"/>
          </w:tcPr>
          <w:p>
            <w:pPr>
              <w:spacing w:after="0"/>
            </w:pPr>
            <w:r>
              <w:rPr>
                <w:sz w:val="18"/>
              </w:rPr>
              <w:t>Included</w:t>
            </w:r>
          </w:p>
        </w:tc>
      </w:tr>
      <w:tr>
        <w:tc>
          <w:tcPr>
            <w:tcW w:type="dxa" w:w="940"/>
          </w:tcPr>
          <w:p>
            <w:pPr>
              <w:spacing w:after="0"/>
            </w:pPr>
            <w:r>
              <w:rPr>
                <w:sz w:val="18"/>
              </w:rPr>
              <w:t>FR-21</w:t>
            </w:r>
          </w:p>
        </w:tc>
        <w:tc>
          <w:tcPr>
            <w:tcW w:type="dxa" w:w="5614"/>
          </w:tcPr>
          <w:p>
            <w:pPr>
              <w:spacing w:after="0"/>
            </w:pPr>
            <w:r>
              <w:rPr>
                <w:sz w:val="18"/>
              </w:rPr>
              <w:t>The system shall allow an Administrator to manage departments (name, SLA hours, active) and categories (name, default department, active).</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FR-22</w:t>
            </w:r>
          </w:p>
        </w:tc>
        <w:tc>
          <w:tcPr>
            <w:tcW w:type="dxa" w:w="5614"/>
          </w:tcPr>
          <w:p>
            <w:pPr>
              <w:spacing w:after="0"/>
            </w:pPr>
            <w:r>
              <w:rPr>
                <w:sz w:val="18"/>
              </w:rPr>
              <w:t>The system shall allow Officials and Field Workers to add internal comments to a report that residents cannot see.</w:t>
            </w:r>
          </w:p>
        </w:tc>
        <w:tc>
          <w:tcPr>
            <w:tcW w:type="dxa" w:w="1449"/>
          </w:tcPr>
          <w:p>
            <w:pPr>
              <w:spacing w:after="0"/>
            </w:pPr>
            <w:r>
              <w:rPr>
                <w:sz w:val="18"/>
              </w:rPr>
              <w:t>Could Have</w:t>
            </w:r>
          </w:p>
        </w:tc>
        <w:tc>
          <w:tcPr>
            <w:tcW w:type="dxa" w:w="1358"/>
          </w:tcPr>
          <w:p>
            <w:pPr>
              <w:spacing w:after="0"/>
            </w:pPr>
            <w:r>
              <w:rPr>
                <w:sz w:val="18"/>
              </w:rPr>
              <w:t>Included</w:t>
            </w:r>
          </w:p>
        </w:tc>
      </w:tr>
      <w:tr>
        <w:tc>
          <w:tcPr>
            <w:tcW w:type="dxa" w:w="940"/>
          </w:tcPr>
          <w:p>
            <w:pPr>
              <w:spacing w:after="0"/>
            </w:pPr>
            <w:r>
              <w:rPr>
                <w:sz w:val="18"/>
              </w:rPr>
              <w:t>FR-23</w:t>
            </w:r>
          </w:p>
        </w:tc>
        <w:tc>
          <w:tcPr>
            <w:tcW w:type="dxa" w:w="5614"/>
          </w:tcPr>
          <w:p>
            <w:pPr>
              <w:spacing w:after="0"/>
            </w:pPr>
            <w:r>
              <w:rPr>
                <w:sz w:val="18"/>
              </w:rPr>
              <w:t>The system shall record significant system events and show them to Administrators.</w:t>
            </w:r>
          </w:p>
        </w:tc>
        <w:tc>
          <w:tcPr>
            <w:tcW w:type="dxa" w:w="1449"/>
          </w:tcPr>
          <w:p>
            <w:pPr>
              <w:spacing w:after="0"/>
            </w:pPr>
            <w:r>
              <w:rPr>
                <w:sz w:val="18"/>
              </w:rPr>
              <w:t>Could Have</w:t>
            </w:r>
          </w:p>
        </w:tc>
        <w:tc>
          <w:tcPr>
            <w:tcW w:type="dxa" w:w="1358"/>
          </w:tcPr>
          <w:p>
            <w:pPr>
              <w:spacing w:after="0"/>
            </w:pPr>
            <w:r>
              <w:rPr>
                <w:sz w:val="18"/>
              </w:rPr>
              <w:t>Included</w:t>
            </w:r>
          </w:p>
        </w:tc>
      </w:tr>
      <w:tr>
        <w:tc>
          <w:tcPr>
            <w:tcW w:type="dxa" w:w="940"/>
          </w:tcPr>
          <w:p>
            <w:pPr>
              <w:spacing w:after="0"/>
            </w:pPr>
            <w:r>
              <w:rPr>
                <w:sz w:val="18"/>
              </w:rPr>
              <w:t>FR-24</w:t>
            </w:r>
          </w:p>
        </w:tc>
        <w:tc>
          <w:tcPr>
            <w:tcW w:type="dxa" w:w="5614"/>
          </w:tcPr>
          <w:p>
            <w:pPr>
              <w:spacing w:after="0"/>
            </w:pPr>
            <w:r>
              <w:rPr>
                <w:sz w:val="18"/>
              </w:rPr>
              <w:t>The system shall send web push notifications for status changes and alerts.</w:t>
            </w:r>
          </w:p>
        </w:tc>
        <w:tc>
          <w:tcPr>
            <w:tcW w:type="dxa" w:w="1449"/>
          </w:tcPr>
          <w:p>
            <w:pPr>
              <w:spacing w:after="0"/>
            </w:pPr>
            <w:r>
              <w:rPr>
                <w:sz w:val="18"/>
              </w:rPr>
              <w:t>Could Have</w:t>
            </w:r>
          </w:p>
        </w:tc>
        <w:tc>
          <w:tcPr>
            <w:tcW w:type="dxa" w:w="1358"/>
          </w:tcPr>
          <w:p>
            <w:pPr>
              <w:spacing w:after="0"/>
            </w:pPr>
            <w:r>
              <w:rPr>
                <w:sz w:val="18"/>
              </w:rPr>
              <w:t>Deferred</w:t>
            </w:r>
          </w:p>
        </w:tc>
      </w:tr>
      <w:tr>
        <w:tc>
          <w:tcPr>
            <w:tcW w:type="dxa" w:w="940"/>
          </w:tcPr>
          <w:p>
            <w:pPr>
              <w:spacing w:after="0"/>
            </w:pPr>
            <w:r>
              <w:rPr>
                <w:sz w:val="18"/>
              </w:rPr>
              <w:t>FR-25</w:t>
            </w:r>
          </w:p>
        </w:tc>
        <w:tc>
          <w:tcPr>
            <w:tcW w:type="dxa" w:w="5614"/>
          </w:tcPr>
          <w:p>
            <w:pPr>
              <w:spacing w:after="0"/>
            </w:pPr>
            <w:r>
              <w:rPr>
                <w:sz w:val="18"/>
              </w:rPr>
              <w:t>The system shall send SMS alerts to residents without data access.</w:t>
            </w:r>
          </w:p>
        </w:tc>
        <w:tc>
          <w:tcPr>
            <w:tcW w:type="dxa" w:w="1449"/>
          </w:tcPr>
          <w:p>
            <w:pPr>
              <w:spacing w:after="0"/>
            </w:pPr>
            <w:r>
              <w:rPr>
                <w:sz w:val="18"/>
              </w:rPr>
              <w:t>Won't Have (this release)</w:t>
            </w:r>
          </w:p>
        </w:tc>
        <w:tc>
          <w:tcPr>
            <w:tcW w:type="dxa" w:w="1358"/>
          </w:tcPr>
          <w:p>
            <w:pPr>
              <w:spacing w:after="0"/>
            </w:pPr>
            <w:r>
              <w:rPr>
                <w:sz w:val="18"/>
              </w:rPr>
              <w:t>Deferred</w:t>
            </w:r>
          </w:p>
        </w:tc>
      </w:tr>
      <w:tr>
        <w:tc>
          <w:tcPr>
            <w:tcW w:type="dxa" w:w="940"/>
          </w:tcPr>
          <w:p>
            <w:pPr>
              <w:spacing w:after="0"/>
            </w:pPr>
            <w:r>
              <w:rPr>
                <w:sz w:val="18"/>
              </w:rPr>
              <w:t>FR-26</w:t>
            </w:r>
          </w:p>
        </w:tc>
        <w:tc>
          <w:tcPr>
            <w:tcW w:type="dxa" w:w="5614"/>
          </w:tcPr>
          <w:p>
            <w:pPr>
              <w:spacing w:after="0"/>
            </w:pPr>
            <w:r>
              <w:rPr>
                <w:sz w:val="18"/>
              </w:rPr>
              <w:t>The system shall allow an Official to export the filtered report queue as CSV.</w:t>
            </w:r>
          </w:p>
        </w:tc>
        <w:tc>
          <w:tcPr>
            <w:tcW w:type="dxa" w:w="1449"/>
          </w:tcPr>
          <w:p>
            <w:pPr>
              <w:spacing w:after="0"/>
            </w:pPr>
            <w:r>
              <w:rPr>
                <w:sz w:val="18"/>
              </w:rPr>
              <w:t>Could Have</w:t>
            </w:r>
          </w:p>
        </w:tc>
        <w:tc>
          <w:tcPr>
            <w:tcW w:type="dxa" w:w="1358"/>
          </w:tcPr>
          <w:p>
            <w:pPr>
              <w:spacing w:after="0"/>
            </w:pPr>
            <w:r>
              <w:rPr>
                <w:sz w:val="18"/>
              </w:rPr>
              <w:t>Included</w:t>
            </w:r>
          </w:p>
        </w:tc>
      </w:tr>
      <w:tr>
        <w:tc>
          <w:tcPr>
            <w:tcW w:type="dxa" w:w="940"/>
          </w:tcPr>
          <w:p>
            <w:pPr>
              <w:spacing w:after="0"/>
            </w:pPr>
            <w:r>
              <w:rPr>
                <w:sz w:val="18"/>
              </w:rPr>
              <w:t>FR-27</w:t>
            </w:r>
          </w:p>
        </w:tc>
        <w:tc>
          <w:tcPr>
            <w:tcW w:type="dxa" w:w="5614"/>
          </w:tcPr>
          <w:p>
            <w:pPr>
              <w:spacing w:after="0"/>
            </w:pPr>
            <w:r>
              <w:rPr>
                <w:sz w:val="18"/>
              </w:rPr>
              <w:t>The system shall let residents draft reports offline and submit them when connectivity returns.</w:t>
            </w:r>
          </w:p>
        </w:tc>
        <w:tc>
          <w:tcPr>
            <w:tcW w:type="dxa" w:w="1449"/>
          </w:tcPr>
          <w:p>
            <w:pPr>
              <w:spacing w:after="0"/>
            </w:pPr>
            <w:r>
              <w:rPr>
                <w:sz w:val="18"/>
              </w:rPr>
              <w:t>Won't Have (this release)</w:t>
            </w:r>
          </w:p>
        </w:tc>
        <w:tc>
          <w:tcPr>
            <w:tcW w:type="dxa" w:w="1358"/>
          </w:tcPr>
          <w:p>
            <w:pPr>
              <w:spacing w:after="0"/>
            </w:pPr>
            <w:r>
              <w:rPr>
                <w:sz w:val="18"/>
              </w:rPr>
              <w:t>Deferred</w:t>
            </w:r>
          </w:p>
        </w:tc>
      </w:tr>
      <w:tr>
        <w:tc>
          <w:tcPr>
            <w:tcW w:type="dxa" w:w="940"/>
          </w:tcPr>
          <w:p>
            <w:pPr>
              <w:spacing w:after="0"/>
            </w:pPr>
            <w:r>
              <w:rPr>
                <w:sz w:val="18"/>
              </w:rPr>
              <w:t>FR-28</w:t>
            </w:r>
          </w:p>
        </w:tc>
        <w:tc>
          <w:tcPr>
            <w:tcW w:type="dxa" w:w="5614"/>
          </w:tcPr>
          <w:p>
            <w:pPr>
              <w:spacing w:after="0"/>
            </w:pPr>
            <w:r>
              <w:rPr>
                <w:sz w:val="18"/>
              </w:rPr>
              <w:t>The system shall allow alerts to be scheduled for a future time.</w:t>
            </w:r>
          </w:p>
        </w:tc>
        <w:tc>
          <w:tcPr>
            <w:tcW w:type="dxa" w:w="1449"/>
          </w:tcPr>
          <w:p>
            <w:pPr>
              <w:spacing w:after="0"/>
            </w:pPr>
            <w:r>
              <w:rPr>
                <w:sz w:val="18"/>
              </w:rPr>
              <w:t>Won't Have (this release)</w:t>
            </w:r>
          </w:p>
        </w:tc>
        <w:tc>
          <w:tcPr>
            <w:tcW w:type="dxa" w:w="1358"/>
          </w:tcPr>
          <w:p>
            <w:pPr>
              <w:spacing w:after="0"/>
            </w:pPr>
            <w:r>
              <w:rPr>
                <w:sz w:val="18"/>
              </w:rPr>
              <w:t>Deferred</w:t>
            </w:r>
          </w:p>
        </w:tc>
      </w:tr>
      <w:tr>
        <w:tc>
          <w:tcPr>
            <w:tcW w:type="dxa" w:w="940"/>
          </w:tcPr>
          <w:p>
            <w:pPr>
              <w:spacing w:after="0"/>
            </w:pPr>
            <w:r>
              <w:rPr>
                <w:sz w:val="18"/>
              </w:rPr>
              <w:t>FR-29</w:t>
            </w:r>
          </w:p>
        </w:tc>
        <w:tc>
          <w:tcPr>
            <w:tcW w:type="dxa" w:w="5614"/>
          </w:tcPr>
          <w:p>
            <w:pPr>
              <w:spacing w:after="0"/>
            </w:pPr>
            <w:r>
              <w:rPr>
                <w:sz w:val="18"/>
              </w:rPr>
              <w:t>The system shall allow users to sign in with a Google account; on first sign-in a new user completes a resident profile.</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FR-30</w:t>
            </w:r>
          </w:p>
        </w:tc>
        <w:tc>
          <w:tcPr>
            <w:tcW w:type="dxa" w:w="5614"/>
          </w:tcPr>
          <w:p>
            <w:pPr>
              <w:spacing w:after="0"/>
            </w:pPr>
            <w:r>
              <w:rPr>
                <w:sz w:val="18"/>
              </w:rPr>
              <w:t>The system shall allow users to request a password-reset email without revealing whether an account exists.</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FR-31</w:t>
            </w:r>
          </w:p>
        </w:tc>
        <w:tc>
          <w:tcPr>
            <w:tcW w:type="dxa" w:w="5614"/>
          </w:tcPr>
          <w:p>
            <w:pPr>
              <w:spacing w:after="0"/>
            </w:pPr>
            <w:r>
              <w:rPr>
                <w:sz w:val="18"/>
              </w:rPr>
              <w:t>The system shall allow users to update their name and phone number, and residents their suburb.</w:t>
            </w:r>
          </w:p>
        </w:tc>
        <w:tc>
          <w:tcPr>
            <w:tcW w:type="dxa" w:w="1449"/>
          </w:tcPr>
          <w:p>
            <w:pPr>
              <w:spacing w:after="0"/>
            </w:pPr>
            <w:r>
              <w:rPr>
                <w:sz w:val="18"/>
              </w:rPr>
              <w:t>Should Have</w:t>
            </w:r>
          </w:p>
        </w:tc>
        <w:tc>
          <w:tcPr>
            <w:tcW w:type="dxa" w:w="1358"/>
          </w:tcPr>
          <w:p>
            <w:pPr>
              <w:spacing w:after="0"/>
            </w:pPr>
            <w:r>
              <w:rPr>
                <w:sz w:val="18"/>
              </w:rPr>
              <w:t>Included</w:t>
            </w:r>
          </w:p>
        </w:tc>
      </w:tr>
      <w:tr>
        <w:tc>
          <w:tcPr>
            <w:tcW w:type="dxa" w:w="940"/>
          </w:tcPr>
          <w:p>
            <w:pPr>
              <w:spacing w:after="0"/>
            </w:pPr>
            <w:r>
              <w:rPr>
                <w:sz w:val="18"/>
              </w:rPr>
              <w:t>FR-32</w:t>
            </w:r>
          </w:p>
        </w:tc>
        <w:tc>
          <w:tcPr>
            <w:tcW w:type="dxa" w:w="5614"/>
          </w:tcPr>
          <w:p>
            <w:pPr>
              <w:spacing w:after="0"/>
            </w:pPr>
            <w:r>
              <w:rPr>
                <w:sz w:val="18"/>
              </w:rPr>
              <w:t>The system shall allow a Resident to delete their account; personal data is erased and their reports are kept anonymised.</w:t>
            </w:r>
          </w:p>
        </w:tc>
        <w:tc>
          <w:tcPr>
            <w:tcW w:type="dxa" w:w="1449"/>
          </w:tcPr>
          <w:p>
            <w:pPr>
              <w:spacing w:after="0"/>
            </w:pPr>
            <w:r>
              <w:rPr>
                <w:sz w:val="18"/>
              </w:rPr>
              <w:t>Should Have</w:t>
            </w:r>
          </w:p>
        </w:tc>
        <w:tc>
          <w:tcPr>
            <w:tcW w:type="dxa" w:w="1358"/>
          </w:tcPr>
          <w:p>
            <w:pPr>
              <w:spacing w:after="0"/>
            </w:pPr>
            <w:r>
              <w:rPr>
                <w:sz w:val="18"/>
              </w:rPr>
              <w:t>Included</w:t>
            </w:r>
          </w:p>
        </w:tc>
      </w:tr>
    </w:tbl>
    <w:p/>
    <w:p>
      <w:pPr>
        <w:pStyle w:val="Heading2"/>
        <w:numPr>
          <w:ilvl w:val="1"/>
          <w:numId w:val="9"/>
        </w:numPr>
      </w:pPr>
      <w:r>
        <w:t>Non-Functional Requirements</w:t>
      </w:r>
    </w:p>
    <w:p>
      <w:r>
        <w:t>All non-functional requirements are verified in the assessment environment: the local Firebase Emulator Suite with the seeded dataset (150 reports, 15 users) on the latest Chrome and Firefox.</w:t>
      </w:r>
    </w:p>
    <w:p>
      <w:pPr>
        <w:pStyle w:val="Caption"/>
        <w:keepNext/>
      </w:pPr>
      <w:r>
        <w:t>Table 6: Non-functional requirements</w:t>
      </w:r>
    </w:p>
    <w:tbl>
      <w:tblPr>
        <w:tblStyle w:val="TableGrid"/>
        <w:tblW w:type="auto" w:w="0"/>
        <w:jc w:val="center"/>
        <w:tblLayout w:type="fixed"/>
        <w:tblLook w:firstColumn="1" w:firstRow="1" w:lastColumn="0" w:lastRow="0" w:noHBand="0" w:noVBand="1" w:val="04A0"/>
        <w:tblLayout w:type="fixed"/>
      </w:tblPr>
      <w:tblGrid>
        <w:gridCol w:w="1006"/>
        <w:gridCol w:w="2205"/>
        <w:gridCol w:w="4001"/>
        <w:gridCol w:w="2149"/>
      </w:tblGrid>
      <w:tr>
        <w:trPr>
          <w:tblHeader w:val="true"/>
        </w:trPr>
        <w:tc>
          <w:tcPr>
            <w:tcW w:type="dxa" w:w="1006"/>
            <w:shd w:val="clear" w:color="auto" w:fill="D5EBF4"/>
          </w:tcPr>
          <w:p>
            <w:pPr>
              <w:spacing w:after="0"/>
            </w:pPr>
            <w:r>
              <w:rPr>
                <w:b/>
                <w:sz w:val="18"/>
              </w:rPr>
              <w:t>ID</w:t>
            </w:r>
          </w:p>
        </w:tc>
        <w:tc>
          <w:tcPr>
            <w:tcW w:type="dxa" w:w="2205"/>
            <w:shd w:val="clear" w:color="auto" w:fill="D5EBF4"/>
          </w:tcPr>
          <w:p>
            <w:pPr>
              <w:spacing w:after="0"/>
            </w:pPr>
            <w:r>
              <w:rPr>
                <w:b/>
                <w:sz w:val="18"/>
              </w:rPr>
              <w:t>Quality attribute</w:t>
            </w:r>
          </w:p>
        </w:tc>
        <w:tc>
          <w:tcPr>
            <w:tcW w:type="dxa" w:w="4001"/>
            <w:shd w:val="clear" w:color="auto" w:fill="D5EBF4"/>
          </w:tcPr>
          <w:p>
            <w:pPr>
              <w:spacing w:after="0"/>
            </w:pPr>
            <w:r>
              <w:rPr>
                <w:b/>
                <w:sz w:val="18"/>
              </w:rPr>
              <w:t>Requirement</w:t>
            </w:r>
          </w:p>
        </w:tc>
        <w:tc>
          <w:tcPr>
            <w:tcW w:type="dxa" w:w="2149"/>
            <w:shd w:val="clear" w:color="auto" w:fill="D5EBF4"/>
          </w:tcPr>
          <w:p>
            <w:pPr>
              <w:spacing w:after="0"/>
            </w:pPr>
            <w:r>
              <w:rPr>
                <w:b/>
                <w:sz w:val="18"/>
              </w:rPr>
              <w:t>Verification</w:t>
            </w:r>
          </w:p>
        </w:tc>
      </w:tr>
      <w:tr>
        <w:tc>
          <w:tcPr>
            <w:tcW w:type="dxa" w:w="1006"/>
          </w:tcPr>
          <w:p>
            <w:pPr>
              <w:spacing w:after="0"/>
            </w:pPr>
            <w:r>
              <w:rPr>
                <w:sz w:val="18"/>
              </w:rPr>
              <w:t>NFR-01</w:t>
            </w:r>
          </w:p>
        </w:tc>
        <w:tc>
          <w:tcPr>
            <w:tcW w:type="dxa" w:w="2205"/>
          </w:tcPr>
          <w:p>
            <w:pPr>
              <w:spacing w:after="0"/>
            </w:pPr>
            <w:r>
              <w:rPr>
                <w:sz w:val="18"/>
              </w:rPr>
              <w:t>Security: authorisation</w:t>
            </w:r>
          </w:p>
        </w:tc>
        <w:tc>
          <w:tcPr>
            <w:tcW w:type="dxa" w:w="4001"/>
          </w:tcPr>
          <w:p>
            <w:pPr>
              <w:spacing w:after="0"/>
            </w:pPr>
            <w:r>
              <w:rPr>
                <w:sz w:val="18"/>
              </w:rPr>
              <w:t>Every role-restricted read or write is enforced server-side by Security Rules and Cloud Function role checks, independently of the user interface.</w:t>
            </w:r>
          </w:p>
        </w:tc>
        <w:tc>
          <w:tcPr>
            <w:tcW w:type="dxa" w:w="2149"/>
          </w:tcPr>
          <w:p>
            <w:pPr>
              <w:spacing w:after="0"/>
            </w:pPr>
            <w:r>
              <w:rPr>
                <w:sz w:val="18"/>
              </w:rPr>
              <w:t>Security-rule tests, authorisation tests</w:t>
            </w:r>
          </w:p>
        </w:tc>
      </w:tr>
      <w:tr>
        <w:tc>
          <w:tcPr>
            <w:tcW w:type="dxa" w:w="1006"/>
          </w:tcPr>
          <w:p>
            <w:pPr>
              <w:spacing w:after="0"/>
            </w:pPr>
            <w:r>
              <w:rPr>
                <w:sz w:val="18"/>
              </w:rPr>
              <w:t>NFR-02</w:t>
            </w:r>
          </w:p>
        </w:tc>
        <w:tc>
          <w:tcPr>
            <w:tcW w:type="dxa" w:w="2205"/>
          </w:tcPr>
          <w:p>
            <w:pPr>
              <w:spacing w:after="0"/>
            </w:pPr>
            <w:r>
              <w:rPr>
                <w:sz w:val="18"/>
              </w:rPr>
              <w:t>Security: authentication</w:t>
            </w:r>
          </w:p>
        </w:tc>
        <w:tc>
          <w:tcPr>
            <w:tcW w:type="dxa" w:w="4001"/>
          </w:tcPr>
          <w:p>
            <w:pPr>
              <w:spacing w:after="0"/>
            </w:pPr>
            <w:r>
              <w:rPr>
                <w:sz w:val="18"/>
              </w:rPr>
              <w:t>Passwords are handled only by Firebase Authentication (minimum 8 characters); no credential is stored in Firestore or the repository; roles are carried as signed custom claims.</w:t>
            </w:r>
          </w:p>
        </w:tc>
        <w:tc>
          <w:tcPr>
            <w:tcW w:type="dxa" w:w="2149"/>
          </w:tcPr>
          <w:p>
            <w:pPr>
              <w:spacing w:after="0"/>
            </w:pPr>
            <w:r>
              <w:rPr>
                <w:sz w:val="18"/>
              </w:rPr>
              <w:t>Code review, rule tests, secret scan</w:t>
            </w:r>
          </w:p>
        </w:tc>
      </w:tr>
      <w:tr>
        <w:tc>
          <w:tcPr>
            <w:tcW w:type="dxa" w:w="1006"/>
          </w:tcPr>
          <w:p>
            <w:pPr>
              <w:spacing w:after="0"/>
            </w:pPr>
            <w:r>
              <w:rPr>
                <w:sz w:val="18"/>
              </w:rPr>
              <w:t>NFR-03</w:t>
            </w:r>
          </w:p>
        </w:tc>
        <w:tc>
          <w:tcPr>
            <w:tcW w:type="dxa" w:w="2205"/>
          </w:tcPr>
          <w:p>
            <w:pPr>
              <w:spacing w:after="0"/>
            </w:pPr>
            <w:r>
              <w:rPr>
                <w:sz w:val="18"/>
              </w:rPr>
              <w:t>Security: input validation</w:t>
            </w:r>
          </w:p>
        </w:tc>
        <w:tc>
          <w:tcPr>
            <w:tcW w:type="dxa" w:w="4001"/>
          </w:tcPr>
          <w:p>
            <w:pPr>
              <w:spacing w:after="0"/>
            </w:pPr>
            <w:r>
              <w:rPr>
                <w:sz w:val="18"/>
              </w:rPr>
              <w:t>All commands validate input on the server against shared schemas; invalid input is rejected with field-level messages and no data change.</w:t>
            </w:r>
          </w:p>
        </w:tc>
        <w:tc>
          <w:tcPr>
            <w:tcW w:type="dxa" w:w="2149"/>
          </w:tcPr>
          <w:p>
            <w:pPr>
              <w:spacing w:after="0"/>
            </w:pPr>
            <w:r>
              <w:rPr>
                <w:sz w:val="18"/>
              </w:rPr>
              <w:t>Integration tests</w:t>
            </w:r>
          </w:p>
        </w:tc>
      </w:tr>
      <w:tr>
        <w:tc>
          <w:tcPr>
            <w:tcW w:type="dxa" w:w="1006"/>
          </w:tcPr>
          <w:p>
            <w:pPr>
              <w:spacing w:after="0"/>
            </w:pPr>
            <w:r>
              <w:rPr>
                <w:sz w:val="18"/>
              </w:rPr>
              <w:t>NFR-04</w:t>
            </w:r>
          </w:p>
        </w:tc>
        <w:tc>
          <w:tcPr>
            <w:tcW w:type="dxa" w:w="2205"/>
          </w:tcPr>
          <w:p>
            <w:pPr>
              <w:spacing w:after="0"/>
            </w:pPr>
            <w:r>
              <w:rPr>
                <w:sz w:val="18"/>
              </w:rPr>
              <w:t>Security: secrets</w:t>
            </w:r>
          </w:p>
        </w:tc>
        <w:tc>
          <w:tcPr>
            <w:tcW w:type="dxa" w:w="4001"/>
          </w:tcPr>
          <w:p>
            <w:pPr>
              <w:spacing w:after="0"/>
            </w:pPr>
            <w:r>
              <w:rPr>
                <w:sz w:val="18"/>
              </w:rPr>
              <w:t xml:space="preserve">No secrets are kept in source control; configuration comes from environment variables with a committed </w:t>
            </w:r>
            <w:r>
              <w:rPr>
                <w:rFonts w:ascii="Consolas" w:hAnsi="Consolas"/>
                <w:sz w:val="18"/>
              </w:rPr>
              <w:t>.env.example</w:t>
            </w:r>
            <w:r>
              <w:rPr>
                <w:sz w:val="18"/>
              </w:rPr>
              <w:t>.</w:t>
            </w:r>
          </w:p>
        </w:tc>
        <w:tc>
          <w:tcPr>
            <w:tcW w:type="dxa" w:w="2149"/>
          </w:tcPr>
          <w:p>
            <w:pPr>
              <w:spacing w:after="0"/>
            </w:pPr>
            <w:r>
              <w:rPr>
                <w:sz w:val="18"/>
              </w:rPr>
              <w:t>Secret scan (gitleaks)</w:t>
            </w:r>
          </w:p>
        </w:tc>
      </w:tr>
      <w:tr>
        <w:tc>
          <w:tcPr>
            <w:tcW w:type="dxa" w:w="1006"/>
          </w:tcPr>
          <w:p>
            <w:pPr>
              <w:spacing w:after="0"/>
            </w:pPr>
            <w:r>
              <w:rPr>
                <w:sz w:val="18"/>
              </w:rPr>
              <w:t>NFR-05</w:t>
            </w:r>
          </w:p>
        </w:tc>
        <w:tc>
          <w:tcPr>
            <w:tcW w:type="dxa" w:w="2205"/>
          </w:tcPr>
          <w:p>
            <w:pPr>
              <w:spacing w:after="0"/>
            </w:pPr>
            <w:r>
              <w:rPr>
                <w:sz w:val="18"/>
              </w:rPr>
              <w:t>Performance: propagation</w:t>
            </w:r>
          </w:p>
        </w:tc>
        <w:tc>
          <w:tcPr>
            <w:tcW w:type="dxa" w:w="4001"/>
          </w:tcPr>
          <w:p>
            <w:pPr>
              <w:spacing w:after="0"/>
            </w:pPr>
            <w:r>
              <w:rPr>
                <w:sz w:val="18"/>
              </w:rPr>
              <w:t>A new report appears on the official's queue, and a status change appears on the resident's screen, within 5 seconds without a refresh.</w:t>
            </w:r>
          </w:p>
        </w:tc>
        <w:tc>
          <w:tcPr>
            <w:tcW w:type="dxa" w:w="2149"/>
          </w:tcPr>
          <w:p>
            <w:pPr>
              <w:spacing w:after="0"/>
            </w:pPr>
            <w:r>
              <w:rPr>
                <w:sz w:val="18"/>
              </w:rPr>
              <w:t>Timing test NFT-05</w:t>
            </w:r>
          </w:p>
        </w:tc>
      </w:tr>
      <w:tr>
        <w:tc>
          <w:tcPr>
            <w:tcW w:type="dxa" w:w="1006"/>
          </w:tcPr>
          <w:p>
            <w:pPr>
              <w:spacing w:after="0"/>
            </w:pPr>
            <w:r>
              <w:rPr>
                <w:sz w:val="18"/>
              </w:rPr>
              <w:t>NFR-06</w:t>
            </w:r>
          </w:p>
        </w:tc>
        <w:tc>
          <w:tcPr>
            <w:tcW w:type="dxa" w:w="2205"/>
          </w:tcPr>
          <w:p>
            <w:pPr>
              <w:spacing w:after="0"/>
            </w:pPr>
            <w:r>
              <w:rPr>
                <w:sz w:val="18"/>
              </w:rPr>
              <w:t>Performance: responsiveness</w:t>
            </w:r>
          </w:p>
        </w:tc>
        <w:tc>
          <w:tcPr>
            <w:tcW w:type="dxa" w:w="4001"/>
          </w:tcPr>
          <w:p>
            <w:pPr>
              <w:spacing w:after="0"/>
            </w:pPr>
            <w:r>
              <w:rPr>
                <w:sz w:val="18"/>
              </w:rPr>
              <w:t>Key screens become interactive within 3 seconds; commands complete within 2 seconds (95th percentile of 50 calls).</w:t>
            </w:r>
          </w:p>
        </w:tc>
        <w:tc>
          <w:tcPr>
            <w:tcW w:type="dxa" w:w="2149"/>
          </w:tcPr>
          <w:p>
            <w:pPr>
              <w:spacing w:after="0"/>
            </w:pPr>
            <w:r>
              <w:rPr>
                <w:sz w:val="18"/>
              </w:rPr>
              <w:t>Timing test NFT-06</w:t>
            </w:r>
          </w:p>
        </w:tc>
      </w:tr>
      <w:tr>
        <w:tc>
          <w:tcPr>
            <w:tcW w:type="dxa" w:w="1006"/>
          </w:tcPr>
          <w:p>
            <w:pPr>
              <w:spacing w:after="0"/>
            </w:pPr>
            <w:r>
              <w:rPr>
                <w:sz w:val="18"/>
              </w:rPr>
              <w:t>NFR-07</w:t>
            </w:r>
          </w:p>
        </w:tc>
        <w:tc>
          <w:tcPr>
            <w:tcW w:type="dxa" w:w="2205"/>
          </w:tcPr>
          <w:p>
            <w:pPr>
              <w:spacing w:after="0"/>
            </w:pPr>
            <w:r>
              <w:rPr>
                <w:sz w:val="18"/>
              </w:rPr>
              <w:t>Usability: mobile</w:t>
            </w:r>
          </w:p>
        </w:tc>
        <w:tc>
          <w:tcPr>
            <w:tcW w:type="dxa" w:w="4001"/>
          </w:tcPr>
          <w:p>
            <w:pPr>
              <w:spacing w:after="0"/>
            </w:pPr>
            <w:r>
              <w:rPr>
                <w:sz w:val="18"/>
              </w:rPr>
              <w:t>Resident and field-worker screens work at 360×640 with no horizontal scrolling; submitting a report takes at most 3 steps.</w:t>
            </w:r>
          </w:p>
        </w:tc>
        <w:tc>
          <w:tcPr>
            <w:tcW w:type="dxa" w:w="2149"/>
          </w:tcPr>
          <w:p>
            <w:pPr>
              <w:spacing w:after="0"/>
            </w:pPr>
            <w:r>
              <w:rPr>
                <w:sz w:val="18"/>
              </w:rPr>
              <w:t>NFT-07</w:t>
            </w:r>
          </w:p>
        </w:tc>
      </w:tr>
      <w:tr>
        <w:tc>
          <w:tcPr>
            <w:tcW w:type="dxa" w:w="1006"/>
          </w:tcPr>
          <w:p>
            <w:pPr>
              <w:spacing w:after="0"/>
            </w:pPr>
            <w:r>
              <w:rPr>
                <w:sz w:val="18"/>
              </w:rPr>
              <w:t>NFR-08</w:t>
            </w:r>
          </w:p>
        </w:tc>
        <w:tc>
          <w:tcPr>
            <w:tcW w:type="dxa" w:w="2205"/>
          </w:tcPr>
          <w:p>
            <w:pPr>
              <w:spacing w:after="0"/>
            </w:pPr>
            <w:r>
              <w:rPr>
                <w:sz w:val="18"/>
              </w:rPr>
              <w:t>Accessibility</w:t>
            </w:r>
          </w:p>
        </w:tc>
        <w:tc>
          <w:tcPr>
            <w:tcW w:type="dxa" w:w="4001"/>
          </w:tcPr>
          <w:p>
            <w:pPr>
              <w:spacing w:after="0"/>
            </w:pPr>
            <w:r>
              <w:rPr>
                <w:sz w:val="18"/>
              </w:rPr>
              <w:t>Key pages have no serious or critical WCAG 2.1 A/AA violations in an automated axe-core audit.</w:t>
            </w:r>
          </w:p>
        </w:tc>
        <w:tc>
          <w:tcPr>
            <w:tcW w:type="dxa" w:w="2149"/>
          </w:tcPr>
          <w:p>
            <w:pPr>
              <w:spacing w:after="0"/>
            </w:pPr>
            <w:r>
              <w:rPr>
                <w:sz w:val="18"/>
              </w:rPr>
              <w:t>NFT-08</w:t>
            </w:r>
          </w:p>
        </w:tc>
      </w:tr>
      <w:tr>
        <w:tc>
          <w:tcPr>
            <w:tcW w:type="dxa" w:w="1006"/>
          </w:tcPr>
          <w:p>
            <w:pPr>
              <w:spacing w:after="0"/>
            </w:pPr>
            <w:r>
              <w:rPr>
                <w:sz w:val="18"/>
              </w:rPr>
              <w:t>NFR-09</w:t>
            </w:r>
          </w:p>
        </w:tc>
        <w:tc>
          <w:tcPr>
            <w:tcW w:type="dxa" w:w="2205"/>
          </w:tcPr>
          <w:p>
            <w:pPr>
              <w:spacing w:after="0"/>
            </w:pPr>
            <w:r>
              <w:rPr>
                <w:sz w:val="18"/>
              </w:rPr>
              <w:t>Compatibility</w:t>
            </w:r>
          </w:p>
        </w:tc>
        <w:tc>
          <w:tcPr>
            <w:tcW w:type="dxa" w:w="4001"/>
          </w:tcPr>
          <w:p>
            <w:pPr>
              <w:spacing w:after="0"/>
            </w:pPr>
            <w:r>
              <w:rPr>
                <w:sz w:val="18"/>
              </w:rPr>
              <w:t>Core flows pass on the latest Chrome and Firefox.</w:t>
            </w:r>
          </w:p>
        </w:tc>
        <w:tc>
          <w:tcPr>
            <w:tcW w:type="dxa" w:w="2149"/>
          </w:tcPr>
          <w:p>
            <w:pPr>
              <w:spacing w:after="0"/>
            </w:pPr>
            <w:r>
              <w:rPr>
                <w:sz w:val="18"/>
              </w:rPr>
              <w:t>End-to-end tests on both browsers</w:t>
            </w:r>
          </w:p>
        </w:tc>
      </w:tr>
      <w:tr>
        <w:tc>
          <w:tcPr>
            <w:tcW w:type="dxa" w:w="1006"/>
          </w:tcPr>
          <w:p>
            <w:pPr>
              <w:spacing w:after="0"/>
            </w:pPr>
            <w:r>
              <w:rPr>
                <w:sz w:val="18"/>
              </w:rPr>
              <w:t>NFR-10</w:t>
            </w:r>
          </w:p>
        </w:tc>
        <w:tc>
          <w:tcPr>
            <w:tcW w:type="dxa" w:w="2205"/>
          </w:tcPr>
          <w:p>
            <w:pPr>
              <w:spacing w:after="0"/>
            </w:pPr>
            <w:r>
              <w:rPr>
                <w:sz w:val="18"/>
              </w:rPr>
              <w:t>Integrity</w:t>
            </w:r>
          </w:p>
        </w:tc>
        <w:tc>
          <w:tcPr>
            <w:tcW w:type="dxa" w:w="4001"/>
          </w:tcPr>
          <w:p>
            <w:pPr>
              <w:spacing w:after="0"/>
            </w:pPr>
            <w:r>
              <w:rPr>
                <w:sz w:val="18"/>
              </w:rPr>
              <w:t>Multi-document operations are atomic; conflicting concurrent commands result in exactly one success; failures leave no partial data.</w:t>
            </w:r>
          </w:p>
        </w:tc>
        <w:tc>
          <w:tcPr>
            <w:tcW w:type="dxa" w:w="2149"/>
          </w:tcPr>
          <w:p>
            <w:pPr>
              <w:spacing w:after="0"/>
            </w:pPr>
            <w:r>
              <w:rPr>
                <w:sz w:val="18"/>
              </w:rPr>
              <w:t>Concurrency tests</w:t>
            </w:r>
          </w:p>
        </w:tc>
      </w:tr>
      <w:tr>
        <w:tc>
          <w:tcPr>
            <w:tcW w:type="dxa" w:w="1006"/>
          </w:tcPr>
          <w:p>
            <w:pPr>
              <w:spacing w:after="0"/>
            </w:pPr>
            <w:r>
              <w:rPr>
                <w:sz w:val="18"/>
              </w:rPr>
              <w:t>NFR-11</w:t>
            </w:r>
          </w:p>
        </w:tc>
        <w:tc>
          <w:tcPr>
            <w:tcW w:type="dxa" w:w="2205"/>
          </w:tcPr>
          <w:p>
            <w:pPr>
              <w:spacing w:after="0"/>
            </w:pPr>
            <w:r>
              <w:rPr>
                <w:sz w:val="18"/>
              </w:rPr>
              <w:t>Privacy (POPIA)</w:t>
            </w:r>
          </w:p>
        </w:tc>
        <w:tc>
          <w:tcPr>
            <w:tcW w:type="dxa" w:w="4001"/>
          </w:tcPr>
          <w:p>
            <w:pPr>
              <w:spacing w:after="0"/>
            </w:pPr>
            <w:r>
              <w:rPr>
                <w:sz w:val="18"/>
              </w:rPr>
              <w:t>Residents' identity, contact details and photos are visible only to the reporter and staff; public map data contains no personal information.</w:t>
            </w:r>
          </w:p>
        </w:tc>
        <w:tc>
          <w:tcPr>
            <w:tcW w:type="dxa" w:w="2149"/>
          </w:tcPr>
          <w:p>
            <w:pPr>
              <w:spacing w:after="0"/>
            </w:pPr>
            <w:r>
              <w:rPr>
                <w:sz w:val="18"/>
              </w:rPr>
              <w:t>Rule tests, data classification</w:t>
            </w:r>
          </w:p>
        </w:tc>
      </w:tr>
      <w:tr>
        <w:tc>
          <w:tcPr>
            <w:tcW w:type="dxa" w:w="1006"/>
          </w:tcPr>
          <w:p>
            <w:pPr>
              <w:spacing w:after="0"/>
            </w:pPr>
            <w:r>
              <w:rPr>
                <w:sz w:val="18"/>
              </w:rPr>
              <w:t>NFR-12</w:t>
            </w:r>
          </w:p>
        </w:tc>
        <w:tc>
          <w:tcPr>
            <w:tcW w:type="dxa" w:w="2205"/>
          </w:tcPr>
          <w:p>
            <w:pPr>
              <w:spacing w:after="0"/>
            </w:pPr>
            <w:r>
              <w:rPr>
                <w:sz w:val="18"/>
              </w:rPr>
              <w:t>Maintainability</w:t>
            </w:r>
          </w:p>
        </w:tc>
        <w:tc>
          <w:tcPr>
            <w:tcW w:type="dxa" w:w="4001"/>
          </w:tcPr>
          <w:p>
            <w:pPr>
              <w:spacing w:after="0"/>
            </w:pPr>
            <w:r>
              <w:rPr>
                <w:sz w:val="18"/>
              </w:rPr>
              <w:t>TypeScript strict mode, lint-clean, shared domain logic with at least 80% line coverage, and CI on every push.</w:t>
            </w:r>
          </w:p>
        </w:tc>
        <w:tc>
          <w:tcPr>
            <w:tcW w:type="dxa" w:w="2149"/>
          </w:tcPr>
          <w:p>
            <w:pPr>
              <w:spacing w:after="0"/>
            </w:pPr>
            <w:r>
              <w:rPr>
                <w:sz w:val="18"/>
              </w:rPr>
              <w:t>CI, coverage report</w:t>
            </w:r>
          </w:p>
        </w:tc>
      </w:tr>
    </w:tbl>
    <w:p/>
    <w:p>
      <w:pPr>
        <w:pStyle w:val="Heading2"/>
        <w:numPr>
          <w:ilvl w:val="1"/>
          <w:numId w:val="9"/>
        </w:numPr>
      </w:pPr>
      <w:r>
        <w:t>Business Rules</w:t>
      </w:r>
    </w:p>
    <w:p>
      <w:pPr>
        <w:pStyle w:val="Caption"/>
        <w:keepNext/>
      </w:pPr>
      <w:r>
        <w:t>Table 7: Business rules</w:t>
      </w:r>
    </w:p>
    <w:tbl>
      <w:tblPr>
        <w:tblStyle w:val="TableGrid"/>
        <w:tblW w:type="auto" w:w="0"/>
        <w:jc w:val="center"/>
        <w:tblLayout w:type="fixed"/>
        <w:tblLook w:firstColumn="1" w:firstRow="1" w:lastColumn="0" w:lastRow="0" w:noHBand="0" w:noVBand="1" w:val="04A0"/>
        <w:tblLayout w:type="fixed"/>
      </w:tblPr>
      <w:tblGrid>
        <w:gridCol w:w="999"/>
        <w:gridCol w:w="8361"/>
      </w:tblGrid>
      <w:tr>
        <w:trPr>
          <w:tblHeader w:val="true"/>
        </w:trPr>
        <w:tc>
          <w:tcPr>
            <w:tcW w:type="dxa" w:w="999"/>
            <w:shd w:val="clear" w:color="auto" w:fill="D5EBF4"/>
          </w:tcPr>
          <w:p>
            <w:pPr>
              <w:spacing w:after="0"/>
            </w:pPr>
            <w:r>
              <w:rPr>
                <w:b/>
                <w:sz w:val="18"/>
              </w:rPr>
              <w:t>ID</w:t>
            </w:r>
          </w:p>
        </w:tc>
        <w:tc>
          <w:tcPr>
            <w:tcW w:type="dxa" w:w="8361"/>
            <w:shd w:val="clear" w:color="auto" w:fill="D5EBF4"/>
          </w:tcPr>
          <w:p>
            <w:pPr>
              <w:spacing w:after="0"/>
            </w:pPr>
            <w:r>
              <w:rPr>
                <w:b/>
                <w:sz w:val="18"/>
              </w:rPr>
              <w:t>Rule</w:t>
            </w:r>
          </w:p>
        </w:tc>
      </w:tr>
      <w:tr>
        <w:tc>
          <w:tcPr>
            <w:tcW w:type="dxa" w:w="999"/>
          </w:tcPr>
          <w:p>
            <w:pPr>
              <w:spacing w:after="0"/>
            </w:pPr>
            <w:r>
              <w:rPr>
                <w:sz w:val="18"/>
              </w:rPr>
              <w:t>BR-01</w:t>
            </w:r>
          </w:p>
        </w:tc>
        <w:tc>
          <w:tcPr>
            <w:tcW w:type="dxa" w:w="8361"/>
          </w:tcPr>
          <w:p>
            <w:pPr>
              <w:spacing w:after="0"/>
            </w:pPr>
            <w:r>
              <w:rPr>
                <w:sz w:val="18"/>
              </w:rPr>
              <w:t>Only an authenticated, active user with role Resident may submit a report.</w:t>
            </w:r>
          </w:p>
        </w:tc>
      </w:tr>
      <w:tr>
        <w:tc>
          <w:tcPr>
            <w:tcW w:type="dxa" w:w="999"/>
          </w:tcPr>
          <w:p>
            <w:pPr>
              <w:spacing w:after="0"/>
            </w:pPr>
            <w:r>
              <w:rPr>
                <w:sz w:val="18"/>
              </w:rPr>
              <w:t>BR-02</w:t>
            </w:r>
          </w:p>
        </w:tc>
        <w:tc>
          <w:tcPr>
            <w:tcW w:type="dxa" w:w="8361"/>
          </w:tcPr>
          <w:p>
            <w:pPr>
              <w:spacing w:after="0"/>
            </w:pPr>
            <w:r>
              <w:rPr>
                <w:sz w:val="18"/>
              </w:rPr>
              <w:t>A report needs an active category, a description of 10–300 characters, a location inside the Sol Plaatje municipal bounds, a suburb from the configured list and a severity. It may carry 0–3 photos, each a real JPEG/PNG/WebP image (checked by its content) of at most 700 KB once compressed; residents may pick files of up to 15 MB, which the app compresses.</w:t>
            </w:r>
          </w:p>
        </w:tc>
      </w:tr>
      <w:tr>
        <w:tc>
          <w:tcPr>
            <w:tcW w:type="dxa" w:w="999"/>
          </w:tcPr>
          <w:p>
            <w:pPr>
              <w:spacing w:after="0"/>
            </w:pPr>
            <w:r>
              <w:rPr>
                <w:sz w:val="18"/>
              </w:rPr>
              <w:t>BR-03</w:t>
            </w:r>
          </w:p>
        </w:tc>
        <w:tc>
          <w:tcPr>
            <w:tcW w:type="dxa" w:w="8361"/>
          </w:tcPr>
          <w:p>
            <w:pPr>
              <w:spacing w:after="0"/>
            </w:pPr>
            <w:r>
              <w:rPr>
                <w:sz w:val="18"/>
              </w:rPr>
              <w:t>A new report is a duplicate if an open report with the same category exists within 100 m and was created in the last 72 hours. The duplicate is stored as Duplicate, linked to the original; the original's affected count is incremented and the resident follows it.</w:t>
            </w:r>
          </w:p>
        </w:tc>
      </w:tr>
      <w:tr>
        <w:tc>
          <w:tcPr>
            <w:tcW w:type="dxa" w:w="999"/>
          </w:tcPr>
          <w:p>
            <w:pPr>
              <w:spacing w:after="0"/>
            </w:pPr>
            <w:r>
              <w:rPr>
                <w:sz w:val="18"/>
              </w:rPr>
              <w:t>BR-04</w:t>
            </w:r>
          </w:p>
        </w:tc>
        <w:tc>
          <w:tcPr>
            <w:tcW w:type="dxa" w:w="8361"/>
          </w:tcPr>
          <w:p>
            <w:pPr>
              <w:spacing w:after="0"/>
            </w:pPr>
            <w:r>
              <w:rPr>
                <w:sz w:val="18"/>
              </w:rPr>
              <w:t>References are CL-&lt;year&gt;-&lt;sequence&gt;, allocated in a transaction, unique and never reused.</w:t>
            </w:r>
          </w:p>
        </w:tc>
      </w:tr>
      <w:tr>
        <w:tc>
          <w:tcPr>
            <w:tcW w:type="dxa" w:w="999"/>
          </w:tcPr>
          <w:p>
            <w:pPr>
              <w:spacing w:after="0"/>
            </w:pPr>
            <w:r>
              <w:rPr>
                <w:sz w:val="18"/>
              </w:rPr>
              <w:t>BR-05</w:t>
            </w:r>
          </w:p>
        </w:tc>
        <w:tc>
          <w:tcPr>
            <w:tcW w:type="dxa" w:w="8361"/>
          </w:tcPr>
          <w:p>
            <w:pPr>
              <w:spacing w:after="0"/>
            </w:pPr>
            <w:r>
              <w:rPr>
                <w:sz w:val="18"/>
              </w:rPr>
              <w:t>A report's status may change only along the transitions of the report state machine (Figure 7). Every change appends an immutable history entry recording the actor, role, note and time.</w:t>
            </w:r>
          </w:p>
        </w:tc>
      </w:tr>
      <w:tr>
        <w:tc>
          <w:tcPr>
            <w:tcW w:type="dxa" w:w="999"/>
          </w:tcPr>
          <w:p>
            <w:pPr>
              <w:spacing w:after="0"/>
            </w:pPr>
            <w:r>
              <w:rPr>
                <w:sz w:val="18"/>
              </w:rPr>
              <w:t>BR-06</w:t>
            </w:r>
          </w:p>
        </w:tc>
        <w:tc>
          <w:tcPr>
            <w:tcW w:type="dxa" w:w="8361"/>
          </w:tcPr>
          <w:p>
            <w:pPr>
              <w:spacing w:after="0"/>
            </w:pPr>
            <w:r>
              <w:rPr>
                <w:sz w:val="18"/>
              </w:rPr>
              <w:t>A report has at most one active task at any time.</w:t>
            </w:r>
          </w:p>
        </w:tc>
      </w:tr>
      <w:tr>
        <w:tc>
          <w:tcPr>
            <w:tcW w:type="dxa" w:w="999"/>
          </w:tcPr>
          <w:p>
            <w:pPr>
              <w:spacing w:after="0"/>
            </w:pPr>
            <w:r>
              <w:rPr>
                <w:sz w:val="18"/>
              </w:rPr>
              <w:t>BR-07</w:t>
            </w:r>
          </w:p>
        </w:tc>
        <w:tc>
          <w:tcPr>
            <w:tcW w:type="dxa" w:w="8361"/>
          </w:tcPr>
          <w:p>
            <w:pPr>
              <w:spacing w:after="0"/>
            </w:pPr>
            <w:r>
              <w:rPr>
                <w:sz w:val="18"/>
              </w:rPr>
              <w:t>A report may be assigned only to an active Field Worker of the report's department, and only while it is Under Review, Escalated or (for reassignment) In Progress.</w:t>
            </w:r>
          </w:p>
        </w:tc>
      </w:tr>
      <w:tr>
        <w:tc>
          <w:tcPr>
            <w:tcW w:type="dxa" w:w="999"/>
          </w:tcPr>
          <w:p>
            <w:pPr>
              <w:spacing w:after="0"/>
            </w:pPr>
            <w:r>
              <w:rPr>
                <w:sz w:val="18"/>
              </w:rPr>
              <w:t>BR-08</w:t>
            </w:r>
          </w:p>
        </w:tc>
        <w:tc>
          <w:tcPr>
            <w:tcW w:type="dxa" w:w="8361"/>
          </w:tcPr>
          <w:p>
            <w:pPr>
              <w:spacing w:after="0"/>
            </w:pPr>
            <w:r>
              <w:rPr>
                <w:sz w:val="18"/>
              </w:rPr>
              <w:t>Only the assigned Field Worker may act on a task, and only in the order Assigned → Accepted → In Progress → Completed.</w:t>
            </w:r>
          </w:p>
        </w:tc>
      </w:tr>
      <w:tr>
        <w:tc>
          <w:tcPr>
            <w:tcW w:type="dxa" w:w="999"/>
          </w:tcPr>
          <w:p>
            <w:pPr>
              <w:spacing w:after="0"/>
            </w:pPr>
            <w:r>
              <w:rPr>
                <w:sz w:val="18"/>
              </w:rPr>
              <w:t>BR-09</w:t>
            </w:r>
          </w:p>
        </w:tc>
        <w:tc>
          <w:tcPr>
            <w:tcW w:type="dxa" w:w="8361"/>
          </w:tcPr>
          <w:p>
            <w:pPr>
              <w:spacing w:after="0"/>
            </w:pPr>
            <w:r>
              <w:rPr>
                <w:sz w:val="18"/>
              </w:rPr>
              <w:t>Completion requires notes of at least 10 characters and 1–3 proof photos, and sets the report to Resolved in the same transaction.</w:t>
            </w:r>
          </w:p>
        </w:tc>
      </w:tr>
      <w:tr>
        <w:tc>
          <w:tcPr>
            <w:tcW w:type="dxa" w:w="999"/>
          </w:tcPr>
          <w:p>
            <w:pPr>
              <w:spacing w:after="0"/>
            </w:pPr>
            <w:r>
              <w:rPr>
                <w:sz w:val="18"/>
              </w:rPr>
              <w:t>BR-10</w:t>
            </w:r>
          </w:p>
        </w:tc>
        <w:tc>
          <w:tcPr>
            <w:tcW w:type="dxa" w:w="8361"/>
          </w:tcPr>
          <w:p>
            <w:pPr>
              <w:spacing w:after="0"/>
            </w:pPr>
            <w:r>
              <w:rPr>
                <w:sz w:val="18"/>
              </w:rPr>
              <w:t>An open report not resolved within its department's SLA hours is escalated automatically (once); officials may escalate manually with a reason.</w:t>
            </w:r>
          </w:p>
        </w:tc>
      </w:tr>
      <w:tr>
        <w:tc>
          <w:tcPr>
            <w:tcW w:type="dxa" w:w="999"/>
          </w:tcPr>
          <w:p>
            <w:pPr>
              <w:spacing w:after="0"/>
            </w:pPr>
            <w:r>
              <w:rPr>
                <w:sz w:val="18"/>
              </w:rPr>
              <w:t>BR-11</w:t>
            </w:r>
          </w:p>
        </w:tc>
        <w:tc>
          <w:tcPr>
            <w:tcW w:type="dxa" w:w="8361"/>
          </w:tcPr>
          <w:p>
            <w:pPr>
              <w:spacing w:after="0"/>
            </w:pPr>
            <w:r>
              <w:rPr>
                <w:sz w:val="18"/>
              </w:rPr>
              <w:t>Only the reporting Resident may confirm or reopen a resolved report, within 7 days of resolution; afterwards it closes automatically. Closed, Rejected and Duplicate are terminal.</w:t>
            </w:r>
          </w:p>
        </w:tc>
      </w:tr>
      <w:tr>
        <w:tc>
          <w:tcPr>
            <w:tcW w:type="dxa" w:w="999"/>
          </w:tcPr>
          <w:p>
            <w:pPr>
              <w:spacing w:after="0"/>
            </w:pPr>
            <w:r>
              <w:rPr>
                <w:sz w:val="18"/>
              </w:rPr>
              <w:t>BR-12</w:t>
            </w:r>
          </w:p>
        </w:tc>
        <w:tc>
          <w:tcPr>
            <w:tcW w:type="dxa" w:w="8361"/>
          </w:tcPr>
          <w:p>
            <w:pPr>
              <w:spacing w:after="0"/>
            </w:pPr>
            <w:r>
              <w:rPr>
                <w:sz w:val="18"/>
              </w:rPr>
              <w:t>Rejection requires a reason of 10–300 characters and is allowed only for Submitted or Under Review reports.</w:t>
            </w:r>
          </w:p>
        </w:tc>
      </w:tr>
      <w:tr>
        <w:tc>
          <w:tcPr>
            <w:tcW w:type="dxa" w:w="999"/>
          </w:tcPr>
          <w:p>
            <w:pPr>
              <w:spacing w:after="0"/>
            </w:pPr>
            <w:r>
              <w:rPr>
                <w:sz w:val="18"/>
              </w:rPr>
              <w:t>BR-13</w:t>
            </w:r>
          </w:p>
        </w:tc>
        <w:tc>
          <w:tcPr>
            <w:tcW w:type="dxa" w:w="8361"/>
          </w:tcPr>
          <w:p>
            <w:pPr>
              <w:spacing w:after="0"/>
            </w:pPr>
            <w:r>
              <w:rPr>
                <w:sz w:val="18"/>
              </w:rPr>
              <w:t>Only Officials and Administrators may create alerts; an alert needs a title (≤ 100), message (≤ 500), at least one target suburb or All, and an expiry in the future and within 30 days.</w:t>
            </w:r>
          </w:p>
        </w:tc>
      </w:tr>
      <w:tr>
        <w:tc>
          <w:tcPr>
            <w:tcW w:type="dxa" w:w="999"/>
          </w:tcPr>
          <w:p>
            <w:pPr>
              <w:spacing w:after="0"/>
            </w:pPr>
            <w:r>
              <w:rPr>
                <w:sz w:val="18"/>
              </w:rPr>
              <w:t>BR-14</w:t>
            </w:r>
          </w:p>
        </w:tc>
        <w:tc>
          <w:tcPr>
            <w:tcW w:type="dxa" w:w="8361"/>
          </w:tcPr>
          <w:p>
            <w:pPr>
              <w:spacing w:after="0"/>
            </w:pPr>
            <w:r>
              <w:rPr>
                <w:sz w:val="18"/>
              </w:rPr>
              <w:t>A resident sees an alert only while it is active and unexpired and targets their suburb or All.</w:t>
            </w:r>
          </w:p>
        </w:tc>
      </w:tr>
      <w:tr>
        <w:tc>
          <w:tcPr>
            <w:tcW w:type="dxa" w:w="999"/>
          </w:tcPr>
          <w:p>
            <w:pPr>
              <w:spacing w:after="0"/>
            </w:pPr>
            <w:r>
              <w:rPr>
                <w:sz w:val="18"/>
              </w:rPr>
              <w:t>BR-15</w:t>
            </w:r>
          </w:p>
        </w:tc>
        <w:tc>
          <w:tcPr>
            <w:tcW w:type="dxa" w:w="8361"/>
          </w:tcPr>
          <w:p>
            <w:pPr>
              <w:spacing w:after="0"/>
            </w:pPr>
            <w:r>
              <w:rPr>
                <w:sz w:val="18"/>
              </w:rPr>
              <w:t>Only Administrators manage accounts and configuration; an Administrator cannot demote or deactivate their own account.</w:t>
            </w:r>
          </w:p>
        </w:tc>
      </w:tr>
      <w:tr>
        <w:tc>
          <w:tcPr>
            <w:tcW w:type="dxa" w:w="999"/>
          </w:tcPr>
          <w:p>
            <w:pPr>
              <w:spacing w:after="0"/>
            </w:pPr>
            <w:r>
              <w:rPr>
                <w:sz w:val="18"/>
              </w:rPr>
              <w:t>BR-16</w:t>
            </w:r>
          </w:p>
        </w:tc>
        <w:tc>
          <w:tcPr>
            <w:tcW w:type="dxa" w:w="8361"/>
          </w:tcPr>
          <w:p>
            <w:pPr>
              <w:spacing w:after="0"/>
            </w:pPr>
            <w:r>
              <w:rPr>
                <w:sz w:val="18"/>
              </w:rPr>
              <w:t>Self-registration always creates a Resident; staff roles are granted only by an Administrator; a deactivated account cannot sign in or call any function.</w:t>
            </w:r>
          </w:p>
        </w:tc>
      </w:tr>
      <w:tr>
        <w:tc>
          <w:tcPr>
            <w:tcW w:type="dxa" w:w="999"/>
          </w:tcPr>
          <w:p>
            <w:pPr>
              <w:spacing w:after="0"/>
            </w:pPr>
            <w:r>
              <w:rPr>
                <w:sz w:val="18"/>
              </w:rPr>
              <w:t>BR-17</w:t>
            </w:r>
          </w:p>
        </w:tc>
        <w:tc>
          <w:tcPr>
            <w:tcW w:type="dxa" w:w="8361"/>
          </w:tcPr>
          <w:p>
            <w:pPr>
              <w:spacing w:after="0"/>
            </w:pPr>
            <w:r>
              <w:rPr>
                <w:sz w:val="18"/>
              </w:rPr>
              <w:t>Reporter identity, contact details and photos are visible only to the reporter and staff; other residents see category, status, approximate location (about 100 m) and age only.</w:t>
            </w:r>
          </w:p>
        </w:tc>
      </w:tr>
      <w:tr>
        <w:tc>
          <w:tcPr>
            <w:tcW w:type="dxa" w:w="999"/>
          </w:tcPr>
          <w:p>
            <w:pPr>
              <w:spacing w:after="0"/>
            </w:pPr>
            <w:r>
              <w:rPr>
                <w:sz w:val="18"/>
              </w:rPr>
              <w:t>BR-18</w:t>
            </w:r>
          </w:p>
        </w:tc>
        <w:tc>
          <w:tcPr>
            <w:tcW w:type="dxa" w:w="8361"/>
          </w:tcPr>
          <w:p>
            <w:pPr>
              <w:spacing w:after="0"/>
            </w:pPr>
            <w:r>
              <w:rPr>
                <w:sz w:val="18"/>
              </w:rPr>
              <w:t>Internal comments are visible only to staff.</w:t>
            </w:r>
          </w:p>
        </w:tc>
      </w:tr>
      <w:tr>
        <w:tc>
          <w:tcPr>
            <w:tcW w:type="dxa" w:w="999"/>
          </w:tcPr>
          <w:p>
            <w:pPr>
              <w:spacing w:after="0"/>
            </w:pPr>
            <w:r>
              <w:rPr>
                <w:sz w:val="18"/>
              </w:rPr>
              <w:t>BR-19</w:t>
            </w:r>
          </w:p>
        </w:tc>
        <w:tc>
          <w:tcPr>
            <w:tcW w:type="dxa" w:w="8361"/>
          </w:tcPr>
          <w:p>
            <w:pPr>
              <w:spacing w:after="0"/>
            </w:pPr>
            <w:r>
              <w:rPr>
                <w:sz w:val="18"/>
              </w:rPr>
              <w:t>Inactive departments and categories cannot be selected for new reports, triage or assignment.</w:t>
            </w:r>
          </w:p>
        </w:tc>
      </w:tr>
      <w:tr>
        <w:tc>
          <w:tcPr>
            <w:tcW w:type="dxa" w:w="999"/>
          </w:tcPr>
          <w:p>
            <w:pPr>
              <w:spacing w:after="0"/>
            </w:pPr>
            <w:r>
              <w:rPr>
                <w:sz w:val="18"/>
              </w:rPr>
              <w:t>BR-20</w:t>
            </w:r>
          </w:p>
        </w:tc>
        <w:tc>
          <w:tcPr>
            <w:tcW w:type="dxa" w:w="8361"/>
          </w:tcPr>
          <w:p>
            <w:pPr>
              <w:spacing w:after="0"/>
            </w:pPr>
            <w:r>
              <w:rPr>
                <w:sz w:val="18"/>
              </w:rPr>
              <w:t>Officials may act only on reports of their own department; Administrators may act on any.</w:t>
            </w:r>
          </w:p>
        </w:tc>
      </w:tr>
      <w:tr>
        <w:tc>
          <w:tcPr>
            <w:tcW w:type="dxa" w:w="999"/>
          </w:tcPr>
          <w:p>
            <w:pPr>
              <w:spacing w:after="0"/>
            </w:pPr>
            <w:r>
              <w:rPr>
                <w:sz w:val="18"/>
              </w:rPr>
              <w:t>BR-21</w:t>
            </w:r>
          </w:p>
        </w:tc>
        <w:tc>
          <w:tcPr>
            <w:tcW w:type="dxa" w:w="8361"/>
          </w:tcPr>
          <w:p>
            <w:pPr>
              <w:spacing w:after="0"/>
            </w:pPr>
            <w:r>
              <w:rPr>
                <w:sz w:val="18"/>
              </w:rPr>
              <w:t>A resident may submit at most N reports in any rolling hour; N is set by an Administrator (1–100, default 10).</w:t>
            </w:r>
          </w:p>
        </w:tc>
      </w:tr>
      <w:tr>
        <w:tc>
          <w:tcPr>
            <w:tcW w:type="dxa" w:w="999"/>
          </w:tcPr>
          <w:p>
            <w:pPr>
              <w:spacing w:after="0"/>
            </w:pPr>
            <w:r>
              <w:rPr>
                <w:sz w:val="18"/>
              </w:rPr>
              <w:t>BR-22</w:t>
            </w:r>
          </w:p>
        </w:tc>
        <w:tc>
          <w:tcPr>
            <w:tcW w:type="dxa" w:w="8361"/>
          </w:tcPr>
          <w:p>
            <w:pPr>
              <w:spacing w:after="0"/>
            </w:pPr>
            <w:r>
              <w:rPr>
                <w:sz w:val="18"/>
              </w:rPr>
              <w:t>When a resident deletes their account, their name, email, phone, photos, notifications, alert receipts, profile and sign-in are erased; their reports are kept for service records as "Former resident". Staff accounts are deactivated, never self-deleted.</w:t>
            </w:r>
          </w:p>
        </w:tc>
      </w:tr>
    </w:tbl>
    <w:p/>
    <w:p>
      <w:pPr>
        <w:pStyle w:val="Heading2"/>
        <w:numPr>
          <w:ilvl w:val="1"/>
          <w:numId w:val="9"/>
        </w:numPr>
      </w:pPr>
      <w:r>
        <w:t>Acceptance Criteria for Included Requirements</w:t>
      </w:r>
    </w:p>
    <w:p>
      <w:r>
        <w:rPr>
          <w:b/>
        </w:rPr>
        <w:t>FR-01 Register.</w:t>
      </w:r>
      <w:r>
        <w:t xml:space="preserve"> Valid details create a Resident account and profile. A duplicate email is refused with "Email already registered". A password shorter than 8 characters or a missing suburb is refused with a field message. A role sent by the client is ignored.</w:t>
      </w:r>
    </w:p>
    <w:p>
      <w:r>
        <w:rPr>
          <w:b/>
        </w:rPr>
        <w:t>FR-02 Sign in.</w:t>
      </w:r>
      <w:r>
        <w:t xml:space="preserve"> Valid credentials open the area for the user's role. Wrong credentials show a generic error. A deactivated account cannot sign in or call any function. Opening another role's page shows the access-denied page.</w:t>
      </w:r>
    </w:p>
    <w:p>
      <w:r>
        <w:rPr>
          <w:b/>
        </w:rPr>
        <w:t>FR-03 Submit report.</w:t>
      </w:r>
      <w:r>
        <w:t xml:space="preserve"> Every BR-02 rule is checked in the form and again on the server, with field-level messages. A location outside the municipality, a fourth photo, a file over 15 MB or a file that is not really an image is refused. On success the resident sees the reference number.</w:t>
      </w:r>
    </w:p>
    <w:p>
      <w:r>
        <w:rPr>
          <w:b/>
        </w:rPr>
        <w:t>FR-04 Reference.</w:t>
      </w:r>
      <w:r>
        <w:t xml:space="preserve"> Concurrent submissions receive distinct, sequential references. A new report is Submitted, routed to its category's department, and has one history entry.</w:t>
      </w:r>
    </w:p>
    <w:p>
      <w:r>
        <w:rPr>
          <w:b/>
        </w:rPr>
        <w:t>FR-05 Duplicate.</w:t>
      </w:r>
      <w:r>
        <w:t xml:space="preserve"> A report of the same category within 100 m of an open report from the last 72 hours is linked as a duplicate, and the resident is shown the original's reference. Beyond 100 m, a different category, or a closed original produces a new report.</w:t>
      </w:r>
    </w:p>
    <w:p>
      <w:r>
        <w:rPr>
          <w:b/>
        </w:rPr>
        <w:t>FR-06 My reports.</w:t>
      </w:r>
      <w:r>
        <w:t xml:space="preserve"> Only the resident's own (or followed) reports are shown. The tabs filter correctly. The timeline is chronological with actor role and note. Another resident's report cannot be opened. An empty state is shown when there are no reports.</w:t>
      </w:r>
    </w:p>
    <w:p>
      <w:r>
        <w:rPr>
          <w:b/>
        </w:rPr>
        <w:t>FR-07 Map.</w:t>
      </w:r>
      <w:r>
        <w:t xml:space="preserve"> Open reports appear as category-coloured markers with a working filter. Popups show category, status, suburb and age only. The public data contains no reporter, description or photos.</w:t>
      </w:r>
    </w:p>
    <w:p>
      <w:r>
        <w:rPr>
          <w:b/>
        </w:rPr>
        <w:t>FR-08 Queue.</w:t>
      </w:r>
      <w:r>
        <w:t xml:space="preserve"> Officials see only their department's reports (Administrators see all). Filters combine. Searching by reference finds the report. Unassigned reports are flagged. An empty result shows an empty state.</w:t>
      </w:r>
    </w:p>
    <w:p>
      <w:r>
        <w:rPr>
          <w:b/>
        </w:rPr>
        <w:t>FR-09 Triage / reject.</w:t>
      </w:r>
      <w:r>
        <w:t xml:space="preserve"> Triage moves Submitted to Under Review and records history. Rejection requires a reason. Triage from any other status, or by an official of another department, is refused.</w:t>
      </w:r>
    </w:p>
    <w:p>
      <w:r>
        <w:rPr>
          <w:b/>
        </w:rPr>
        <w:t>FR-10 Assign.</w:t>
      </w:r>
      <w:r>
        <w:t xml:space="preserve"> Only active workers of the report's department can be chosen. Assignment creates an Assigned task, moves the report to In Progress, and notifies the worker and resident. A report that already has an active task cannot be assigned again. Of two simultaneous assignments, exactly one succeeds.</w:t>
      </w:r>
    </w:p>
    <w:p>
      <w:r>
        <w:rPr>
          <w:b/>
        </w:rPr>
        <w:t>FR-11 Field worker.</w:t>
      </w:r>
      <w:r>
        <w:t xml:space="preserve"> Workers see only their own tasks. Steps must happen in order. Completion without notes or a proof photo is refused. Completion resolves the report and notifies the resident. Another worker cannot act on the task.</w:t>
      </w:r>
    </w:p>
    <w:p>
      <w:r>
        <w:rPr>
          <w:b/>
        </w:rPr>
        <w:t>FR-12 Reassign.</w:t>
      </w:r>
      <w:r>
        <w:t xml:space="preserve"> The old task becomes Reassigned and a new task is created. Reassigning to the same worker, or when there is no active task, is refused. A reassigned task can no longer be completed.</w:t>
      </w:r>
    </w:p>
    <w:p>
      <w:r>
        <w:rPr>
          <w:b/>
        </w:rPr>
        <w:t>FR-13 Escalate.</w:t>
      </w:r>
      <w:r>
        <w:t xml:space="preserve"> A report past its SLA is escalated by the next scheduled run, exactly once. Manual escalation requires a reason. An escalated report can still be assigned.</w:t>
      </w:r>
    </w:p>
    <w:p>
      <w:r>
        <w:rPr>
          <w:b/>
        </w:rPr>
        <w:t>FR-14 Confirm / reopen.</w:t>
      </w:r>
      <w:r>
        <w:t xml:space="preserve"> Within 7 days the reporter can confirm (Closed) or reopen with a reason (Under Review, officials notified). After 7 days both are refused and the schedule closes the report. Other residents cannot act on it.</w:t>
      </w:r>
    </w:p>
    <w:p>
      <w:r>
        <w:rPr>
          <w:b/>
        </w:rPr>
        <w:t>FR-15 Notifications.</w:t>
      </w:r>
      <w:r>
        <w:t xml:space="preserve"> Each lifecycle event creates notifications for the correct recipients. The unread badge updates live. Opening a notification marks it read and navigates to the record.</w:t>
      </w:r>
    </w:p>
    <w:p>
      <w:r>
        <w:rPr>
          <w:b/>
        </w:rPr>
        <w:t>FR-16 Broadcast.</w:t>
      </w:r>
      <w:r>
        <w:t xml:space="preserve"> BR-13 is enforced with field messages. A valid alert creates one delivery record per active resident in the target suburbs. Residents and field workers cannot broadcast.</w:t>
      </w:r>
    </w:p>
    <w:p>
      <w:r>
        <w:rPr>
          <w:b/>
        </w:rPr>
        <w:t>FR-17 Alerts feed.</w:t>
      </w:r>
      <w:r>
        <w:t xml:space="preserve"> Residents see only active, unexpired alerts for their suburb or All, emergencies first. Reading records a receipt once per resident.</w:t>
      </w:r>
    </w:p>
    <w:p>
      <w:r>
        <w:rPr>
          <w:b/>
        </w:rPr>
        <w:t>FR-18 Alert history.</w:t>
      </w:r>
      <w:r>
        <w:t xml:space="preserve"> Recipient and read counts match the delivery records. Ending an alert hides it from residents immediately.</w:t>
      </w:r>
    </w:p>
    <w:p>
      <w:r>
        <w:rPr>
          <w:b/>
        </w:rPr>
        <w:t>FR-19 Analytics.</w:t>
      </w:r>
      <w:r>
        <w:t xml:space="preserve"> The metrics match the dataset. Empty data shows "no data" rather than an invalid number. Residents cannot access analytics.</w:t>
      </w:r>
    </w:p>
    <w:p>
      <w:r>
        <w:rPr>
          <w:b/>
        </w:rPr>
        <w:t>FR-20 User administration.</w:t>
      </w:r>
      <w:r>
        <w:t xml:space="preserve"> Staff accounts are created with the correct role and department. Role changes and deactivation take effect immediately. Administrators cannot demote or deactivate themselves. Non-administrators are refused.</w:t>
      </w:r>
    </w:p>
    <w:p>
      <w:r>
        <w:rPr>
          <w:b/>
        </w:rPr>
        <w:t>FR-21 Configuration.</w:t>
      </w:r>
      <w:r>
        <w:t xml:space="preserve"> SLA hours must be a whole number from 1 to 720. Names are unique. A deactivated category disappears from the report form. The hourly report limit (BR-21) must be from 1 to 100.</w:t>
      </w:r>
    </w:p>
    <w:p>
      <w:r>
        <w:rPr>
          <w:b/>
        </w:rPr>
        <w:t>FR-29 Google sign-in.</w:t>
      </w:r>
      <w:r>
        <w:t xml:space="preserve"> A first-time Google user is taken to a profile step that needs a name and a suburb, and always becomes a Resident. An existing profile cannot be re-created.</w:t>
      </w:r>
    </w:p>
    <w:p>
      <w:r>
        <w:rPr>
          <w:b/>
        </w:rPr>
        <w:t>FR-30 Password reset.</w:t>
      </w:r>
      <w:r>
        <w:t xml:space="preserve"> The same confirmation is shown whether or not the email is registered.</w:t>
      </w:r>
    </w:p>
    <w:p>
      <w:r>
        <w:rPr>
          <w:b/>
        </w:rPr>
        <w:t>FR-31 Profile.</w:t>
      </w:r>
      <w:r>
        <w:t xml:space="preserve"> An invalid SA phone number is refused. A resident who changes suburb receives that suburb's alerts. Staff have no suburb.</w:t>
      </w:r>
    </w:p>
    <w:p>
      <w:r>
        <w:rPr>
          <w:b/>
        </w:rPr>
        <w:t>FR-32 Account deletion.</w:t>
      </w:r>
      <w:r>
        <w:t xml:space="preserve"> It requires typing DELETE. Afterwards the user cannot sign in. Their reports show "Former resident" without photos and generate no notifications. Staff cannot self-delete.</w:t>
      </w:r>
    </w:p>
    <w:p>
      <w:pPr>
        <w:pStyle w:val="Heading1"/>
        <w:numPr>
          <w:ilvl w:val="0"/>
          <w:numId w:val="9"/>
        </w:numPr>
      </w:pPr>
      <w:r>
        <w:t>SYSTEM DESIGN SPECIFICATION</w:t>
      </w:r>
    </w:p>
    <w:p>
      <w:r>
        <w:t>The design described here is the final implemented design. Every diagram is generated from PlantUML source kept in the repository (</w:t>
      </w:r>
      <w:r>
        <w:rPr>
          <w:rFonts w:ascii="Consolas" w:hAnsi="Consolas"/>
          <w:sz w:val="18"/>
        </w:rPr>
        <w:t>docs/diagrams/src</w:t>
      </w:r>
      <w:r>
        <w:t>) and uses the identifiers of the code and the requirements.</w:t>
      </w:r>
    </w:p>
    <w:p>
      <w:pPr>
        <w:pStyle w:val="Heading2"/>
        <w:numPr>
          <w:ilvl w:val="1"/>
          <w:numId w:val="9"/>
        </w:numPr>
      </w:pPr>
      <w:r>
        <w:t>Use Cases and Workflows</w:t>
      </w:r>
    </w:p>
    <w:p>
      <w:r>
        <w:t>The use-case diagram (Figure 2) shows the four human actors, plus the system scheduler that triggers SLA escalation and automatic closure. The Administrator inherits every Official capability.</w:t>
      </w:r>
    </w:p>
    <w:tbl>
      <w:tblPr>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1920240" cy="6350722"/>
                  <wp:docPr id="3" name="Picture 3"/>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1920240" cy="6350722"/>
                          </a:xfrm>
                          <a:prstGeom prst="rect"/>
                        </pic:spPr>
                      </pic:pic>
                    </a:graphicData>
                  </a:graphic>
                </wp:inline>
              </w:drawing>
            </w:r>
          </w:p>
        </w:tc>
      </w:tr>
      <w:tr>
        <w:tc>
          <w:tcPr>
            <w:tcW w:type="dxa" w:w="9360"/>
          </w:tcPr>
          <w:p>
            <w:pPr>
              <w:pStyle w:val="Caption"/>
              <w:jc w:val="center"/>
            </w:pPr>
            <w:r>
              <w:t>Figure 2: Use-case diagram of the final release</w:t>
            </w:r>
          </w:p>
        </w:tc>
      </w:tr>
    </w:tbl>
    <w:p/>
    <w:p>
      <w:r>
        <w:t>Two end-to-end workflows were selected from the core functionality. Both diagrams for each workflow include the validation, authorisation, conflict and alternative paths, not only the successful path.</w:t>
      </w:r>
    </w:p>
    <w:p>
      <w:pPr>
        <w:pStyle w:val="Heading3"/>
      </w:pPr>
      <w:r>
        <w:t>Workflow W1: Submit an incident report (FR-03, FR-04, FR-05)</w:t>
      </w:r>
    </w:p>
    <w:p>
      <w:r>
        <w:t xml:space="preserve">A resident completes the three-step form, and client validation gives immediate feedback. Photos are compressed in the browser (≤ 1280 px, ≤ 700 KB) and sent with the request. The </w:t>
      </w:r>
      <w:r>
        <w:rPr>
          <w:rFonts w:ascii="Consolas" w:hAnsi="Consolas"/>
          <w:sz w:val="18"/>
        </w:rPr>
        <w:t>submitReport</w:t>
      </w:r>
      <w:r>
        <w:t xml:space="preserve"> command checks the caller's role and the input, verifies each photo's real type from its first bytes, and runs transaction TX-1, which also writes the photos as binary documents. TX-1 checks that the category is active, searches for open reports of the same category within 100 m, allocates the next reference, and writes either a new Submitted report (with the public map projection and notifications to the department's officials) or a Duplicate report linked to the original.</w:t>
      </w:r>
    </w:p>
    <w:p>
      <w:pPr>
        <w:keepNext/>
        <w:jc w:val="center"/>
      </w:pPr>
      <w:r>
        <w:drawing>
          <wp:inline xmlns:a="http://schemas.openxmlformats.org/drawingml/2006/main" xmlns:pic="http://schemas.openxmlformats.org/drawingml/2006/picture">
            <wp:extent cx="3566160" cy="8298589"/>
            <wp:docPr id="4" name="Picture 4"/>
            <wp:cNvGraphicFramePr>
              <a:graphicFrameLocks noChangeAspect="1"/>
            </wp:cNvGraphicFramePr>
            <a:graphic>
              <a:graphicData uri="http://schemas.openxmlformats.org/drawingml/2006/picture">
                <pic:pic>
                  <pic:nvPicPr>
                    <pic:cNvPr id="0" name="activity-w1.png"/>
                    <pic:cNvPicPr/>
                  </pic:nvPicPr>
                  <pic:blipFill>
                    <a:blip r:embed="rId14"/>
                    <a:stretch>
                      <a:fillRect/>
                    </a:stretch>
                  </pic:blipFill>
                  <pic:spPr>
                    <a:xfrm>
                      <a:off x="0" y="0"/>
                      <a:ext cx="3566160" cy="8298589"/>
                    </a:xfrm>
                    <a:prstGeom prst="rect"/>
                  </pic:spPr>
                </pic:pic>
              </a:graphicData>
            </a:graphic>
          </wp:inline>
        </w:drawing>
      </w:r>
    </w:p>
    <w:p>
      <w:pPr>
        <w:pStyle w:val="Caption"/>
        <w:jc w:val="center"/>
      </w:pPr>
      <w:r>
        <w:t>Figure 3: Activity diagram, W1 submit incident report</w:t>
      </w:r>
    </w:p>
    <w:p>
      <w:pPr>
        <w:keepNext/>
        <w:jc w:val="center"/>
      </w:pPr>
      <w:r>
        <w:drawing>
          <wp:inline xmlns:a="http://schemas.openxmlformats.org/drawingml/2006/main" xmlns:pic="http://schemas.openxmlformats.org/drawingml/2006/picture">
            <wp:extent cx="5943600" cy="7121364"/>
            <wp:docPr id="5" name="Picture 5"/>
            <wp:cNvGraphicFramePr>
              <a:graphicFrameLocks noChangeAspect="1"/>
            </wp:cNvGraphicFramePr>
            <a:graphic>
              <a:graphicData uri="http://schemas.openxmlformats.org/drawingml/2006/picture">
                <pic:pic>
                  <pic:nvPicPr>
                    <pic:cNvPr id="0" name="sequence-w1.png"/>
                    <pic:cNvPicPr/>
                  </pic:nvPicPr>
                  <pic:blipFill>
                    <a:blip r:embed="rId15"/>
                    <a:stretch>
                      <a:fillRect/>
                    </a:stretch>
                  </pic:blipFill>
                  <pic:spPr>
                    <a:xfrm>
                      <a:off x="0" y="0"/>
                      <a:ext cx="5943600" cy="7121364"/>
                    </a:xfrm>
                    <a:prstGeom prst="rect"/>
                  </pic:spPr>
                </pic:pic>
              </a:graphicData>
            </a:graphic>
          </wp:inline>
        </w:drawing>
      </w:r>
    </w:p>
    <w:p>
      <w:pPr>
        <w:pStyle w:val="Caption"/>
        <w:jc w:val="center"/>
      </w:pPr>
      <w:r>
        <w:t>Figure 4: Sequence diagram, W1 submit incident report</w:t>
      </w:r>
    </w:p>
    <w:p>
      <w:pPr>
        <w:pStyle w:val="Heading3"/>
      </w:pPr>
      <w:r>
        <w:t>Workflow W2: Triage, assign, complete and confirm (FR-09 to FR-14)</w:t>
      </w:r>
    </w:p>
    <w:p>
      <w:r>
        <w:t>An official triages or rejects a report, then assigns it to an eligible field worker in transaction TX-2. The field worker accepts, starts and completes the task, and transaction TX-3 resolves the report. Finally the resident confirms the fix or reopens the report. The alternative and failure paths shown are: rejection; a report that already has an active task; an ineligible worker; skipped task steps; missing completion proof; a task that was reassigned while the worker was on site; and reopening.</w:t>
      </w:r>
    </w:p>
    <w:p>
      <w:pPr>
        <w:keepNext/>
        <w:jc w:val="center"/>
      </w:pPr>
      <w:r>
        <w:drawing>
          <wp:inline xmlns:a="http://schemas.openxmlformats.org/drawingml/2006/main" xmlns:pic="http://schemas.openxmlformats.org/drawingml/2006/picture">
            <wp:extent cx="5943600" cy="6317804"/>
            <wp:docPr id="6" name="Picture 6"/>
            <wp:cNvGraphicFramePr>
              <a:graphicFrameLocks noChangeAspect="1"/>
            </wp:cNvGraphicFramePr>
            <a:graphic>
              <a:graphicData uri="http://schemas.openxmlformats.org/drawingml/2006/picture">
                <pic:pic>
                  <pic:nvPicPr>
                    <pic:cNvPr id="0" name="activity-w2.png"/>
                    <pic:cNvPicPr/>
                  </pic:nvPicPr>
                  <pic:blipFill>
                    <a:blip r:embed="rId16"/>
                    <a:stretch>
                      <a:fillRect/>
                    </a:stretch>
                  </pic:blipFill>
                  <pic:spPr>
                    <a:xfrm>
                      <a:off x="0" y="0"/>
                      <a:ext cx="5943600" cy="6317804"/>
                    </a:xfrm>
                    <a:prstGeom prst="rect"/>
                  </pic:spPr>
                </pic:pic>
              </a:graphicData>
            </a:graphic>
          </wp:inline>
        </w:drawing>
      </w:r>
    </w:p>
    <w:p>
      <w:pPr>
        <w:pStyle w:val="Caption"/>
        <w:jc w:val="center"/>
      </w:pPr>
      <w:r>
        <w:t>Figure 5: Activity diagram, W2 triage, assign, complete and confirm</w:t>
      </w:r>
    </w:p>
    <w:p>
      <w:pPr>
        <w:keepNext/>
        <w:jc w:val="center"/>
      </w:pPr>
      <w:r>
        <w:drawing>
          <wp:inline xmlns:a="http://schemas.openxmlformats.org/drawingml/2006/main" xmlns:pic="http://schemas.openxmlformats.org/drawingml/2006/picture">
            <wp:extent cx="5943600" cy="7181203"/>
            <wp:docPr id="7" name="Picture 7"/>
            <wp:cNvGraphicFramePr>
              <a:graphicFrameLocks noChangeAspect="1"/>
            </wp:cNvGraphicFramePr>
            <a:graphic>
              <a:graphicData uri="http://schemas.openxmlformats.org/drawingml/2006/picture">
                <pic:pic>
                  <pic:nvPicPr>
                    <pic:cNvPr id="0" name="sequence-w2.png"/>
                    <pic:cNvPicPr/>
                  </pic:nvPicPr>
                  <pic:blipFill>
                    <a:blip r:embed="rId17"/>
                    <a:stretch>
                      <a:fillRect/>
                    </a:stretch>
                  </pic:blipFill>
                  <pic:spPr>
                    <a:xfrm>
                      <a:off x="0" y="0"/>
                      <a:ext cx="5943600" cy="7181203"/>
                    </a:xfrm>
                    <a:prstGeom prst="rect"/>
                  </pic:spPr>
                </pic:pic>
              </a:graphicData>
            </a:graphic>
          </wp:inline>
        </w:drawing>
      </w:r>
    </w:p>
    <w:p>
      <w:pPr>
        <w:pStyle w:val="Caption"/>
        <w:jc w:val="center"/>
      </w:pPr>
      <w:r>
        <w:t>Figure 6: Sequence diagram, W2 assign and complete</w:t>
      </w:r>
    </w:p>
    <w:p>
      <w:pPr>
        <w:pStyle w:val="Heading3"/>
      </w:pPr>
      <w:r>
        <w:t>Entity lifecycles</w:t>
      </w:r>
    </w:p>
    <w:p>
      <w:r>
        <w:t xml:space="preserve">The </w:t>
      </w:r>
      <w:r>
        <w:rPr>
          <w:b/>
        </w:rPr>
        <w:t>Report</w:t>
      </w:r>
      <w:r>
        <w:t xml:space="preserve"> has a meaningful lifecycle with eight states (Figure 7), implemented in </w:t>
      </w:r>
      <w:r>
        <w:rPr>
          <w:rFonts w:ascii="Consolas" w:hAnsi="Consolas"/>
          <w:sz w:val="18"/>
        </w:rPr>
        <w:t>ReportStateMachine</w:t>
      </w:r>
      <w:r>
        <w:t xml:space="preserve"> in the shared package. Both the server (to enforce transitions) and the user interface (to offer only valid actions) use it. The </w:t>
      </w:r>
      <w:r>
        <w:rPr>
          <w:b/>
        </w:rPr>
        <w:t>Task</w:t>
      </w:r>
      <w:r>
        <w:t xml:space="preserve"> lifecycle (Figure 8) is implemented in </w:t>
      </w:r>
      <w:r>
        <w:rPr>
          <w:rFonts w:ascii="Consolas" w:hAnsi="Consolas"/>
          <w:sz w:val="18"/>
        </w:rPr>
        <w:t>TaskStateMachine</w:t>
      </w:r>
      <w:r>
        <w:t>.</w:t>
      </w:r>
    </w:p>
    <w:p>
      <w:pPr>
        <w:keepNext/>
        <w:jc w:val="center"/>
      </w:pPr>
      <w:r>
        <w:drawing>
          <wp:inline xmlns:a="http://schemas.openxmlformats.org/drawingml/2006/main" xmlns:pic="http://schemas.openxmlformats.org/drawingml/2006/picture">
            <wp:extent cx="5486400" cy="3949354"/>
            <wp:docPr id="8" name="Picture 8"/>
            <wp:cNvGraphicFramePr>
              <a:graphicFrameLocks noChangeAspect="1"/>
            </wp:cNvGraphicFramePr>
            <a:graphic>
              <a:graphicData uri="http://schemas.openxmlformats.org/drawingml/2006/picture">
                <pic:pic>
                  <pic:nvPicPr>
                    <pic:cNvPr id="0" name="state-report.png"/>
                    <pic:cNvPicPr/>
                  </pic:nvPicPr>
                  <pic:blipFill>
                    <a:blip r:embed="rId18"/>
                    <a:stretch>
                      <a:fillRect/>
                    </a:stretch>
                  </pic:blipFill>
                  <pic:spPr>
                    <a:xfrm>
                      <a:off x="0" y="0"/>
                      <a:ext cx="5486400" cy="3949354"/>
                    </a:xfrm>
                    <a:prstGeom prst="rect"/>
                  </pic:spPr>
                </pic:pic>
              </a:graphicData>
            </a:graphic>
          </wp:inline>
        </w:drawing>
      </w:r>
    </w:p>
    <w:p>
      <w:pPr>
        <w:pStyle w:val="Caption"/>
        <w:jc w:val="center"/>
      </w:pPr>
      <w:r>
        <w:t>Figure 7: State diagram of the Report entity</w:t>
      </w:r>
    </w:p>
    <w:tbl>
      <w:tblPr>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1920240" cy="2710493"/>
                  <wp:docPr id="9" name="Picture 9"/>
                  <wp:cNvGraphicFramePr>
                    <a:graphicFrameLocks noChangeAspect="1"/>
                  </wp:cNvGraphicFramePr>
                  <a:graphic>
                    <a:graphicData uri="http://schemas.openxmlformats.org/drawingml/2006/picture">
                      <pic:pic>
                        <pic:nvPicPr>
                          <pic:cNvPr id="0" name="state-task.png"/>
                          <pic:cNvPicPr/>
                        </pic:nvPicPr>
                        <pic:blipFill>
                          <a:blip r:embed="rId19"/>
                          <a:stretch>
                            <a:fillRect/>
                          </a:stretch>
                        </pic:blipFill>
                        <pic:spPr>
                          <a:xfrm>
                            <a:off x="0" y="0"/>
                            <a:ext cx="1920240" cy="2710493"/>
                          </a:xfrm>
                          <a:prstGeom prst="rect"/>
                        </pic:spPr>
                      </pic:pic>
                    </a:graphicData>
                  </a:graphic>
                </wp:inline>
              </w:drawing>
            </w:r>
          </w:p>
        </w:tc>
      </w:tr>
      <w:tr>
        <w:tc>
          <w:tcPr>
            <w:tcW w:type="dxa" w:w="9360"/>
          </w:tcPr>
          <w:p>
            <w:pPr>
              <w:pStyle w:val="Caption"/>
              <w:jc w:val="center"/>
            </w:pPr>
            <w:r>
              <w:t>Figure 8: State diagram of the Task entity</w:t>
            </w:r>
          </w:p>
        </w:tc>
      </w:tr>
    </w:tbl>
    <w:p/>
    <w:p>
      <w:pPr>
        <w:pStyle w:val="Heading2"/>
        <w:numPr>
          <w:ilvl w:val="1"/>
          <w:numId w:val="9"/>
        </w:numPr>
      </w:pPr>
      <w:r>
        <w:t>System Architecture and Technology Stack</w:t>
      </w:r>
    </w:p>
    <w:p>
      <w:r>
        <w:t>CivicLink follows a command–query separation on a serverless backend (Figure 9).</w:t>
      </w:r>
    </w:p>
    <w:p>
      <w:pPr>
        <w:pStyle w:val="BulletCompact"/>
        <w:numPr>
          <w:ilvl w:val="0"/>
          <w:numId w:val="8"/>
        </w:numPr>
      </w:pPr>
      <w:r>
        <w:rPr>
          <w:b/>
        </w:rPr>
        <w:t>Reads</w:t>
      </w:r>
      <w:r>
        <w:t xml:space="preserve"> are made directly from Firestore through real-time listeners, protected by Security Rules.</w:t>
      </w:r>
    </w:p>
    <w:p>
      <w:pPr>
        <w:pStyle w:val="BulletCompact"/>
        <w:numPr>
          <w:ilvl w:val="0"/>
          <w:numId w:val="8"/>
        </w:numPr>
      </w:pPr>
      <w:r>
        <w:rPr>
          <w:b/>
        </w:rPr>
        <w:t>State changes</w:t>
      </w:r>
      <w:r>
        <w:t xml:space="preserve"> go through callable Cloud Functions. These authenticate the caller, check the role, validate the input with the shared schemas, and run the business logic in Firestore transactions.</w:t>
      </w:r>
    </w:p>
    <w:p>
      <w:pPr>
        <w:pStyle w:val="BulletCompact"/>
        <w:numPr>
          <w:ilvl w:val="0"/>
          <w:numId w:val="8"/>
        </w:numPr>
      </w:pPr>
      <w:r>
        <w:rPr>
          <w:b/>
        </w:rPr>
        <w:t>Domain logic</w:t>
      </w:r>
      <w:r>
        <w:t xml:space="preserve"> (schemas, state machines and policies) lives in a shared TypeScript package used by both the browser and the server.</w:t>
      </w:r>
    </w:p>
    <w:p>
      <w:pPr>
        <w:keepNext/>
        <w:jc w:val="center"/>
      </w:pPr>
      <w:r>
        <w:drawing>
          <wp:inline xmlns:a="http://schemas.openxmlformats.org/drawingml/2006/main" xmlns:pic="http://schemas.openxmlformats.org/drawingml/2006/picture">
            <wp:extent cx="5943600" cy="5649058"/>
            <wp:docPr id="10" name="Picture 10"/>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943600" cy="5649058"/>
                    </a:xfrm>
                    <a:prstGeom prst="rect"/>
                  </pic:spPr>
                </pic:pic>
              </a:graphicData>
            </a:graphic>
          </wp:inline>
        </w:drawing>
      </w:r>
    </w:p>
    <w:p>
      <w:pPr>
        <w:pStyle w:val="Caption"/>
        <w:jc w:val="center"/>
      </w:pPr>
      <w:r>
        <w:t>Figure 9: Logical architecture</w:t>
      </w:r>
    </w:p>
    <w:p>
      <w:pPr>
        <w:pStyle w:val="Caption"/>
        <w:keepNext/>
      </w:pPr>
      <w:r>
        <w:t>Table 8: Component responsibilities and technology stack</w:t>
      </w:r>
    </w:p>
    <w:tbl>
      <w:tblPr>
        <w:tblStyle w:val="TableGrid"/>
        <w:tblW w:type="auto" w:w="0"/>
        <w:jc w:val="center"/>
        <w:tblLayout w:type="fixed"/>
        <w:tblLook w:firstColumn="1" w:firstRow="1" w:lastColumn="0" w:lastRow="0" w:noHBand="0" w:noVBand="1" w:val="04A0"/>
        <w:tblLayout w:type="fixed"/>
      </w:tblPr>
      <w:tblGrid>
        <w:gridCol w:w="2096"/>
        <w:gridCol w:w="3993"/>
        <w:gridCol w:w="3271"/>
      </w:tblGrid>
      <w:tr>
        <w:trPr>
          <w:tblHeader w:val="true"/>
        </w:trPr>
        <w:tc>
          <w:tcPr>
            <w:tcW w:type="dxa" w:w="2096"/>
            <w:shd w:val="clear" w:color="auto" w:fill="D5EBF4"/>
          </w:tcPr>
          <w:p>
            <w:pPr>
              <w:spacing w:after="0"/>
            </w:pPr>
            <w:r>
              <w:rPr>
                <w:b/>
                <w:sz w:val="18"/>
              </w:rPr>
              <w:t>Component</w:t>
            </w:r>
          </w:p>
        </w:tc>
        <w:tc>
          <w:tcPr>
            <w:tcW w:type="dxa" w:w="3993"/>
            <w:shd w:val="clear" w:color="auto" w:fill="D5EBF4"/>
          </w:tcPr>
          <w:p>
            <w:pPr>
              <w:spacing w:after="0"/>
            </w:pPr>
            <w:r>
              <w:rPr>
                <w:b/>
                <w:sz w:val="18"/>
              </w:rPr>
              <w:t>Technology</w:t>
            </w:r>
          </w:p>
        </w:tc>
        <w:tc>
          <w:tcPr>
            <w:tcW w:type="dxa" w:w="3271"/>
            <w:shd w:val="clear" w:color="auto" w:fill="D5EBF4"/>
          </w:tcPr>
          <w:p>
            <w:pPr>
              <w:spacing w:after="0"/>
            </w:pPr>
            <w:r>
              <w:rPr>
                <w:b/>
                <w:sz w:val="18"/>
              </w:rPr>
              <w:t>Responsibility</w:t>
            </w:r>
          </w:p>
        </w:tc>
      </w:tr>
      <w:tr>
        <w:tc>
          <w:tcPr>
            <w:tcW w:type="dxa" w:w="2096"/>
          </w:tcPr>
          <w:p>
            <w:pPr>
              <w:spacing w:after="0"/>
            </w:pPr>
            <w:r>
              <w:rPr>
                <w:sz w:val="18"/>
              </w:rPr>
              <w:t>Web application</w:t>
            </w:r>
          </w:p>
        </w:tc>
        <w:tc>
          <w:tcPr>
            <w:tcW w:type="dxa" w:w="3993"/>
          </w:tcPr>
          <w:p>
            <w:pPr>
              <w:spacing w:after="0"/>
            </w:pPr>
            <w:r>
              <w:rPr>
                <w:sz w:val="18"/>
              </w:rPr>
              <w:t>React 19, TypeScript, Vite, React Router, Tailwind CSS</w:t>
            </w:r>
          </w:p>
        </w:tc>
        <w:tc>
          <w:tcPr>
            <w:tcW w:type="dxa" w:w="3271"/>
          </w:tcPr>
          <w:p>
            <w:pPr>
              <w:spacing w:after="0"/>
            </w:pPr>
            <w:r>
              <w:rPr>
                <w:sz w:val="18"/>
              </w:rPr>
              <w:t>Role-specific user interfaces, client-side validation, real-time views</w:t>
            </w:r>
          </w:p>
        </w:tc>
      </w:tr>
      <w:tr>
        <w:tc>
          <w:tcPr>
            <w:tcW w:type="dxa" w:w="2096"/>
          </w:tcPr>
          <w:p>
            <w:pPr>
              <w:spacing w:after="0"/>
            </w:pPr>
            <w:r>
              <w:rPr>
                <w:sz w:val="18"/>
              </w:rPr>
              <w:t>Maps</w:t>
            </w:r>
          </w:p>
        </w:tc>
        <w:tc>
          <w:tcPr>
            <w:tcW w:type="dxa" w:w="3993"/>
          </w:tcPr>
          <w:p>
            <w:pPr>
              <w:spacing w:after="0"/>
            </w:pPr>
            <w:r>
              <w:rPr>
                <w:sz w:val="18"/>
              </w:rPr>
              <w:t>Leaflet 1.9 with OpenStreetMap tiles</w:t>
            </w:r>
          </w:p>
        </w:tc>
        <w:tc>
          <w:tcPr>
            <w:tcW w:type="dxa" w:w="3271"/>
          </w:tcPr>
          <w:p>
            <w:pPr>
              <w:spacing w:after="0"/>
            </w:pPr>
            <w:r>
              <w:rPr>
                <w:sz w:val="18"/>
              </w:rPr>
              <w:t>Location capture (GPS or draggable pin) and incident maps</w:t>
            </w:r>
          </w:p>
        </w:tc>
      </w:tr>
      <w:tr>
        <w:tc>
          <w:tcPr>
            <w:tcW w:type="dxa" w:w="2096"/>
          </w:tcPr>
          <w:p>
            <w:pPr>
              <w:spacing w:after="0"/>
            </w:pPr>
            <w:r>
              <w:rPr>
                <w:sz w:val="18"/>
              </w:rPr>
              <w:t>Charts</w:t>
            </w:r>
          </w:p>
        </w:tc>
        <w:tc>
          <w:tcPr>
            <w:tcW w:type="dxa" w:w="3993"/>
          </w:tcPr>
          <w:p>
            <w:pPr>
              <w:spacing w:after="0"/>
            </w:pPr>
            <w:r>
              <w:rPr>
                <w:sz w:val="18"/>
              </w:rPr>
              <w:t>Recharts 3</w:t>
            </w:r>
          </w:p>
        </w:tc>
        <w:tc>
          <w:tcPr>
            <w:tcW w:type="dxa" w:w="3271"/>
          </w:tcPr>
          <w:p>
            <w:pPr>
              <w:spacing w:after="0"/>
            </w:pPr>
            <w:r>
              <w:rPr>
                <w:sz w:val="18"/>
              </w:rPr>
              <w:t>Analytics visualisation</w:t>
            </w:r>
          </w:p>
        </w:tc>
      </w:tr>
      <w:tr>
        <w:tc>
          <w:tcPr>
            <w:tcW w:type="dxa" w:w="2096"/>
          </w:tcPr>
          <w:p>
            <w:pPr>
              <w:spacing w:after="0"/>
            </w:pPr>
            <w:r>
              <w:rPr>
                <w:sz w:val="18"/>
              </w:rPr>
              <w:t>Command API</w:t>
            </w:r>
          </w:p>
        </w:tc>
        <w:tc>
          <w:tcPr>
            <w:tcW w:type="dxa" w:w="3993"/>
          </w:tcPr>
          <w:p>
            <w:pPr>
              <w:spacing w:after="0"/>
            </w:pPr>
            <w:r>
              <w:rPr>
                <w:sz w:val="18"/>
              </w:rPr>
              <w:t>Node.js 22 command registry with two adapters: Vercel serverless functions (deployed) and Cloud Functions (local emulator)</w:t>
            </w:r>
          </w:p>
        </w:tc>
        <w:tc>
          <w:tcPr>
            <w:tcW w:type="dxa" w:w="3271"/>
          </w:tcPr>
          <w:p>
            <w:pPr>
              <w:spacing w:after="0"/>
            </w:pPr>
            <w:r>
              <w:rPr>
                <w:sz w:val="18"/>
              </w:rPr>
              <w:t>Authentication and role checks, validation, business rules, transactions, notifications</w:t>
            </w:r>
          </w:p>
        </w:tc>
      </w:tr>
      <w:tr>
        <w:tc>
          <w:tcPr>
            <w:tcW w:type="dxa" w:w="2096"/>
          </w:tcPr>
          <w:p>
            <w:pPr>
              <w:spacing w:after="0"/>
            </w:pPr>
            <w:r>
              <w:rPr>
                <w:sz w:val="18"/>
              </w:rPr>
              <w:t>Scheduled jobs</w:t>
            </w:r>
          </w:p>
        </w:tc>
        <w:tc>
          <w:tcPr>
            <w:tcW w:type="dxa" w:w="3993"/>
          </w:tcPr>
          <w:p>
            <w:pPr>
              <w:spacing w:after="0"/>
            </w:pPr>
            <w:r>
              <w:rPr>
                <w:sz w:val="18"/>
              </w:rPr>
              <w:t>GitHub Actions (hourly) and Vercel Cron (daily) calling a secret-protected endpoint; Cloud Functions scheduler locally</w:t>
            </w:r>
          </w:p>
        </w:tc>
        <w:tc>
          <w:tcPr>
            <w:tcW w:type="dxa" w:w="3271"/>
          </w:tcPr>
          <w:p>
            <w:pPr>
              <w:spacing w:after="0"/>
            </w:pPr>
            <w:r>
              <w:rPr>
                <w:sz w:val="18"/>
              </w:rPr>
              <w:t>SLA escalation, auto-close</w:t>
            </w:r>
          </w:p>
        </w:tc>
      </w:tr>
      <w:tr>
        <w:tc>
          <w:tcPr>
            <w:tcW w:type="dxa" w:w="2096"/>
          </w:tcPr>
          <w:p>
            <w:pPr>
              <w:spacing w:after="0"/>
            </w:pPr>
            <w:r>
              <w:rPr>
                <w:sz w:val="18"/>
              </w:rPr>
              <w:t>Shared domain package</w:t>
            </w:r>
          </w:p>
        </w:tc>
        <w:tc>
          <w:tcPr>
            <w:tcW w:type="dxa" w:w="3993"/>
          </w:tcPr>
          <w:p>
            <w:pPr>
              <w:spacing w:after="0"/>
            </w:pPr>
            <w:r>
              <w:rPr>
                <w:sz w:val="18"/>
              </w:rPr>
              <w:t>TypeScript, Zod 4</w:t>
            </w:r>
          </w:p>
        </w:tc>
        <w:tc>
          <w:tcPr>
            <w:tcW w:type="dxa" w:w="3271"/>
          </w:tcPr>
          <w:p>
            <w:pPr>
              <w:spacing w:after="0"/>
            </w:pPr>
            <w:r>
              <w:rPr>
                <w:sz w:val="18"/>
              </w:rPr>
              <w:t>Schemas, report/task state machines, duplicate, SLA and resolution policies, analytics</w:t>
            </w:r>
          </w:p>
        </w:tc>
      </w:tr>
      <w:tr>
        <w:tc>
          <w:tcPr>
            <w:tcW w:type="dxa" w:w="2096"/>
          </w:tcPr>
          <w:p>
            <w:pPr>
              <w:spacing w:after="0"/>
            </w:pPr>
            <w:r>
              <w:rPr>
                <w:sz w:val="18"/>
              </w:rPr>
              <w:t>Database</w:t>
            </w:r>
          </w:p>
        </w:tc>
        <w:tc>
          <w:tcPr>
            <w:tcW w:type="dxa" w:w="3993"/>
          </w:tcPr>
          <w:p>
            <w:pPr>
              <w:spacing w:after="0"/>
            </w:pPr>
            <w:r>
              <w:rPr>
                <w:sz w:val="18"/>
              </w:rPr>
              <w:t>Cloud Firestore</w:t>
            </w:r>
          </w:p>
        </w:tc>
        <w:tc>
          <w:tcPr>
            <w:tcW w:type="dxa" w:w="3271"/>
          </w:tcPr>
          <w:p>
            <w:pPr>
              <w:spacing w:after="0"/>
            </w:pPr>
            <w:r>
              <w:rPr>
                <w:sz w:val="18"/>
              </w:rPr>
              <w:t>Persistent documents, real-time listeners, transactions</w:t>
            </w:r>
          </w:p>
        </w:tc>
      </w:tr>
      <w:tr>
        <w:tc>
          <w:tcPr>
            <w:tcW w:type="dxa" w:w="2096"/>
          </w:tcPr>
          <w:p>
            <w:pPr>
              <w:spacing w:after="0"/>
            </w:pPr>
            <w:r>
              <w:rPr>
                <w:sz w:val="18"/>
              </w:rPr>
              <w:t>Photo storage</w:t>
            </w:r>
          </w:p>
        </w:tc>
        <w:tc>
          <w:tcPr>
            <w:tcW w:type="dxa" w:w="3993"/>
          </w:tcPr>
          <w:p>
            <w:pPr>
              <w:spacing w:after="0"/>
            </w:pPr>
            <w:r>
              <w:rPr>
                <w:sz w:val="18"/>
              </w:rPr>
              <w:t>Cloud Firestore binary documents (</w:t>
            </w:r>
            <w:r>
              <w:rPr>
                <w:rFonts w:ascii="Consolas" w:hAnsi="Consolas"/>
                <w:sz w:val="18"/>
              </w:rPr>
              <w:t>photos</w:t>
            </w:r>
            <w:r>
              <w:rPr>
                <w:sz w:val="18"/>
              </w:rPr>
              <w:t>)</w:t>
            </w:r>
          </w:p>
        </w:tc>
        <w:tc>
          <w:tcPr>
            <w:tcW w:type="dxa" w:w="3271"/>
          </w:tcPr>
          <w:p>
            <w:pPr>
              <w:spacing w:after="0"/>
            </w:pPr>
            <w:r>
              <w:rPr>
                <w:sz w:val="18"/>
              </w:rPr>
              <w:t>Report and proof photos, compressed in the browser (decision D3)</w:t>
            </w:r>
          </w:p>
        </w:tc>
      </w:tr>
      <w:tr>
        <w:tc>
          <w:tcPr>
            <w:tcW w:type="dxa" w:w="2096"/>
          </w:tcPr>
          <w:p>
            <w:pPr>
              <w:spacing w:after="0"/>
            </w:pPr>
            <w:r>
              <w:rPr>
                <w:sz w:val="18"/>
              </w:rPr>
              <w:t>Authentication</w:t>
            </w:r>
          </w:p>
        </w:tc>
        <w:tc>
          <w:tcPr>
            <w:tcW w:type="dxa" w:w="3993"/>
          </w:tcPr>
          <w:p>
            <w:pPr>
              <w:spacing w:after="0"/>
            </w:pPr>
            <w:r>
              <w:rPr>
                <w:sz w:val="18"/>
              </w:rPr>
              <w:t>Firebase Authentication with custom claims</w:t>
            </w:r>
          </w:p>
        </w:tc>
        <w:tc>
          <w:tcPr>
            <w:tcW w:type="dxa" w:w="3271"/>
          </w:tcPr>
          <w:p>
            <w:pPr>
              <w:spacing w:after="0"/>
            </w:pPr>
            <w:r>
              <w:rPr>
                <w:sz w:val="18"/>
              </w:rPr>
              <w:t>Email/password sign-in, role, department, suburb and active-account claims</w:t>
            </w:r>
          </w:p>
        </w:tc>
      </w:tr>
      <w:tr>
        <w:tc>
          <w:tcPr>
            <w:tcW w:type="dxa" w:w="2096"/>
          </w:tcPr>
          <w:p>
            <w:pPr>
              <w:spacing w:after="0"/>
            </w:pPr>
            <w:r>
              <w:rPr>
                <w:sz w:val="18"/>
              </w:rPr>
              <w:t>Access control</w:t>
            </w:r>
          </w:p>
        </w:tc>
        <w:tc>
          <w:tcPr>
            <w:tcW w:type="dxa" w:w="3993"/>
          </w:tcPr>
          <w:p>
            <w:pPr>
              <w:spacing w:after="0"/>
            </w:pPr>
            <w:r>
              <w:rPr>
                <w:sz w:val="18"/>
              </w:rPr>
              <w:t>Firestore Security Rules</w:t>
            </w:r>
          </w:p>
        </w:tc>
        <w:tc>
          <w:tcPr>
            <w:tcW w:type="dxa" w:w="3271"/>
          </w:tcPr>
          <w:p>
            <w:pPr>
              <w:spacing w:after="0"/>
            </w:pPr>
            <w:r>
              <w:rPr>
                <w:sz w:val="18"/>
              </w:rPr>
              <w:t>Server-side enforcement of the permission matrix</w:t>
            </w:r>
          </w:p>
        </w:tc>
      </w:tr>
      <w:tr>
        <w:tc>
          <w:tcPr>
            <w:tcW w:type="dxa" w:w="2096"/>
          </w:tcPr>
          <w:p>
            <w:pPr>
              <w:spacing w:after="0"/>
            </w:pPr>
            <w:r>
              <w:rPr>
                <w:sz w:val="18"/>
              </w:rPr>
              <w:t>Runtime: deployed</w:t>
            </w:r>
          </w:p>
        </w:tc>
        <w:tc>
          <w:tcPr>
            <w:tcW w:type="dxa" w:w="3993"/>
          </w:tcPr>
          <w:p>
            <w:pPr>
              <w:spacing w:after="0"/>
            </w:pPr>
            <w:r>
              <w:rPr>
                <w:sz w:val="18"/>
              </w:rPr>
              <w:t>Vercel (static site + Node serverless functions, Cape Town region) and Firebase Spark (Auth, Firestore)</w:t>
            </w:r>
          </w:p>
        </w:tc>
        <w:tc>
          <w:tcPr>
            <w:tcW w:type="dxa" w:w="3271"/>
          </w:tcPr>
          <w:p>
            <w:pPr>
              <w:spacing w:after="0"/>
            </w:pPr>
            <w:r>
              <w:rPr>
                <w:sz w:val="18"/>
              </w:rPr>
              <w:t>Free-tier production configuration (decision D3)</w:t>
            </w:r>
          </w:p>
        </w:tc>
      </w:tr>
      <w:tr>
        <w:tc>
          <w:tcPr>
            <w:tcW w:type="dxa" w:w="2096"/>
          </w:tcPr>
          <w:p>
            <w:pPr>
              <w:spacing w:after="0"/>
            </w:pPr>
            <w:r>
              <w:rPr>
                <w:sz w:val="18"/>
              </w:rPr>
              <w:t>Runtime: local</w:t>
            </w:r>
          </w:p>
        </w:tc>
        <w:tc>
          <w:tcPr>
            <w:tcW w:type="dxa" w:w="3993"/>
          </w:tcPr>
          <w:p>
            <w:pPr>
              <w:spacing w:after="0"/>
            </w:pPr>
            <w:r>
              <w:rPr>
                <w:sz w:val="18"/>
              </w:rPr>
              <w:t>Firebase Emulator Suite</w:t>
            </w:r>
          </w:p>
        </w:tc>
        <w:tc>
          <w:tcPr>
            <w:tcW w:type="dxa" w:w="3271"/>
          </w:tcPr>
          <w:p>
            <w:pPr>
              <w:spacing w:after="0"/>
            </w:pPr>
            <w:r>
              <w:rPr>
                <w:sz w:val="18"/>
              </w:rPr>
              <w:t>Local Auth, Firestore and Functions for development, tests and offline demonstration</w:t>
            </w:r>
          </w:p>
        </w:tc>
      </w:tr>
      <w:tr>
        <w:tc>
          <w:tcPr>
            <w:tcW w:type="dxa" w:w="2096"/>
          </w:tcPr>
          <w:p>
            <w:pPr>
              <w:spacing w:after="0"/>
            </w:pPr>
            <w:r>
              <w:rPr>
                <w:sz w:val="18"/>
              </w:rPr>
              <w:t>Testing / CI</w:t>
            </w:r>
          </w:p>
        </w:tc>
        <w:tc>
          <w:tcPr>
            <w:tcW w:type="dxa" w:w="3993"/>
          </w:tcPr>
          <w:p>
            <w:pPr>
              <w:spacing w:after="0"/>
            </w:pPr>
            <w:r>
              <w:rPr>
                <w:sz w:val="18"/>
              </w:rPr>
              <w:t>Vitest, @firebase/rules-unit-testing, Playwright, axe-core, GitHub Actions, gitleaks</w:t>
            </w:r>
          </w:p>
        </w:tc>
        <w:tc>
          <w:tcPr>
            <w:tcW w:type="dxa" w:w="3271"/>
          </w:tcPr>
          <w:p>
            <w:pPr>
              <w:spacing w:after="0"/>
            </w:pPr>
            <w:r>
              <w:rPr>
                <w:sz w:val="18"/>
              </w:rPr>
              <w:t>Automated verification</w:t>
            </w:r>
          </w:p>
        </w:tc>
      </w:tr>
    </w:tbl>
    <w:p/>
    <w:p>
      <w:pPr>
        <w:pStyle w:val="Heading2"/>
        <w:numPr>
          <w:ilvl w:val="1"/>
          <w:numId w:val="9"/>
        </w:numPr>
      </w:pPr>
      <w:r>
        <w:t>Key Architecture and Design Decisions</w:t>
      </w:r>
    </w:p>
    <w:p>
      <w:r>
        <w:rPr>
          <w:b/>
        </w:rPr>
        <w:t>D1: All state changes go through server-side commands (ADR-0001).</w:t>
      </w:r>
    </w:p>
    <w:p>
      <w:pPr>
        <w:pStyle w:val="BulletCompact"/>
        <w:numPr>
          <w:ilvl w:val="0"/>
          <w:numId w:val="8"/>
        </w:numPr>
      </w:pPr>
      <w:r>
        <w:rPr>
          <w:i/>
        </w:rPr>
        <w:t>Context:</w:t>
      </w:r>
      <w:r>
        <w:t xml:space="preserve"> the core rules span several documents: allocating a reference, the 100 m duplicate search, one active task per report, and resolving a report when its task completes.</w:t>
      </w:r>
    </w:p>
    <w:p>
      <w:pPr>
        <w:pStyle w:val="BulletCompact"/>
        <w:numPr>
          <w:ilvl w:val="0"/>
          <w:numId w:val="8"/>
        </w:numPr>
      </w:pPr>
      <w:r>
        <w:rPr>
          <w:i/>
        </w:rPr>
        <w:t>Options:</w:t>
      </w:r>
      <w:r>
        <w:t xml:space="preserve"> (a) clients write to Firestore directly, guarded only by Security Rules; (b) callable Cloud Functions running transactions, with rules allowing only reads; (c) a custom Node/Express API with PostgreSQL.</w:t>
      </w:r>
    </w:p>
    <w:p>
      <w:pPr>
        <w:pStyle w:val="BulletCompact"/>
        <w:numPr>
          <w:ilvl w:val="0"/>
          <w:numId w:val="8"/>
        </w:numPr>
      </w:pPr>
      <w:r>
        <w:rPr>
          <w:i/>
        </w:rPr>
        <w:t>Decision:</w:t>
      </w:r>
      <w:r>
        <w:t xml:space="preserve"> (b).</w:t>
      </w:r>
    </w:p>
    <w:p>
      <w:pPr>
        <w:pStyle w:val="BulletCompact"/>
        <w:numPr>
          <w:ilvl w:val="0"/>
          <w:numId w:val="8"/>
        </w:numPr>
      </w:pPr>
      <w:r>
        <w:rPr>
          <w:i/>
        </w:rPr>
        <w:t>Rationale:</w:t>
      </w:r>
      <w:r>
        <w:t xml:space="preserve"> Security Rules cannot express multi-document transactional rules. (b) keeps a single enforcement point and still gets real-time reads from Firestore listeners. (c) would mean rebuilding authentication, real-time updates and storage, and abandoning three phases of design.</w:t>
      </w:r>
    </w:p>
    <w:p>
      <w:pPr>
        <w:pStyle w:val="BulletCompact"/>
        <w:numPr>
          <w:ilvl w:val="0"/>
          <w:numId w:val="8"/>
        </w:numPr>
      </w:pPr>
      <w:r>
        <w:rPr>
          <w:i/>
        </w:rPr>
        <w:t>Consequences:</w:t>
      </w:r>
      <w:r>
        <w:t xml:space="preserve"> clean separation and testable services, and concurrency is handled by Firestore transactions. On the other hand, Firestore has no foreign-key constraints, so integrity depends on transactions and rules (Section 5.6), and deployed functions require Firebase's paid Blaze plan.</w:t>
      </w:r>
    </w:p>
    <w:p>
      <w:r>
        <w:rPr>
          <w:b/>
        </w:rPr>
        <w:t>D2: React single-page application instead of Next.js (ADR-0002).</w:t>
      </w:r>
    </w:p>
    <w:p>
      <w:pPr>
        <w:pStyle w:val="BulletCompact"/>
        <w:numPr>
          <w:ilvl w:val="0"/>
          <w:numId w:val="8"/>
        </w:numPr>
      </w:pPr>
      <w:r>
        <w:rPr>
          <w:i/>
        </w:rPr>
        <w:t>Context:</w:t>
      </w:r>
      <w:r>
        <w:t xml:space="preserve"> four role-specific interfaces, mobile-first for residents and workers.</w:t>
      </w:r>
    </w:p>
    <w:p>
      <w:pPr>
        <w:pStyle w:val="BulletCompact"/>
        <w:numPr>
          <w:ilvl w:val="0"/>
          <w:numId w:val="8"/>
        </w:numPr>
      </w:pPr>
      <w:r>
        <w:rPr>
          <w:i/>
        </w:rPr>
        <w:t>Options:</w:t>
      </w:r>
      <w:r>
        <w:t xml:space="preserve"> Next.js, React with Vite, Flutter.</w:t>
      </w:r>
    </w:p>
    <w:p>
      <w:pPr>
        <w:pStyle w:val="BulletCompact"/>
        <w:numPr>
          <w:ilvl w:val="0"/>
          <w:numId w:val="8"/>
        </w:numPr>
      </w:pPr>
      <w:r>
        <w:rPr>
          <w:i/>
        </w:rPr>
        <w:t>Decision:</w:t>
      </w:r>
      <w:r>
        <w:t xml:space="preserve"> React + Vite + React Router.</w:t>
      </w:r>
    </w:p>
    <w:p>
      <w:pPr>
        <w:pStyle w:val="BulletCompact"/>
        <w:numPr>
          <w:ilvl w:val="0"/>
          <w:numId w:val="8"/>
        </w:numPr>
      </w:pPr>
      <w:r>
        <w:rPr>
          <w:i/>
        </w:rPr>
        <w:t>Rationale:</w:t>
      </w:r>
      <w:r>
        <w:t xml:space="preserve"> all data comes from the Firebase SDK in the browser, so server rendering adds complexity for no benefit. A static single-page app deploys to Firebase Hosting, and Phase 3 already used React Router conventions.</w:t>
      </w:r>
    </w:p>
    <w:p>
      <w:pPr>
        <w:pStyle w:val="BulletCompact"/>
        <w:numPr>
          <w:ilvl w:val="0"/>
          <w:numId w:val="8"/>
        </w:numPr>
      </w:pPr>
      <w:r>
        <w:rPr>
          <w:i/>
        </w:rPr>
        <w:t>Consequences:</w:t>
      </w:r>
      <w:r>
        <w:t xml:space="preserve"> simple hosting and a fast build. Search-engine indexing is irrelevant for an authenticated application.</w:t>
      </w:r>
    </w:p>
    <w:p>
      <w:r>
        <w:rPr>
          <w:b/>
        </w:rPr>
        <w:t>D3: Free-tier deployment: Firebase Spark, a Node API on Vercel, and photos stored in Firestore (ADR-0006).</w:t>
      </w:r>
    </w:p>
    <w:p>
      <w:pPr>
        <w:pStyle w:val="BulletCompact"/>
        <w:numPr>
          <w:ilvl w:val="0"/>
          <w:numId w:val="8"/>
        </w:numPr>
      </w:pPr>
      <w:r>
        <w:rPr>
          <w:i/>
        </w:rPr>
        <w:t>Context:</w:t>
      </w:r>
      <w:r>
        <w:t xml:space="preserve"> the system had to be deployable without cost. Cloud Functions and Cloud Storage both require Firebase's paid Blaze plan.</w:t>
      </w:r>
    </w:p>
    <w:p>
      <w:pPr>
        <w:pStyle w:val="BulletCompact"/>
        <w:numPr>
          <w:ilvl w:val="0"/>
          <w:numId w:val="8"/>
        </w:numPr>
      </w:pPr>
      <w:r>
        <w:rPr>
          <w:i/>
        </w:rPr>
        <w:t>Options:</w:t>
      </w:r>
      <w:r>
        <w:t xml:space="preserve"> (a) Blaze with a budget alert; (b) port to Supabase; (c) keep the free Spark plan (Auth, Firestore), serve the command API from a free Node host, and store photos in Firestore.</w:t>
      </w:r>
    </w:p>
    <w:p>
      <w:pPr>
        <w:pStyle w:val="BulletCompact"/>
        <w:numPr>
          <w:ilvl w:val="0"/>
          <w:numId w:val="8"/>
        </w:numPr>
      </w:pPr>
      <w:r>
        <w:rPr>
          <w:i/>
        </w:rPr>
        <w:t>Decision:</w:t>
      </w:r>
      <w:r>
        <w:t xml:space="preserve"> (c). Vercel serverless functions run the API next to the static web app; photos are compressed to ≤ 700 KB and stored as binary documents.</w:t>
      </w:r>
    </w:p>
    <w:p>
      <w:pPr>
        <w:pStyle w:val="BulletCompact"/>
        <w:numPr>
          <w:ilvl w:val="0"/>
          <w:numId w:val="8"/>
        </w:numPr>
      </w:pPr>
      <w:r>
        <w:rPr>
          <w:i/>
        </w:rPr>
        <w:t>Rationale:</w:t>
      </w:r>
      <w:r>
        <w:t xml:space="preserve"> the commands were already transport-independent, so a second adapter reuses every service unchanged and speaks the same callable protocol (the client only switches its URL). Vercel's free functions do not sleep, which matters in a live demonstration. A Supabase port would have meant rewriting the backend and about 90 tests.</w:t>
      </w:r>
    </w:p>
    <w:p>
      <w:pPr>
        <w:pStyle w:val="BulletCompact"/>
        <w:numPr>
          <w:ilvl w:val="0"/>
          <w:numId w:val="8"/>
        </w:numPr>
      </w:pPr>
      <w:r>
        <w:rPr>
          <w:i/>
        </w:rPr>
        <w:t>Consequences:</w:t>
      </w:r>
      <w:r>
        <w:t xml:space="preserve"> two adapters must stay equivalent, so CI runs the complete E2E suite through both. Photo size is bounded by Firestore's 1 MiB document limit, and each photo view is one document read. The hourly SLA job runs from GitHub Actions, because Vercel's free cron is daily. The local emulator configuration remains for development, tests and an offline demonstration.</w:t>
      </w:r>
    </w:p>
    <w:p>
      <w:r>
        <w:rPr>
          <w:b/>
        </w:rPr>
        <w:t>D4: Leaflet and OpenStreetMap instead of Google Maps (ADR-0004).</w:t>
      </w:r>
    </w:p>
    <w:p>
      <w:pPr>
        <w:pStyle w:val="BulletCompact"/>
        <w:numPr>
          <w:ilvl w:val="0"/>
          <w:numId w:val="8"/>
        </w:numPr>
      </w:pPr>
      <w:r>
        <w:rPr>
          <w:i/>
        </w:rPr>
        <w:t>Context:</w:t>
      </w:r>
      <w:r>
        <w:t xml:space="preserve"> residents must pinpoint incidents, and staff must see them.</w:t>
      </w:r>
    </w:p>
    <w:p>
      <w:pPr>
        <w:pStyle w:val="BulletCompact"/>
        <w:numPr>
          <w:ilvl w:val="0"/>
          <w:numId w:val="8"/>
        </w:numPr>
      </w:pPr>
      <w:r>
        <w:rPr>
          <w:i/>
        </w:rPr>
        <w:t>Options:</w:t>
      </w:r>
      <w:r>
        <w:t xml:space="preserve"> Google Maps with Geocoding, Mapbox, Leaflet with OpenStreetMap.</w:t>
      </w:r>
    </w:p>
    <w:p>
      <w:pPr>
        <w:pStyle w:val="BulletCompact"/>
        <w:numPr>
          <w:ilvl w:val="0"/>
          <w:numId w:val="8"/>
        </w:numPr>
      </w:pPr>
      <w:r>
        <w:rPr>
          <w:i/>
        </w:rPr>
        <w:t>Decision:</w:t>
      </w:r>
      <w:r>
        <w:t xml:space="preserve"> Leaflet with OpenStreetMap.</w:t>
      </w:r>
    </w:p>
    <w:p>
      <w:pPr>
        <w:pStyle w:val="BulletCompact"/>
        <w:numPr>
          <w:ilvl w:val="0"/>
          <w:numId w:val="8"/>
        </w:numPr>
      </w:pPr>
      <w:r>
        <w:rPr>
          <w:i/>
        </w:rPr>
        <w:t>Rationale:</w:t>
      </w:r>
      <w:r>
        <w:t xml:space="preserve"> no API key or billing is needed, and the suburb, which drives alert targeting, is chosen from a list anyway.</w:t>
      </w:r>
    </w:p>
    <w:p>
      <w:pPr>
        <w:pStyle w:val="BulletCompact"/>
        <w:numPr>
          <w:ilvl w:val="0"/>
          <w:numId w:val="8"/>
        </w:numPr>
      </w:pPr>
      <w:r>
        <w:rPr>
          <w:i/>
        </w:rPr>
        <w:t>Consequences:</w:t>
      </w:r>
      <w:r>
        <w:t xml:space="preserve"> there is no reverse geocoding, so officials rely on the pin and the landmark text. Tile usage must follow the OpenStreetMap policy, which suits low volumes.</w:t>
      </w:r>
    </w:p>
    <w:p>
      <w:pPr>
        <w:pStyle w:val="Heading2"/>
        <w:numPr>
          <w:ilvl w:val="1"/>
          <w:numId w:val="9"/>
        </w:numPr>
      </w:pPr>
      <w:r>
        <w:t>Application Class Design</w:t>
      </w:r>
    </w:p>
    <w:p>
      <w:r>
        <w:t xml:space="preserve">Figure 10 shows the implemented classes in two parts. The complete single diagram is </w:t>
      </w:r>
      <w:r>
        <w:rPr>
          <w:rFonts w:ascii="Consolas" w:hAnsi="Consolas"/>
          <w:sz w:val="18"/>
        </w:rPr>
        <w:t>docs/diagrams/class.png</w:t>
      </w:r>
      <w:r>
        <w:t>. The classes fall into three groups:</w:t>
      </w:r>
    </w:p>
    <w:p>
      <w:pPr>
        <w:pStyle w:val="BulletCompact"/>
        <w:numPr>
          <w:ilvl w:val="0"/>
          <w:numId w:val="8"/>
        </w:numPr>
      </w:pPr>
      <w:r>
        <w:rPr>
          <w:b/>
        </w:rPr>
        <w:t>Domain entities</w:t>
      </w:r>
      <w:r>
        <w:t xml:space="preserve"> (</w:t>
      </w:r>
      <w:r>
        <w:rPr>
          <w:rFonts w:ascii="Consolas" w:hAnsi="Consolas"/>
          <w:sz w:val="18"/>
        </w:rPr>
        <w:t>packages/shared/src/models.ts</w:t>
      </w:r>
      <w:r>
        <w:t>), stored as Firestore documents.</w:t>
      </w:r>
    </w:p>
    <w:p>
      <w:pPr>
        <w:pStyle w:val="BulletCompact"/>
        <w:numPr>
          <w:ilvl w:val="0"/>
          <w:numId w:val="8"/>
        </w:numPr>
      </w:pPr>
      <w:r>
        <w:rPr>
          <w:b/>
        </w:rPr>
        <w:t>Domain logic</w:t>
      </w:r>
      <w:r>
        <w:t xml:space="preserve"> (</w:t>
      </w:r>
      <w:r>
        <w:rPr>
          <w:rFonts w:ascii="Consolas" w:hAnsi="Consolas"/>
          <w:sz w:val="18"/>
        </w:rPr>
        <w:t>packages/shared/src</w:t>
      </w:r>
      <w:r>
        <w:t xml:space="preserve">): </w:t>
      </w:r>
      <w:r>
        <w:rPr>
          <w:rFonts w:ascii="Consolas" w:hAnsi="Consolas"/>
          <w:sz w:val="18"/>
        </w:rPr>
        <w:t>ReportStateMachine</w:t>
      </w:r>
      <w:r>
        <w:t xml:space="preserve"> and </w:t>
      </w:r>
      <w:r>
        <w:rPr>
          <w:rFonts w:ascii="Consolas" w:hAnsi="Consolas"/>
          <w:sz w:val="18"/>
        </w:rPr>
        <w:t>TaskStateMachine</w:t>
      </w:r>
      <w:r>
        <w:t xml:space="preserve"> define the allowed transitions; </w:t>
      </w:r>
      <w:r>
        <w:rPr>
          <w:rFonts w:ascii="Consolas" w:hAnsi="Consolas"/>
          <w:sz w:val="18"/>
        </w:rPr>
        <w:t>DuplicatePolicy</w:t>
      </w:r>
      <w:r>
        <w:t xml:space="preserve"> (100 m, 72 h), </w:t>
      </w:r>
      <w:r>
        <w:rPr>
          <w:rFonts w:ascii="Consolas" w:hAnsi="Consolas"/>
          <w:sz w:val="18"/>
        </w:rPr>
        <w:t>SlaPolicy</w:t>
      </w:r>
      <w:r>
        <w:t xml:space="preserve"> and </w:t>
      </w:r>
      <w:r>
        <w:rPr>
          <w:rFonts w:ascii="Consolas" w:hAnsi="Consolas"/>
          <w:sz w:val="18"/>
        </w:rPr>
        <w:t>ResolutionPolicy</w:t>
      </w:r>
      <w:r>
        <w:t xml:space="preserve"> (7 days) are pure, fully unit-tested rules.</w:t>
      </w:r>
    </w:p>
    <w:p>
      <w:pPr>
        <w:pStyle w:val="BulletCompact"/>
        <w:numPr>
          <w:ilvl w:val="0"/>
          <w:numId w:val="8"/>
        </w:numPr>
      </w:pPr>
      <w:r>
        <w:rPr>
          <w:b/>
        </w:rPr>
        <w:t>Application services</w:t>
      </w:r>
      <w:r>
        <w:t xml:space="preserve"> (</w:t>
      </w:r>
      <w:r>
        <w:rPr>
          <w:rFonts w:ascii="Consolas" w:hAnsi="Consolas"/>
          <w:sz w:val="18"/>
        </w:rPr>
        <w:t>functions/src/services</w:t>
      </w:r>
      <w:r>
        <w:t>), described below.</w:t>
      </w:r>
    </w:p>
    <w:p>
      <w:r>
        <w:t>How the services fit together:</w:t>
      </w:r>
    </w:p>
    <w:p>
      <w:pPr>
        <w:pStyle w:val="BulletCompact"/>
        <w:numPr>
          <w:ilvl w:val="0"/>
          <w:numId w:val="8"/>
        </w:numPr>
      </w:pPr>
      <w:r>
        <w:rPr>
          <w:b/>
        </w:rPr>
        <w:t>Entry point:</w:t>
      </w:r>
      <w:r>
        <w:t xml:space="preserve"> every callable is wrapped by </w:t>
      </w:r>
      <w:r>
        <w:rPr>
          <w:rFonts w:ascii="Consolas" w:hAnsi="Consolas"/>
          <w:sz w:val="18"/>
        </w:rPr>
        <w:t>command()</w:t>
      </w:r>
      <w:r>
        <w:t>, which authenticates the caller, loads their profile (refusing deactivated accounts), checks the role, validates the input and maps errors.</w:t>
      </w:r>
    </w:p>
    <w:p>
      <w:pPr>
        <w:pStyle w:val="BulletCompact"/>
        <w:numPr>
          <w:ilvl w:val="0"/>
          <w:numId w:val="8"/>
        </w:numPr>
      </w:pPr>
      <w:r>
        <w:rPr>
          <w:b/>
        </w:rPr>
        <w:t>Report and task services:</w:t>
      </w:r>
      <w:r>
        <w:t xml:space="preserve"> </w:t>
      </w:r>
      <w:r>
        <w:rPr>
          <w:rFonts w:ascii="Consolas" w:hAnsi="Consolas"/>
          <w:sz w:val="18"/>
        </w:rPr>
        <w:t>ReportService</w:t>
      </w:r>
      <w:r>
        <w:t xml:space="preserve"> implements submission (TX-1), triage, rejection, escalation, assignment (TX-2), reassignment, confirmation and reopening. </w:t>
      </w:r>
      <w:r>
        <w:rPr>
          <w:rFonts w:ascii="Consolas" w:hAnsi="Consolas"/>
          <w:sz w:val="18"/>
        </w:rPr>
        <w:t>TaskService</w:t>
      </w:r>
      <w:r>
        <w:t xml:space="preserve"> implements the field-worker steps and completion (TX-3).</w:t>
      </w:r>
    </w:p>
    <w:p>
      <w:pPr>
        <w:pStyle w:val="BulletCompact"/>
        <w:numPr>
          <w:ilvl w:val="0"/>
          <w:numId w:val="8"/>
        </w:numPr>
      </w:pPr>
      <w:r>
        <w:rPr>
          <w:b/>
        </w:rPr>
        <w:t>Single path for status changes:</w:t>
      </w:r>
      <w:r>
        <w:t xml:space="preserve"> both services use </w:t>
      </w:r>
      <w:r>
        <w:rPr>
          <w:rFonts w:ascii="Consolas" w:hAnsi="Consolas"/>
          <w:sz w:val="18"/>
        </w:rPr>
        <w:t>ReportLifecycle.applyTransition</w:t>
      </w:r>
      <w:r>
        <w:t>, so every status change is validated by the state machine, recorded in the history, reflected in the public projection and notified.</w:t>
      </w:r>
    </w:p>
    <w:p>
      <w:pPr>
        <w:pStyle w:val="BulletCompact"/>
        <w:numPr>
          <w:ilvl w:val="0"/>
          <w:numId w:val="8"/>
        </w:numPr>
      </w:pPr>
      <w:r>
        <w:rPr>
          <w:b/>
        </w:rPr>
        <w:t>Other services:</w:t>
      </w:r>
      <w:r>
        <w:t xml:space="preserve"> </w:t>
      </w:r>
      <w:r>
        <w:rPr>
          <w:rFonts w:ascii="Consolas" w:hAnsi="Consolas"/>
          <w:sz w:val="18"/>
        </w:rPr>
        <w:t>AlertService</w:t>
      </w:r>
      <w:r>
        <w:t xml:space="preserve">, </w:t>
      </w:r>
      <w:r>
        <w:rPr>
          <w:rFonts w:ascii="Consolas" w:hAnsi="Consolas"/>
          <w:sz w:val="18"/>
        </w:rPr>
        <w:t>UserService</w:t>
      </w:r>
      <w:r>
        <w:t xml:space="preserve">, </w:t>
      </w:r>
      <w:r>
        <w:rPr>
          <w:rFonts w:ascii="Consolas" w:hAnsi="Consolas"/>
          <w:sz w:val="18"/>
        </w:rPr>
        <w:t>ConfigService</w:t>
      </w:r>
      <w:r>
        <w:t xml:space="preserve">, </w:t>
      </w:r>
      <w:r>
        <w:rPr>
          <w:rFonts w:ascii="Consolas" w:hAnsi="Consolas"/>
          <w:sz w:val="18"/>
        </w:rPr>
        <w:t>CommentService</w:t>
      </w:r>
      <w:r>
        <w:t xml:space="preserve">, </w:t>
      </w:r>
      <w:r>
        <w:rPr>
          <w:rFonts w:ascii="Consolas" w:hAnsi="Consolas"/>
          <w:sz w:val="18"/>
        </w:rPr>
        <w:t>AnalyticsService</w:t>
      </w:r>
      <w:r>
        <w:t xml:space="preserve"> and </w:t>
      </w:r>
      <w:r>
        <w:rPr>
          <w:rFonts w:ascii="Consolas" w:hAnsi="Consolas"/>
          <w:sz w:val="18"/>
        </w:rPr>
        <w:t>MaintenanceService</w:t>
      </w:r>
      <w:r>
        <w:t xml:space="preserve"> implement the remaining capabilities.</w:t>
      </w:r>
    </w:p>
    <w:p>
      <w:pPr>
        <w:keepNext/>
        <w:jc w:val="center"/>
      </w:pPr>
      <w:r>
        <w:drawing>
          <wp:inline xmlns:a="http://schemas.openxmlformats.org/drawingml/2006/main" xmlns:pic="http://schemas.openxmlformats.org/drawingml/2006/picture">
            <wp:extent cx="5943600" cy="4385217"/>
            <wp:docPr id="11" name="Picture 11"/>
            <wp:cNvGraphicFramePr>
              <a:graphicFrameLocks noChangeAspect="1"/>
            </wp:cNvGraphicFramePr>
            <a:graphic>
              <a:graphicData uri="http://schemas.openxmlformats.org/drawingml/2006/picture">
                <pic:pic>
                  <pic:nvPicPr>
                    <pic:cNvPr id="0" name="class-domain.png"/>
                    <pic:cNvPicPr/>
                  </pic:nvPicPr>
                  <pic:blipFill>
                    <a:blip r:embed="rId21"/>
                    <a:stretch>
                      <a:fillRect/>
                    </a:stretch>
                  </pic:blipFill>
                  <pic:spPr>
                    <a:xfrm>
                      <a:off x="0" y="0"/>
                      <a:ext cx="5943600" cy="4385217"/>
                    </a:xfrm>
                    <a:prstGeom prst="rect"/>
                  </pic:spPr>
                </pic:pic>
              </a:graphicData>
            </a:graphic>
          </wp:inline>
        </w:drawing>
      </w:r>
    </w:p>
    <w:p>
      <w:pPr>
        <w:pStyle w:val="Caption"/>
        <w:jc w:val="center"/>
      </w:pPr>
      <w:r>
        <w:t>Figure 10a: Class diagram (part 1), domain entities and relationships</w:t>
      </w:r>
    </w:p>
    <w:p>
      <w:pPr>
        <w:keepNext/>
        <w:jc w:val="center"/>
      </w:pPr>
      <w:r>
        <w:drawing>
          <wp:inline xmlns:a="http://schemas.openxmlformats.org/drawingml/2006/main" xmlns:pic="http://schemas.openxmlformats.org/drawingml/2006/picture">
            <wp:extent cx="5120640" cy="7150551"/>
            <wp:docPr id="12" name="Picture 12"/>
            <wp:cNvGraphicFramePr>
              <a:graphicFrameLocks noChangeAspect="1"/>
            </wp:cNvGraphicFramePr>
            <a:graphic>
              <a:graphicData uri="http://schemas.openxmlformats.org/drawingml/2006/picture">
                <pic:pic>
                  <pic:nvPicPr>
                    <pic:cNvPr id="0" name="class-services.png"/>
                    <pic:cNvPicPr/>
                  </pic:nvPicPr>
                  <pic:blipFill>
                    <a:blip r:embed="rId22"/>
                    <a:stretch>
                      <a:fillRect/>
                    </a:stretch>
                  </pic:blipFill>
                  <pic:spPr>
                    <a:xfrm>
                      <a:off x="0" y="0"/>
                      <a:ext cx="5120640" cy="7150551"/>
                    </a:xfrm>
                    <a:prstGeom prst="rect"/>
                  </pic:spPr>
                </pic:pic>
              </a:graphicData>
            </a:graphic>
          </wp:inline>
        </w:drawing>
      </w:r>
    </w:p>
    <w:p>
      <w:pPr>
        <w:pStyle w:val="Caption"/>
        <w:jc w:val="center"/>
      </w:pPr>
      <w:r>
        <w:t>Figure 10b: Class diagram (part 2), application services and domain logic</w:t>
      </w:r>
    </w:p>
    <w:p>
      <w:pPr>
        <w:pStyle w:val="Heading2"/>
        <w:numPr>
          <w:ilvl w:val="1"/>
          <w:numId w:val="9"/>
        </w:numPr>
      </w:pPr>
      <w:r>
        <w:t>User Interface and Interaction Design</w:t>
      </w:r>
    </w:p>
    <w:p>
      <w:r>
        <w:t>There are four user roles, each with its own area:</w:t>
      </w:r>
    </w:p>
    <w:p>
      <w:pPr>
        <w:pStyle w:val="BulletCompact"/>
        <w:numPr>
          <w:ilvl w:val="0"/>
          <w:numId w:val="8"/>
        </w:numPr>
      </w:pPr>
      <w:r>
        <w:rPr>
          <w:b/>
        </w:rPr>
        <w:t>Residents</w:t>
      </w:r>
      <w:r>
        <w:t xml:space="preserve"> use a mobile layout with a bottom navigation bar (Home, Map, Report, My reports, Alerts).</w:t>
      </w:r>
    </w:p>
    <w:p>
      <w:pPr>
        <w:pStyle w:val="BulletCompact"/>
        <w:numPr>
          <w:ilvl w:val="0"/>
          <w:numId w:val="8"/>
        </w:numPr>
      </w:pPr>
      <w:r>
        <w:rPr>
          <w:b/>
        </w:rPr>
        <w:t>Field workers</w:t>
      </w:r>
      <w:r>
        <w:t xml:space="preserve"> use the same mobile layout, coloured green and reduced to their task list.</w:t>
      </w:r>
    </w:p>
    <w:p>
      <w:pPr>
        <w:pStyle w:val="BulletCompact"/>
        <w:numPr>
          <w:ilvl w:val="0"/>
          <w:numId w:val="8"/>
        </w:numPr>
      </w:pPr>
      <w:r>
        <w:rPr>
          <w:b/>
        </w:rPr>
        <w:t>Officials and administrators</w:t>
      </w:r>
      <w:r>
        <w:t xml:space="preserve"> use a desktop layout with a sidebar.</w:t>
      </w:r>
    </w:p>
    <w:p>
      <w:r>
        <w:t>Every screen handles loading, empty, error and permission-denied states. The screenshots below were captured from the submitted system with the seeded data (</w:t>
      </w:r>
      <w:r>
        <w:rPr>
          <w:rFonts w:ascii="Consolas" w:hAnsi="Consolas"/>
          <w:sz w:val="18"/>
        </w:rPr>
        <w:t>tests/evidence/capture.spec.ts</w:t>
      </w:r>
      <w:r>
        <w:t>). The photos in them are illustrative sample images.</w:t>
      </w:r>
    </w:p>
    <w:p>
      <w:pPr>
        <w:pStyle w:val="Caption"/>
        <w:keepNext/>
      </w:pPr>
      <w:r>
        <w:t>Table 9: User interface evidence</w:t>
      </w:r>
    </w:p>
    <w:tbl>
      <w:tblPr>
        <w:tblStyle w:val="TableGrid"/>
        <w:tblW w:type="auto" w:w="0"/>
        <w:jc w:val="center"/>
        <w:tblLayout w:type="fixed"/>
        <w:tblLook w:firstColumn="1" w:firstRow="1" w:lastColumn="0" w:lastRow="0" w:noHBand="0" w:noVBand="1" w:val="04A0"/>
        <w:tblLayout w:type="fixed"/>
      </w:tblPr>
      <w:tblGrid>
        <w:gridCol w:w="1030"/>
        <w:gridCol w:w="2128"/>
        <w:gridCol w:w="4201"/>
        <w:gridCol w:w="2001"/>
      </w:tblGrid>
      <w:tr>
        <w:trPr>
          <w:tblHeader w:val="true"/>
        </w:trPr>
        <w:tc>
          <w:tcPr>
            <w:tcW w:type="dxa" w:w="1030"/>
            <w:shd w:val="clear" w:color="auto" w:fill="D5EBF4"/>
          </w:tcPr>
          <w:p>
            <w:pPr>
              <w:spacing w:after="0"/>
            </w:pPr>
            <w:r>
              <w:rPr>
                <w:b/>
                <w:sz w:val="18"/>
              </w:rPr>
              <w:t>Figure</w:t>
            </w:r>
          </w:p>
        </w:tc>
        <w:tc>
          <w:tcPr>
            <w:tcW w:type="dxa" w:w="2128"/>
            <w:shd w:val="clear" w:color="auto" w:fill="D5EBF4"/>
          </w:tcPr>
          <w:p>
            <w:pPr>
              <w:spacing w:after="0"/>
            </w:pPr>
            <w:r>
              <w:rPr>
                <w:b/>
                <w:sz w:val="18"/>
              </w:rPr>
              <w:t>User</w:t>
            </w:r>
          </w:p>
        </w:tc>
        <w:tc>
          <w:tcPr>
            <w:tcW w:type="dxa" w:w="4201"/>
            <w:shd w:val="clear" w:color="auto" w:fill="D5EBF4"/>
          </w:tcPr>
          <w:p>
            <w:pPr>
              <w:spacing w:after="0"/>
            </w:pPr>
            <w:r>
              <w:rPr>
                <w:b/>
                <w:sz w:val="18"/>
              </w:rPr>
              <w:t>Purpose and main action</w:t>
            </w:r>
          </w:p>
        </w:tc>
        <w:tc>
          <w:tcPr>
            <w:tcW w:type="dxa" w:w="2001"/>
            <w:shd w:val="clear" w:color="auto" w:fill="D5EBF4"/>
          </w:tcPr>
          <w:p>
            <w:pPr>
              <w:spacing w:after="0"/>
            </w:pPr>
            <w:r>
              <w:rPr>
                <w:b/>
                <w:sz w:val="18"/>
              </w:rPr>
              <w:t>Requirement / workflow</w:t>
            </w:r>
          </w:p>
        </w:tc>
      </w:tr>
      <w:tr>
        <w:tc>
          <w:tcPr>
            <w:tcW w:type="dxa" w:w="1030"/>
          </w:tcPr>
          <w:p>
            <w:pPr>
              <w:spacing w:after="0"/>
            </w:pPr>
            <w:r>
              <w:rPr>
                <w:sz w:val="18"/>
              </w:rPr>
              <w:t>11</w:t>
            </w:r>
          </w:p>
        </w:tc>
        <w:tc>
          <w:tcPr>
            <w:tcW w:type="dxa" w:w="2128"/>
          </w:tcPr>
          <w:p>
            <w:pPr>
              <w:spacing w:after="0"/>
            </w:pPr>
            <w:r>
              <w:rPr>
                <w:sz w:val="18"/>
              </w:rPr>
              <w:t>Any</w:t>
            </w:r>
          </w:p>
        </w:tc>
        <w:tc>
          <w:tcPr>
            <w:tcW w:type="dxa" w:w="4201"/>
          </w:tcPr>
          <w:p>
            <w:pPr>
              <w:spacing w:after="0"/>
            </w:pPr>
            <w:r>
              <w:rPr>
                <w:sz w:val="18"/>
              </w:rPr>
              <w:t>Sign in; demo-account shortcuts in the emulator</w:t>
            </w:r>
          </w:p>
        </w:tc>
        <w:tc>
          <w:tcPr>
            <w:tcW w:type="dxa" w:w="2001"/>
          </w:tcPr>
          <w:p>
            <w:pPr>
              <w:spacing w:after="0"/>
            </w:pPr>
            <w:r>
              <w:rPr>
                <w:sz w:val="18"/>
              </w:rPr>
              <w:t>FR-02</w:t>
            </w:r>
          </w:p>
        </w:tc>
      </w:tr>
      <w:tr>
        <w:tc>
          <w:tcPr>
            <w:tcW w:type="dxa" w:w="1030"/>
          </w:tcPr>
          <w:p>
            <w:pPr>
              <w:spacing w:after="0"/>
            </w:pPr>
            <w:r>
              <w:rPr>
                <w:sz w:val="18"/>
              </w:rPr>
              <w:t>12</w:t>
            </w:r>
          </w:p>
        </w:tc>
        <w:tc>
          <w:tcPr>
            <w:tcW w:type="dxa" w:w="2128"/>
          </w:tcPr>
          <w:p>
            <w:pPr>
              <w:spacing w:after="0"/>
            </w:pPr>
            <w:r>
              <w:rPr>
                <w:sz w:val="18"/>
              </w:rPr>
              <w:t>Resident</w:t>
            </w:r>
          </w:p>
        </w:tc>
        <w:tc>
          <w:tcPr>
            <w:tcW w:type="dxa" w:w="4201"/>
          </w:tcPr>
          <w:p>
            <w:pPr>
              <w:spacing w:after="0"/>
            </w:pPr>
            <w:r>
              <w:rPr>
                <w:sz w:val="18"/>
              </w:rPr>
              <w:t>Three-step report: details with map pin, suburb, description, severity and photo</w:t>
            </w:r>
          </w:p>
        </w:tc>
        <w:tc>
          <w:tcPr>
            <w:tcW w:type="dxa" w:w="2001"/>
          </w:tcPr>
          <w:p>
            <w:pPr>
              <w:spacing w:after="0"/>
            </w:pPr>
            <w:r>
              <w:rPr>
                <w:sz w:val="18"/>
              </w:rPr>
              <w:t>FR-03, W1</w:t>
            </w:r>
          </w:p>
        </w:tc>
      </w:tr>
      <w:tr>
        <w:tc>
          <w:tcPr>
            <w:tcW w:type="dxa" w:w="1030"/>
          </w:tcPr>
          <w:p>
            <w:pPr>
              <w:spacing w:after="0"/>
            </w:pPr>
            <w:r>
              <w:rPr>
                <w:sz w:val="18"/>
              </w:rPr>
              <w:t>13</w:t>
            </w:r>
          </w:p>
        </w:tc>
        <w:tc>
          <w:tcPr>
            <w:tcW w:type="dxa" w:w="2128"/>
          </w:tcPr>
          <w:p>
            <w:pPr>
              <w:spacing w:after="0"/>
            </w:pPr>
            <w:r>
              <w:rPr>
                <w:sz w:val="18"/>
              </w:rPr>
              <w:t>Resident</w:t>
            </w:r>
          </w:p>
        </w:tc>
        <w:tc>
          <w:tcPr>
            <w:tcW w:type="dxa" w:w="4201"/>
          </w:tcPr>
          <w:p>
            <w:pPr>
              <w:spacing w:after="0"/>
            </w:pPr>
            <w:r>
              <w:rPr>
                <w:sz w:val="18"/>
              </w:rPr>
              <w:t>Validation errors before submission</w:t>
            </w:r>
          </w:p>
        </w:tc>
        <w:tc>
          <w:tcPr>
            <w:tcW w:type="dxa" w:w="2001"/>
          </w:tcPr>
          <w:p>
            <w:pPr>
              <w:spacing w:after="0"/>
            </w:pPr>
            <w:r>
              <w:rPr>
                <w:sz w:val="18"/>
              </w:rPr>
              <w:t>BR-02, NFR-03</w:t>
            </w:r>
          </w:p>
        </w:tc>
      </w:tr>
      <w:tr>
        <w:tc>
          <w:tcPr>
            <w:tcW w:type="dxa" w:w="1030"/>
          </w:tcPr>
          <w:p>
            <w:pPr>
              <w:spacing w:after="0"/>
            </w:pPr>
            <w:r>
              <w:rPr>
                <w:sz w:val="18"/>
              </w:rPr>
              <w:t>14</w:t>
            </w:r>
          </w:p>
        </w:tc>
        <w:tc>
          <w:tcPr>
            <w:tcW w:type="dxa" w:w="2128"/>
          </w:tcPr>
          <w:p>
            <w:pPr>
              <w:spacing w:after="0"/>
            </w:pPr>
            <w:r>
              <w:rPr>
                <w:sz w:val="18"/>
              </w:rPr>
              <w:t>Resident</w:t>
            </w:r>
          </w:p>
        </w:tc>
        <w:tc>
          <w:tcPr>
            <w:tcW w:type="dxa" w:w="4201"/>
          </w:tcPr>
          <w:p>
            <w:pPr>
              <w:spacing w:after="0"/>
            </w:pPr>
            <w:r>
              <w:rPr>
                <w:sz w:val="18"/>
              </w:rPr>
              <w:t>Duplicate detected; resident follows the original report</w:t>
            </w:r>
          </w:p>
        </w:tc>
        <w:tc>
          <w:tcPr>
            <w:tcW w:type="dxa" w:w="2001"/>
          </w:tcPr>
          <w:p>
            <w:pPr>
              <w:spacing w:after="0"/>
            </w:pPr>
            <w:r>
              <w:rPr>
                <w:sz w:val="18"/>
              </w:rPr>
              <w:t>FR-05, W1 alternative path</w:t>
            </w:r>
          </w:p>
        </w:tc>
      </w:tr>
      <w:tr>
        <w:tc>
          <w:tcPr>
            <w:tcW w:type="dxa" w:w="1030"/>
          </w:tcPr>
          <w:p>
            <w:pPr>
              <w:spacing w:after="0"/>
            </w:pPr>
            <w:r>
              <w:rPr>
                <w:sz w:val="18"/>
              </w:rPr>
              <w:t>15</w:t>
            </w:r>
          </w:p>
        </w:tc>
        <w:tc>
          <w:tcPr>
            <w:tcW w:type="dxa" w:w="2128"/>
          </w:tcPr>
          <w:p>
            <w:pPr>
              <w:spacing w:after="0"/>
            </w:pPr>
            <w:r>
              <w:rPr>
                <w:sz w:val="18"/>
              </w:rPr>
              <w:t>Official</w:t>
            </w:r>
          </w:p>
        </w:tc>
        <w:tc>
          <w:tcPr>
            <w:tcW w:type="dxa" w:w="4201"/>
          </w:tcPr>
          <w:p>
            <w:pPr>
              <w:spacing w:after="0"/>
            </w:pPr>
            <w:r>
              <w:rPr>
                <w:sz w:val="18"/>
              </w:rPr>
              <w:t>Department dashboard with KPIs and reports needing action</w:t>
            </w:r>
          </w:p>
        </w:tc>
        <w:tc>
          <w:tcPr>
            <w:tcW w:type="dxa" w:w="2001"/>
          </w:tcPr>
          <w:p>
            <w:pPr>
              <w:spacing w:after="0"/>
            </w:pPr>
            <w:r>
              <w:rPr>
                <w:sz w:val="18"/>
              </w:rPr>
              <w:t>FR-08</w:t>
            </w:r>
          </w:p>
        </w:tc>
      </w:tr>
      <w:tr>
        <w:tc>
          <w:tcPr>
            <w:tcW w:type="dxa" w:w="1030"/>
          </w:tcPr>
          <w:p>
            <w:pPr>
              <w:spacing w:after="0"/>
            </w:pPr>
            <w:r>
              <w:rPr>
                <w:sz w:val="18"/>
              </w:rPr>
              <w:t>16</w:t>
            </w:r>
          </w:p>
        </w:tc>
        <w:tc>
          <w:tcPr>
            <w:tcW w:type="dxa" w:w="2128"/>
          </w:tcPr>
          <w:p>
            <w:pPr>
              <w:spacing w:after="0"/>
            </w:pPr>
            <w:r>
              <w:rPr>
                <w:sz w:val="18"/>
              </w:rPr>
              <w:t>Official</w:t>
            </w:r>
          </w:p>
        </w:tc>
        <w:tc>
          <w:tcPr>
            <w:tcW w:type="dxa" w:w="4201"/>
          </w:tcPr>
          <w:p>
            <w:pPr>
              <w:spacing w:after="0"/>
            </w:pPr>
            <w:r>
              <w:rPr>
                <w:sz w:val="18"/>
              </w:rPr>
              <w:t>Triage and assignment, with history and internal notes</w:t>
            </w:r>
          </w:p>
        </w:tc>
        <w:tc>
          <w:tcPr>
            <w:tcW w:type="dxa" w:w="2001"/>
          </w:tcPr>
          <w:p>
            <w:pPr>
              <w:spacing w:after="0"/>
            </w:pPr>
            <w:r>
              <w:rPr>
                <w:sz w:val="18"/>
              </w:rPr>
              <w:t>FR-09, FR-10, W2</w:t>
            </w:r>
          </w:p>
        </w:tc>
      </w:tr>
      <w:tr>
        <w:tc>
          <w:tcPr>
            <w:tcW w:type="dxa" w:w="1030"/>
          </w:tcPr>
          <w:p>
            <w:pPr>
              <w:spacing w:after="0"/>
            </w:pPr>
            <w:r>
              <w:rPr>
                <w:sz w:val="18"/>
              </w:rPr>
              <w:t>17</w:t>
            </w:r>
          </w:p>
        </w:tc>
        <w:tc>
          <w:tcPr>
            <w:tcW w:type="dxa" w:w="2128"/>
          </w:tcPr>
          <w:p>
            <w:pPr>
              <w:spacing w:after="0"/>
            </w:pPr>
            <w:r>
              <w:rPr>
                <w:sz w:val="18"/>
              </w:rPr>
              <w:t>Field worker</w:t>
            </w:r>
          </w:p>
        </w:tc>
        <w:tc>
          <w:tcPr>
            <w:tcW w:type="dxa" w:w="4201"/>
          </w:tcPr>
          <w:p>
            <w:pPr>
              <w:spacing w:after="0"/>
            </w:pPr>
            <w:r>
              <w:rPr>
                <w:sz w:val="18"/>
              </w:rPr>
              <w:t>Task completion with notes and proof photo</w:t>
            </w:r>
          </w:p>
        </w:tc>
        <w:tc>
          <w:tcPr>
            <w:tcW w:type="dxa" w:w="2001"/>
          </w:tcPr>
          <w:p>
            <w:pPr>
              <w:spacing w:after="0"/>
            </w:pPr>
            <w:r>
              <w:rPr>
                <w:sz w:val="18"/>
              </w:rPr>
              <w:t>FR-11, W2</w:t>
            </w:r>
          </w:p>
        </w:tc>
      </w:tr>
      <w:tr>
        <w:tc>
          <w:tcPr>
            <w:tcW w:type="dxa" w:w="1030"/>
          </w:tcPr>
          <w:p>
            <w:pPr>
              <w:spacing w:after="0"/>
            </w:pPr>
            <w:r>
              <w:rPr>
                <w:sz w:val="18"/>
              </w:rPr>
              <w:t>18</w:t>
            </w:r>
          </w:p>
        </w:tc>
        <w:tc>
          <w:tcPr>
            <w:tcW w:type="dxa" w:w="2128"/>
          </w:tcPr>
          <w:p>
            <w:pPr>
              <w:spacing w:after="0"/>
            </w:pPr>
            <w:r>
              <w:rPr>
                <w:sz w:val="18"/>
              </w:rPr>
              <w:t>Resident</w:t>
            </w:r>
          </w:p>
        </w:tc>
        <w:tc>
          <w:tcPr>
            <w:tcW w:type="dxa" w:w="4201"/>
          </w:tcPr>
          <w:p>
            <w:pPr>
              <w:spacing w:after="0"/>
            </w:pPr>
            <w:r>
              <w:rPr>
                <w:sz w:val="18"/>
              </w:rPr>
              <w:t>Completed state: resolved report with proof, confirm or reopen</w:t>
            </w:r>
          </w:p>
        </w:tc>
        <w:tc>
          <w:tcPr>
            <w:tcW w:type="dxa" w:w="2001"/>
          </w:tcPr>
          <w:p>
            <w:pPr>
              <w:spacing w:after="0"/>
            </w:pPr>
            <w:r>
              <w:rPr>
                <w:sz w:val="18"/>
              </w:rPr>
              <w:t>FR-06, FR-14</w:t>
            </w:r>
          </w:p>
        </w:tc>
      </w:tr>
      <w:tr>
        <w:tc>
          <w:tcPr>
            <w:tcW w:type="dxa" w:w="1030"/>
          </w:tcPr>
          <w:p>
            <w:pPr>
              <w:spacing w:after="0"/>
            </w:pPr>
            <w:r>
              <w:rPr>
                <w:sz w:val="18"/>
              </w:rPr>
              <w:t>19</w:t>
            </w:r>
          </w:p>
        </w:tc>
        <w:tc>
          <w:tcPr>
            <w:tcW w:type="dxa" w:w="2128"/>
          </w:tcPr>
          <w:p>
            <w:pPr>
              <w:spacing w:after="0"/>
            </w:pPr>
            <w:r>
              <w:rPr>
                <w:sz w:val="18"/>
              </w:rPr>
              <w:t>Official</w:t>
            </w:r>
          </w:p>
        </w:tc>
        <w:tc>
          <w:tcPr>
            <w:tcW w:type="dxa" w:w="4201"/>
          </w:tcPr>
          <w:p>
            <w:pPr>
              <w:spacing w:after="0"/>
            </w:pPr>
            <w:r>
              <w:rPr>
                <w:sz w:val="18"/>
              </w:rPr>
              <w:t>Alert composition with a live resident preview</w:t>
            </w:r>
          </w:p>
        </w:tc>
        <w:tc>
          <w:tcPr>
            <w:tcW w:type="dxa" w:w="2001"/>
          </w:tcPr>
          <w:p>
            <w:pPr>
              <w:spacing w:after="0"/>
            </w:pPr>
            <w:r>
              <w:rPr>
                <w:sz w:val="18"/>
              </w:rPr>
              <w:t>FR-16</w:t>
            </w:r>
          </w:p>
        </w:tc>
      </w:tr>
      <w:tr>
        <w:tc>
          <w:tcPr>
            <w:tcW w:type="dxa" w:w="1030"/>
          </w:tcPr>
          <w:p>
            <w:pPr>
              <w:spacing w:after="0"/>
            </w:pPr>
            <w:r>
              <w:rPr>
                <w:sz w:val="18"/>
              </w:rPr>
              <w:t>20</w:t>
            </w:r>
          </w:p>
        </w:tc>
        <w:tc>
          <w:tcPr>
            <w:tcW w:type="dxa" w:w="2128"/>
          </w:tcPr>
          <w:p>
            <w:pPr>
              <w:spacing w:after="0"/>
            </w:pPr>
            <w:r>
              <w:rPr>
                <w:sz w:val="18"/>
              </w:rPr>
              <w:t>Resident</w:t>
            </w:r>
          </w:p>
        </w:tc>
        <w:tc>
          <w:tcPr>
            <w:tcW w:type="dxa" w:w="4201"/>
          </w:tcPr>
          <w:p>
            <w:pPr>
              <w:spacing w:after="0"/>
            </w:pPr>
            <w:r>
              <w:rPr>
                <w:sz w:val="18"/>
              </w:rPr>
              <w:t>Suburb alerts feed (strike emergency pinned first)</w:t>
            </w:r>
          </w:p>
        </w:tc>
        <w:tc>
          <w:tcPr>
            <w:tcW w:type="dxa" w:w="2001"/>
          </w:tcPr>
          <w:p>
            <w:pPr>
              <w:spacing w:after="0"/>
            </w:pPr>
            <w:r>
              <w:rPr>
                <w:sz w:val="18"/>
              </w:rPr>
              <w:t>FR-17</w:t>
            </w:r>
          </w:p>
        </w:tc>
      </w:tr>
      <w:tr>
        <w:tc>
          <w:tcPr>
            <w:tcW w:type="dxa" w:w="1030"/>
          </w:tcPr>
          <w:p>
            <w:pPr>
              <w:spacing w:after="0"/>
            </w:pPr>
            <w:r>
              <w:rPr>
                <w:sz w:val="18"/>
              </w:rPr>
              <w:t>21</w:t>
            </w:r>
          </w:p>
        </w:tc>
        <w:tc>
          <w:tcPr>
            <w:tcW w:type="dxa" w:w="2128"/>
          </w:tcPr>
          <w:p>
            <w:pPr>
              <w:spacing w:after="0"/>
            </w:pPr>
            <w:r>
              <w:rPr>
                <w:sz w:val="18"/>
              </w:rPr>
              <w:t>Official</w:t>
            </w:r>
          </w:p>
        </w:tc>
        <w:tc>
          <w:tcPr>
            <w:tcW w:type="dxa" w:w="4201"/>
          </w:tcPr>
          <w:p>
            <w:pPr>
              <w:spacing w:after="0"/>
            </w:pPr>
            <w:r>
              <w:rPr>
                <w:sz w:val="18"/>
              </w:rPr>
              <w:t>Analytics computed from live data</w:t>
            </w:r>
          </w:p>
        </w:tc>
        <w:tc>
          <w:tcPr>
            <w:tcW w:type="dxa" w:w="2001"/>
          </w:tcPr>
          <w:p>
            <w:pPr>
              <w:spacing w:after="0"/>
            </w:pPr>
            <w:r>
              <w:rPr>
                <w:sz w:val="18"/>
              </w:rPr>
              <w:t>FR-19</w:t>
            </w:r>
          </w:p>
        </w:tc>
      </w:tr>
      <w:tr>
        <w:tc>
          <w:tcPr>
            <w:tcW w:type="dxa" w:w="1030"/>
          </w:tcPr>
          <w:p>
            <w:pPr>
              <w:spacing w:after="0"/>
            </w:pPr>
            <w:r>
              <w:rPr>
                <w:sz w:val="18"/>
              </w:rPr>
              <w:t>22</w:t>
            </w:r>
          </w:p>
        </w:tc>
        <w:tc>
          <w:tcPr>
            <w:tcW w:type="dxa" w:w="2128"/>
          </w:tcPr>
          <w:p>
            <w:pPr>
              <w:spacing w:after="0"/>
            </w:pPr>
            <w:r>
              <w:rPr>
                <w:sz w:val="18"/>
              </w:rPr>
              <w:t>Administrator</w:t>
            </w:r>
          </w:p>
        </w:tc>
        <w:tc>
          <w:tcPr>
            <w:tcW w:type="dxa" w:w="4201"/>
          </w:tcPr>
          <w:p>
            <w:pPr>
              <w:spacing w:after="0"/>
            </w:pPr>
            <w:r>
              <w:rPr>
                <w:sz w:val="18"/>
              </w:rPr>
              <w:t>User and role management</w:t>
            </w:r>
          </w:p>
        </w:tc>
        <w:tc>
          <w:tcPr>
            <w:tcW w:type="dxa" w:w="2001"/>
          </w:tcPr>
          <w:p>
            <w:pPr>
              <w:spacing w:after="0"/>
            </w:pPr>
            <w:r>
              <w:rPr>
                <w:sz w:val="18"/>
              </w:rPr>
              <w:t>FR-20</w:t>
            </w:r>
          </w:p>
        </w:tc>
      </w:tr>
      <w:tr>
        <w:tc>
          <w:tcPr>
            <w:tcW w:type="dxa" w:w="1030"/>
          </w:tcPr>
          <w:p>
            <w:pPr>
              <w:spacing w:after="0"/>
            </w:pPr>
            <w:r>
              <w:rPr>
                <w:sz w:val="18"/>
              </w:rPr>
              <w:t>23</w:t>
            </w:r>
          </w:p>
        </w:tc>
        <w:tc>
          <w:tcPr>
            <w:tcW w:type="dxa" w:w="2128"/>
          </w:tcPr>
          <w:p>
            <w:pPr>
              <w:spacing w:after="0"/>
            </w:pPr>
            <w:r>
              <w:rPr>
                <w:sz w:val="18"/>
              </w:rPr>
              <w:t>Resident</w:t>
            </w:r>
          </w:p>
        </w:tc>
        <w:tc>
          <w:tcPr>
            <w:tcW w:type="dxa" w:w="4201"/>
          </w:tcPr>
          <w:p>
            <w:pPr>
              <w:spacing w:after="0"/>
            </w:pPr>
            <w:r>
              <w:rPr>
                <w:sz w:val="18"/>
              </w:rPr>
              <w:t>Permission denied when opening an official page</w:t>
            </w:r>
          </w:p>
        </w:tc>
        <w:tc>
          <w:tcPr>
            <w:tcW w:type="dxa" w:w="2001"/>
          </w:tcPr>
          <w:p>
            <w:pPr>
              <w:spacing w:after="0"/>
            </w:pPr>
            <w:r>
              <w:rPr>
                <w:sz w:val="18"/>
              </w:rPr>
              <w:t>NFR-01</w:t>
            </w:r>
          </w:p>
        </w:tc>
      </w:tr>
      <w:tr>
        <w:tc>
          <w:tcPr>
            <w:tcW w:type="dxa" w:w="1030"/>
          </w:tcPr>
          <w:p>
            <w:pPr>
              <w:spacing w:after="0"/>
            </w:pPr>
            <w:r>
              <w:rPr>
                <w:sz w:val="18"/>
              </w:rPr>
              <w:t>24</w:t>
            </w:r>
          </w:p>
        </w:tc>
        <w:tc>
          <w:tcPr>
            <w:tcW w:type="dxa" w:w="2128"/>
          </w:tcPr>
          <w:p>
            <w:pPr>
              <w:spacing w:after="0"/>
            </w:pPr>
            <w:r>
              <w:rPr>
                <w:sz w:val="18"/>
              </w:rPr>
              <w:t>Official</w:t>
            </w:r>
          </w:p>
        </w:tc>
        <w:tc>
          <w:tcPr>
            <w:tcW w:type="dxa" w:w="4201"/>
          </w:tcPr>
          <w:p>
            <w:pPr>
              <w:spacing w:after="0"/>
            </w:pPr>
            <w:r>
              <w:rPr>
                <w:sz w:val="18"/>
              </w:rPr>
              <w:t>Empty state in the report queue</w:t>
            </w:r>
          </w:p>
        </w:tc>
        <w:tc>
          <w:tcPr>
            <w:tcW w:type="dxa" w:w="2001"/>
          </w:tcPr>
          <w:p>
            <w:pPr>
              <w:spacing w:after="0"/>
            </w:pPr>
            <w:r>
              <w:rPr>
                <w:sz w:val="18"/>
              </w:rPr>
              <w:t>FR-08</w:t>
            </w:r>
          </w:p>
        </w:tc>
      </w:tr>
      <w:tr>
        <w:tc>
          <w:tcPr>
            <w:tcW w:type="dxa" w:w="1030"/>
          </w:tcPr>
          <w:p>
            <w:pPr>
              <w:spacing w:after="0"/>
            </w:pPr>
            <w:r>
              <w:rPr>
                <w:sz w:val="18"/>
              </w:rPr>
              <w:t>25</w:t>
            </w:r>
          </w:p>
        </w:tc>
        <w:tc>
          <w:tcPr>
            <w:tcW w:type="dxa" w:w="2128"/>
          </w:tcPr>
          <w:p>
            <w:pPr>
              <w:spacing w:after="0"/>
            </w:pPr>
            <w:r>
              <w:rPr>
                <w:sz w:val="18"/>
              </w:rPr>
              <w:t>New resident</w:t>
            </w:r>
          </w:p>
        </w:tc>
        <w:tc>
          <w:tcPr>
            <w:tcW w:type="dxa" w:w="4201"/>
          </w:tcPr>
          <w:p>
            <w:pPr>
              <w:spacing w:after="0"/>
            </w:pPr>
            <w:r>
              <w:rPr>
                <w:sz w:val="18"/>
              </w:rPr>
              <w:t>First Google sign-in completes the profile</w:t>
            </w:r>
          </w:p>
        </w:tc>
        <w:tc>
          <w:tcPr>
            <w:tcW w:type="dxa" w:w="2001"/>
          </w:tcPr>
          <w:p>
            <w:pPr>
              <w:spacing w:after="0"/>
            </w:pPr>
            <w:r>
              <w:rPr>
                <w:sz w:val="18"/>
              </w:rPr>
              <w:t>FR-29</w:t>
            </w:r>
          </w:p>
        </w:tc>
      </w:tr>
      <w:tr>
        <w:tc>
          <w:tcPr>
            <w:tcW w:type="dxa" w:w="1030"/>
          </w:tcPr>
          <w:p>
            <w:pPr>
              <w:spacing w:after="0"/>
            </w:pPr>
            <w:r>
              <w:rPr>
                <w:sz w:val="18"/>
              </w:rPr>
              <w:t>26</w:t>
            </w:r>
          </w:p>
        </w:tc>
        <w:tc>
          <w:tcPr>
            <w:tcW w:type="dxa" w:w="2128"/>
          </w:tcPr>
          <w:p>
            <w:pPr>
              <w:spacing w:after="0"/>
            </w:pPr>
            <w:r>
              <w:rPr>
                <w:sz w:val="18"/>
              </w:rPr>
              <w:t>Resident</w:t>
            </w:r>
          </w:p>
        </w:tc>
        <w:tc>
          <w:tcPr>
            <w:tcW w:type="dxa" w:w="4201"/>
          </w:tcPr>
          <w:p>
            <w:pPr>
              <w:spacing w:after="0"/>
            </w:pPr>
            <w:r>
              <w:rPr>
                <w:sz w:val="18"/>
              </w:rPr>
              <w:t>Profile editing and POPIA account deletion</w:t>
            </w:r>
          </w:p>
        </w:tc>
        <w:tc>
          <w:tcPr>
            <w:tcW w:type="dxa" w:w="2001"/>
          </w:tcPr>
          <w:p>
            <w:pPr>
              <w:spacing w:after="0"/>
            </w:pPr>
            <w:r>
              <w:rPr>
                <w:sz w:val="18"/>
              </w:rPr>
              <w:t>FR-31, FR-32</w:t>
            </w:r>
          </w:p>
        </w:tc>
      </w:tr>
    </w:tbl>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920240" cy="4162009"/>
                  <wp:docPr id="13" name="Picture 13"/>
                  <wp:cNvGraphicFramePr>
                    <a:graphicFrameLocks noChangeAspect="1"/>
                  </wp:cNvGraphicFramePr>
                  <a:graphic>
                    <a:graphicData uri="http://schemas.openxmlformats.org/drawingml/2006/picture">
                      <pic:pic>
                        <pic:nvPicPr>
                          <pic:cNvPr id="0" name="01-login.png"/>
                          <pic:cNvPicPr/>
                        </pic:nvPicPr>
                        <pic:blipFill>
                          <a:blip r:embed="rId23"/>
                          <a:stretch>
                            <a:fillRect/>
                          </a:stretch>
                        </pic:blipFill>
                        <pic:spPr>
                          <a:xfrm>
                            <a:off x="0" y="0"/>
                            <a:ext cx="1920240" cy="416200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920240" cy="4162009"/>
                  <wp:docPr id="14" name="Picture 14"/>
                  <wp:cNvGraphicFramePr>
                    <a:graphicFrameLocks noChangeAspect="1"/>
                  </wp:cNvGraphicFramePr>
                  <a:graphic>
                    <a:graphicData uri="http://schemas.openxmlformats.org/drawingml/2006/picture">
                      <pic:pic>
                        <pic:nvPicPr>
                          <pic:cNvPr id="0" name="06-report-step2-details.png"/>
                          <pic:cNvPicPr/>
                        </pic:nvPicPr>
                        <pic:blipFill>
                          <a:blip r:embed="rId24"/>
                          <a:stretch>
                            <a:fillRect/>
                          </a:stretch>
                        </pic:blipFill>
                        <pic:spPr>
                          <a:xfrm>
                            <a:off x="0" y="0"/>
                            <a:ext cx="1920240" cy="416200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920240" cy="4162009"/>
                  <wp:docPr id="15" name="Picture 15"/>
                  <wp:cNvGraphicFramePr>
                    <a:graphicFrameLocks noChangeAspect="1"/>
                  </wp:cNvGraphicFramePr>
                  <a:graphic>
                    <a:graphicData uri="http://schemas.openxmlformats.org/drawingml/2006/picture">
                      <pic:pic>
                        <pic:nvPicPr>
                          <pic:cNvPr id="0" name="05-report-validation-errors.png"/>
                          <pic:cNvPicPr/>
                        </pic:nvPicPr>
                        <pic:blipFill>
                          <a:blip r:embed="rId25"/>
                          <a:stretch>
                            <a:fillRect/>
                          </a:stretch>
                        </pic:blipFill>
                        <pic:spPr>
                          <a:xfrm>
                            <a:off x="0" y="0"/>
                            <a:ext cx="1920240" cy="4162009"/>
                          </a:xfrm>
                          <a:prstGeom prst="rect"/>
                        </pic:spPr>
                      </pic:pic>
                    </a:graphicData>
                  </a:graphic>
                </wp:inline>
              </w:drawing>
            </w:r>
          </w:p>
        </w:tc>
      </w:tr>
      <w:tr>
        <w:tc>
          <w:tcPr>
            <w:tcW w:type="dxa" w:w="3120"/>
          </w:tcPr>
          <w:p>
            <w:pPr>
              <w:pStyle w:val="Caption"/>
              <w:jc w:val="center"/>
            </w:pPr>
            <w:r>
              <w:t>Figure 11: Sign in (all roles)</w:t>
            </w:r>
          </w:p>
        </w:tc>
        <w:tc>
          <w:tcPr>
            <w:tcW w:type="dxa" w:w="3120"/>
          </w:tcPr>
          <w:p>
            <w:pPr>
              <w:pStyle w:val="Caption"/>
              <w:jc w:val="center"/>
            </w:pPr>
            <w:r>
              <w:t>Figure 12: Resident, report step 2 (location, details and photo)</w:t>
            </w:r>
          </w:p>
        </w:tc>
        <w:tc>
          <w:tcPr>
            <w:tcW w:type="dxa" w:w="3120"/>
          </w:tcPr>
          <w:p>
            <w:pPr>
              <w:pStyle w:val="Caption"/>
              <w:jc w:val="center"/>
            </w:pPr>
            <w:r>
              <w:t>Figure 13: Resident, validation errors</w:t>
            </w:r>
          </w:p>
        </w:tc>
      </w:tr>
    </w:tbl>
    <w:p/>
    <w:tbl>
      <w:tblPr>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1920240" cy="4162009"/>
                  <wp:docPr id="16" name="Picture 16"/>
                  <wp:cNvGraphicFramePr>
                    <a:graphicFrameLocks noChangeAspect="1"/>
                  </wp:cNvGraphicFramePr>
                  <a:graphic>
                    <a:graphicData uri="http://schemas.openxmlformats.org/drawingml/2006/picture">
                      <pic:pic>
                        <pic:nvPicPr>
                          <pic:cNvPr id="0" name="09-report-duplicate.png"/>
                          <pic:cNvPicPr/>
                        </pic:nvPicPr>
                        <pic:blipFill>
                          <a:blip r:embed="rId26"/>
                          <a:stretch>
                            <a:fillRect/>
                          </a:stretch>
                        </pic:blipFill>
                        <pic:spPr>
                          <a:xfrm>
                            <a:off x="0" y="0"/>
                            <a:ext cx="1920240" cy="4162009"/>
                          </a:xfrm>
                          <a:prstGeom prst="rect"/>
                        </pic:spPr>
                      </pic:pic>
                    </a:graphicData>
                  </a:graphic>
                </wp:inline>
              </w:drawing>
            </w:r>
          </w:p>
        </w:tc>
      </w:tr>
      <w:tr>
        <w:tc>
          <w:tcPr>
            <w:tcW w:type="dxa" w:w="9360"/>
          </w:tcPr>
          <w:p>
            <w:pPr>
              <w:pStyle w:val="Caption"/>
              <w:jc w:val="center"/>
            </w:pPr>
            <w:r>
              <w:t>Figure 14: Resident, duplicate report detected</w:t>
            </w:r>
          </w:p>
        </w:tc>
      </w:tr>
    </w:tbl>
    <w:p/>
    <w:p>
      <w:pPr>
        <w:keepNext/>
        <w:jc w:val="center"/>
      </w:pPr>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20-official-dashboard.png"/>
                    <pic:cNvPicPr/>
                  </pic:nvPicPr>
                  <pic:blipFill>
                    <a:blip r:embed="rId27"/>
                    <a:stretch>
                      <a:fillRect/>
                    </a:stretch>
                  </pic:blipFill>
                  <pic:spPr>
                    <a:xfrm>
                      <a:off x="0" y="0"/>
                      <a:ext cx="5943600" cy="3714750"/>
                    </a:xfrm>
                    <a:prstGeom prst="rect"/>
                  </pic:spPr>
                </pic:pic>
              </a:graphicData>
            </a:graphic>
          </wp:inline>
        </w:drawing>
      </w:r>
    </w:p>
    <w:p>
      <w:pPr>
        <w:pStyle w:val="Caption"/>
        <w:jc w:val="center"/>
      </w:pPr>
      <w:r>
        <w:t>Figure 15: Official dashboard</w:t>
      </w:r>
    </w:p>
    <w:p>
      <w:pPr>
        <w:keepNext/>
        <w:jc w:val="center"/>
      </w:pPr>
      <w:r>
        <w:drawing>
          <wp:inline xmlns:a="http://schemas.openxmlformats.org/drawingml/2006/main" xmlns:pic="http://schemas.openxmlformats.org/drawingml/2006/picture">
            <wp:extent cx="5943600" cy="3714750"/>
            <wp:docPr id="18" name="Picture 18"/>
            <wp:cNvGraphicFramePr>
              <a:graphicFrameLocks noChangeAspect="1"/>
            </wp:cNvGraphicFramePr>
            <a:graphic>
              <a:graphicData uri="http://schemas.openxmlformats.org/drawingml/2006/picture">
                <pic:pic>
                  <pic:nvPicPr>
                    <pic:cNvPr id="0" name="23-triage-assign.png"/>
                    <pic:cNvPicPr/>
                  </pic:nvPicPr>
                  <pic:blipFill>
                    <a:blip r:embed="rId28"/>
                    <a:stretch>
                      <a:fillRect/>
                    </a:stretch>
                  </pic:blipFill>
                  <pic:spPr>
                    <a:xfrm>
                      <a:off x="0" y="0"/>
                      <a:ext cx="5943600" cy="3714750"/>
                    </a:xfrm>
                    <a:prstGeom prst="rect"/>
                  </pic:spPr>
                </pic:pic>
              </a:graphicData>
            </a:graphic>
          </wp:inline>
        </w:drawing>
      </w:r>
    </w:p>
    <w:p>
      <w:pPr>
        <w:pStyle w:val="Caption"/>
        <w:jc w:val="center"/>
      </w:pPr>
      <w:r>
        <w:t>Figure 16: Official, triage and assignment</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920240" cy="4162009"/>
                  <wp:docPr id="19" name="Picture 19"/>
                  <wp:cNvGraphicFramePr>
                    <a:graphicFrameLocks noChangeAspect="1"/>
                  </wp:cNvGraphicFramePr>
                  <a:graphic>
                    <a:graphicData uri="http://schemas.openxmlformats.org/drawingml/2006/picture">
                      <pic:pic>
                        <pic:nvPicPr>
                          <pic:cNvPr id="0" name="43-worker-completed.png"/>
                          <pic:cNvPicPr/>
                        </pic:nvPicPr>
                        <pic:blipFill>
                          <a:blip r:embed="rId29"/>
                          <a:stretch>
                            <a:fillRect/>
                          </a:stretch>
                        </pic:blipFill>
                        <pic:spPr>
                          <a:xfrm>
                            <a:off x="0" y="0"/>
                            <a:ext cx="1920240" cy="4162009"/>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1920240" cy="4162009"/>
                  <wp:docPr id="20" name="Picture 20"/>
                  <wp:cNvGraphicFramePr>
                    <a:graphicFrameLocks noChangeAspect="1"/>
                  </wp:cNvGraphicFramePr>
                  <a:graphic>
                    <a:graphicData uri="http://schemas.openxmlformats.org/drawingml/2006/picture">
                      <pic:pic>
                        <pic:nvPicPr>
                          <pic:cNvPr id="0" name="11-report-resolved-confirm.png"/>
                          <pic:cNvPicPr/>
                        </pic:nvPicPr>
                        <pic:blipFill>
                          <a:blip r:embed="rId30"/>
                          <a:stretch>
                            <a:fillRect/>
                          </a:stretch>
                        </pic:blipFill>
                        <pic:spPr>
                          <a:xfrm>
                            <a:off x="0" y="0"/>
                            <a:ext cx="1920240" cy="4162009"/>
                          </a:xfrm>
                          <a:prstGeom prst="rect"/>
                        </pic:spPr>
                      </pic:pic>
                    </a:graphicData>
                  </a:graphic>
                </wp:inline>
              </w:drawing>
            </w:r>
          </w:p>
        </w:tc>
      </w:tr>
      <w:tr>
        <w:tc>
          <w:tcPr>
            <w:tcW w:type="dxa" w:w="4680"/>
          </w:tcPr>
          <w:p>
            <w:pPr>
              <w:pStyle w:val="Caption"/>
              <w:jc w:val="center"/>
            </w:pPr>
            <w:r>
              <w:t>Figure 17: Field worker, completion with proof</w:t>
            </w:r>
          </w:p>
        </w:tc>
        <w:tc>
          <w:tcPr>
            <w:tcW w:type="dxa" w:w="4680"/>
          </w:tcPr>
          <w:p>
            <w:pPr>
              <w:pStyle w:val="Caption"/>
              <w:jc w:val="center"/>
            </w:pPr>
            <w:r>
              <w:t>Figure 18: Resident, resolved report with proof and confirm/reopen</w:t>
            </w:r>
          </w:p>
        </w:tc>
      </w:tr>
    </w:tbl>
    <w:p/>
    <w:p>
      <w:pPr>
        <w:keepNext/>
        <w:jc w:val="center"/>
      </w:pPr>
      <w:r>
        <w:drawing>
          <wp:inline xmlns:a="http://schemas.openxmlformats.org/drawingml/2006/main" xmlns:pic="http://schemas.openxmlformats.org/drawingml/2006/picture">
            <wp:extent cx="5943600" cy="3714750"/>
            <wp:docPr id="21" name="Picture 21"/>
            <wp:cNvGraphicFramePr>
              <a:graphicFrameLocks noChangeAspect="1"/>
            </wp:cNvGraphicFramePr>
            <a:graphic>
              <a:graphicData uri="http://schemas.openxmlformats.org/drawingml/2006/picture">
                <pic:pic>
                  <pic:nvPicPr>
                    <pic:cNvPr id="0" name="26-alert-composer.png"/>
                    <pic:cNvPicPr/>
                  </pic:nvPicPr>
                  <pic:blipFill>
                    <a:blip r:embed="rId31"/>
                    <a:stretch>
                      <a:fillRect/>
                    </a:stretch>
                  </pic:blipFill>
                  <pic:spPr>
                    <a:xfrm>
                      <a:off x="0" y="0"/>
                      <a:ext cx="5943600" cy="3714750"/>
                    </a:xfrm>
                    <a:prstGeom prst="rect"/>
                  </pic:spPr>
                </pic:pic>
              </a:graphicData>
            </a:graphic>
          </wp:inline>
        </w:drawing>
      </w:r>
    </w:p>
    <w:p>
      <w:pPr>
        <w:pStyle w:val="Caption"/>
        <w:jc w:val="center"/>
      </w:pPr>
      <w:r>
        <w:t>Figure 19: Official, alert composer with preview</w:t>
      </w:r>
    </w:p>
    <w:tbl>
      <w:tblPr>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1920240" cy="4162009"/>
                  <wp:docPr id="22" name="Picture 22"/>
                  <wp:cNvGraphicFramePr>
                    <a:graphicFrameLocks noChangeAspect="1"/>
                  </wp:cNvGraphicFramePr>
                  <a:graphic>
                    <a:graphicData uri="http://schemas.openxmlformats.org/drawingml/2006/picture">
                      <pic:pic>
                        <pic:nvPicPr>
                          <pic:cNvPr id="0" name="13-resident-alerts.png"/>
                          <pic:cNvPicPr/>
                        </pic:nvPicPr>
                        <pic:blipFill>
                          <a:blip r:embed="rId32"/>
                          <a:stretch>
                            <a:fillRect/>
                          </a:stretch>
                        </pic:blipFill>
                        <pic:spPr>
                          <a:xfrm>
                            <a:off x="0" y="0"/>
                            <a:ext cx="1920240" cy="4162009"/>
                          </a:xfrm>
                          <a:prstGeom prst="rect"/>
                        </pic:spPr>
                      </pic:pic>
                    </a:graphicData>
                  </a:graphic>
                </wp:inline>
              </w:drawing>
            </w:r>
          </w:p>
        </w:tc>
      </w:tr>
      <w:tr>
        <w:tc>
          <w:tcPr>
            <w:tcW w:type="dxa" w:w="9360"/>
          </w:tcPr>
          <w:p>
            <w:pPr>
              <w:pStyle w:val="Caption"/>
              <w:jc w:val="center"/>
            </w:pPr>
            <w:r>
              <w:t>Figure 20: Resident, alerts feed</w:t>
            </w:r>
          </w:p>
        </w:tc>
      </w:tr>
    </w:tbl>
    <w:p/>
    <w:p>
      <w:pPr>
        <w:keepNext/>
        <w:jc w:val="center"/>
      </w:pPr>
      <w:r>
        <w:drawing>
          <wp:inline xmlns:a="http://schemas.openxmlformats.org/drawingml/2006/main" xmlns:pic="http://schemas.openxmlformats.org/drawingml/2006/picture">
            <wp:extent cx="5943600" cy="3714750"/>
            <wp:docPr id="23" name="Picture 23"/>
            <wp:cNvGraphicFramePr>
              <a:graphicFrameLocks noChangeAspect="1"/>
            </wp:cNvGraphicFramePr>
            <a:graphic>
              <a:graphicData uri="http://schemas.openxmlformats.org/drawingml/2006/picture">
                <pic:pic>
                  <pic:nvPicPr>
                    <pic:cNvPr id="0" name="28-analytics.png"/>
                    <pic:cNvPicPr/>
                  </pic:nvPicPr>
                  <pic:blipFill>
                    <a:blip r:embed="rId33"/>
                    <a:stretch>
                      <a:fillRect/>
                    </a:stretch>
                  </pic:blipFill>
                  <pic:spPr>
                    <a:xfrm>
                      <a:off x="0" y="0"/>
                      <a:ext cx="5943600" cy="3714750"/>
                    </a:xfrm>
                    <a:prstGeom prst="rect"/>
                  </pic:spPr>
                </pic:pic>
              </a:graphicData>
            </a:graphic>
          </wp:inline>
        </w:drawing>
      </w:r>
    </w:p>
    <w:p>
      <w:pPr>
        <w:pStyle w:val="Caption"/>
        <w:jc w:val="center"/>
      </w:pPr>
      <w:r>
        <w:t>Figure 21: Service-delivery analytics</w:t>
      </w:r>
    </w:p>
    <w:p>
      <w:pPr>
        <w:keepNext/>
        <w:jc w:val="center"/>
      </w:pPr>
      <w:r>
        <w:drawing>
          <wp:inline xmlns:a="http://schemas.openxmlformats.org/drawingml/2006/main" xmlns:pic="http://schemas.openxmlformats.org/drawingml/2006/picture">
            <wp:extent cx="5943600" cy="3714750"/>
            <wp:docPr id="24" name="Picture 24"/>
            <wp:cNvGraphicFramePr>
              <a:graphicFrameLocks noChangeAspect="1"/>
            </wp:cNvGraphicFramePr>
            <a:graphic>
              <a:graphicData uri="http://schemas.openxmlformats.org/drawingml/2006/picture">
                <pic:pic>
                  <pic:nvPicPr>
                    <pic:cNvPr id="0" name="30-admin-users.png"/>
                    <pic:cNvPicPr/>
                  </pic:nvPicPr>
                  <pic:blipFill>
                    <a:blip r:embed="rId34"/>
                    <a:stretch>
                      <a:fillRect/>
                    </a:stretch>
                  </pic:blipFill>
                  <pic:spPr>
                    <a:xfrm>
                      <a:off x="0" y="0"/>
                      <a:ext cx="5943600" cy="3714750"/>
                    </a:xfrm>
                    <a:prstGeom prst="rect"/>
                  </pic:spPr>
                </pic:pic>
              </a:graphicData>
            </a:graphic>
          </wp:inline>
        </w:drawing>
      </w:r>
    </w:p>
    <w:p>
      <w:pPr>
        <w:pStyle w:val="Caption"/>
        <w:jc w:val="center"/>
      </w:pPr>
      <w:r>
        <w:t>Figure 22: Administrator, user management</w:t>
      </w:r>
    </w:p>
    <w:tbl>
      <w:tblPr>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1920240" cy="4162009"/>
                  <wp:docPr id="25" name="Picture 25"/>
                  <wp:cNvGraphicFramePr>
                    <a:graphicFrameLocks noChangeAspect="1"/>
                  </wp:cNvGraphicFramePr>
                  <a:graphic>
                    <a:graphicData uri="http://schemas.openxmlformats.org/drawingml/2006/picture">
                      <pic:pic>
                        <pic:nvPicPr>
                          <pic:cNvPr id="0" name="15-permission-denied.png"/>
                          <pic:cNvPicPr/>
                        </pic:nvPicPr>
                        <pic:blipFill>
                          <a:blip r:embed="rId35"/>
                          <a:stretch>
                            <a:fillRect/>
                          </a:stretch>
                        </pic:blipFill>
                        <pic:spPr>
                          <a:xfrm>
                            <a:off x="0" y="0"/>
                            <a:ext cx="1920240" cy="4162009"/>
                          </a:xfrm>
                          <a:prstGeom prst="rect"/>
                        </pic:spPr>
                      </pic:pic>
                    </a:graphicData>
                  </a:graphic>
                </wp:inline>
              </w:drawing>
            </w:r>
          </w:p>
        </w:tc>
      </w:tr>
      <w:tr>
        <w:tc>
          <w:tcPr>
            <w:tcW w:type="dxa" w:w="9360"/>
          </w:tcPr>
          <w:p>
            <w:pPr>
              <w:pStyle w:val="Caption"/>
              <w:jc w:val="center"/>
            </w:pPr>
            <w:r>
              <w:t>Figure 23: Permission-denied state</w:t>
            </w:r>
          </w:p>
        </w:tc>
      </w:tr>
    </w:tbl>
    <w:p/>
    <w:p>
      <w:pPr>
        <w:keepNext/>
        <w:jc w:val="center"/>
      </w:pPr>
      <w:r>
        <w:drawing>
          <wp:inline xmlns:a="http://schemas.openxmlformats.org/drawingml/2006/main" xmlns:pic="http://schemas.openxmlformats.org/drawingml/2006/picture">
            <wp:extent cx="5943600" cy="3714750"/>
            <wp:docPr id="26" name="Picture 26"/>
            <wp:cNvGraphicFramePr>
              <a:graphicFrameLocks noChangeAspect="1"/>
            </wp:cNvGraphicFramePr>
            <a:graphic>
              <a:graphicData uri="http://schemas.openxmlformats.org/drawingml/2006/picture">
                <pic:pic>
                  <pic:nvPicPr>
                    <pic:cNvPr id="0" name="22-queue-empty-state.png"/>
                    <pic:cNvPicPr/>
                  </pic:nvPicPr>
                  <pic:blipFill>
                    <a:blip r:embed="rId36"/>
                    <a:stretch>
                      <a:fillRect/>
                    </a:stretch>
                  </pic:blipFill>
                  <pic:spPr>
                    <a:xfrm>
                      <a:off x="0" y="0"/>
                      <a:ext cx="5943600" cy="3714750"/>
                    </a:xfrm>
                    <a:prstGeom prst="rect"/>
                  </pic:spPr>
                </pic:pic>
              </a:graphicData>
            </a:graphic>
          </wp:inline>
        </w:drawing>
      </w:r>
    </w:p>
    <w:p>
      <w:pPr>
        <w:pStyle w:val="Caption"/>
        <w:jc w:val="center"/>
      </w:pPr>
      <w:r>
        <w:t>Figure 24: Empty state in the report queue</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1920240" cy="4162009"/>
                  <wp:docPr id="27" name="Picture 27"/>
                  <wp:cNvGraphicFramePr>
                    <a:graphicFrameLocks noChangeAspect="1"/>
                  </wp:cNvGraphicFramePr>
                  <a:graphic>
                    <a:graphicData uri="http://schemas.openxmlformats.org/drawingml/2006/picture">
                      <pic:pic>
                        <pic:nvPicPr>
                          <pic:cNvPr id="0" name="16-google-welcome.png"/>
                          <pic:cNvPicPr/>
                        </pic:nvPicPr>
                        <pic:blipFill>
                          <a:blip r:embed="rId37"/>
                          <a:stretch>
                            <a:fillRect/>
                          </a:stretch>
                        </pic:blipFill>
                        <pic:spPr>
                          <a:xfrm>
                            <a:off x="0" y="0"/>
                            <a:ext cx="1920240" cy="4162009"/>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1920240" cy="4162009"/>
                  <wp:docPr id="28" name="Picture 28"/>
                  <wp:cNvGraphicFramePr>
                    <a:graphicFrameLocks noChangeAspect="1"/>
                  </wp:cNvGraphicFramePr>
                  <a:graphic>
                    <a:graphicData uri="http://schemas.openxmlformats.org/drawingml/2006/picture">
                      <pic:pic>
                        <pic:nvPicPr>
                          <pic:cNvPr id="0" name="17-profile-popia.png"/>
                          <pic:cNvPicPr/>
                        </pic:nvPicPr>
                        <pic:blipFill>
                          <a:blip r:embed="rId38"/>
                          <a:stretch>
                            <a:fillRect/>
                          </a:stretch>
                        </pic:blipFill>
                        <pic:spPr>
                          <a:xfrm>
                            <a:off x="0" y="0"/>
                            <a:ext cx="1920240" cy="4162009"/>
                          </a:xfrm>
                          <a:prstGeom prst="rect"/>
                        </pic:spPr>
                      </pic:pic>
                    </a:graphicData>
                  </a:graphic>
                </wp:inline>
              </w:drawing>
            </w:r>
          </w:p>
        </w:tc>
      </w:tr>
      <w:tr>
        <w:tc>
          <w:tcPr>
            <w:tcW w:type="dxa" w:w="4680"/>
          </w:tcPr>
          <w:p>
            <w:pPr>
              <w:pStyle w:val="Caption"/>
              <w:jc w:val="center"/>
            </w:pPr>
            <w:r>
              <w:t>Figure 25: First Google sign-in, profile completion</w:t>
            </w:r>
          </w:p>
        </w:tc>
        <w:tc>
          <w:tcPr>
            <w:tcW w:type="dxa" w:w="4680"/>
          </w:tcPr>
          <w:p>
            <w:pPr>
              <w:pStyle w:val="Caption"/>
              <w:jc w:val="center"/>
            </w:pPr>
            <w:r>
              <w:t>Figure 26: Resident profile with POPIA account deletion</w:t>
            </w:r>
          </w:p>
        </w:tc>
      </w:tr>
    </w:tbl>
    <w:p/>
    <w:p>
      <w:pPr>
        <w:pStyle w:val="Heading2"/>
        <w:numPr>
          <w:ilvl w:val="1"/>
          <w:numId w:val="9"/>
        </w:numPr>
      </w:pPr>
      <w:r>
        <w:t>Data Design</w:t>
      </w:r>
    </w:p>
    <w:p>
      <w:r>
        <w:t xml:space="preserve">CivicLink stores its persistent data in </w:t>
      </w:r>
      <w:r>
        <w:rPr>
          <w:b/>
        </w:rPr>
        <w:t>Cloud Firestore</w:t>
      </w:r>
      <w:r>
        <w:t xml:space="preserve">, a document database with real-time listeners and ACID transactions. Photos are stored in Firestore as well, as binary documents in the </w:t>
      </w:r>
      <w:r>
        <w:rPr>
          <w:rFonts w:ascii="Consolas" w:hAnsi="Consolas"/>
          <w:sz w:val="18"/>
        </w:rPr>
        <w:t>photos</w:t>
      </w:r>
      <w:r>
        <w:t xml:space="preserve"> collection (decision D3), so the system needs no separate file store. Figure 27 shows the implemented document model. Collections are shown as entities; references between documents (Firestore has no foreign keys) are shown as relationships with their cardinalities.</w:t>
      </w:r>
    </w:p>
    <w:p>
      <w:pPr>
        <w:keepNext/>
        <w:jc w:val="center"/>
      </w:pPr>
      <w:r>
        <w:drawing>
          <wp:inline xmlns:a="http://schemas.openxmlformats.org/drawingml/2006/main" xmlns:pic="http://schemas.openxmlformats.org/drawingml/2006/picture">
            <wp:extent cx="5943600" cy="5409889"/>
            <wp:docPr id="29" name="Picture 29"/>
            <wp:cNvGraphicFramePr>
              <a:graphicFrameLocks noChangeAspect="1"/>
            </wp:cNvGraphicFramePr>
            <a:graphic>
              <a:graphicData uri="http://schemas.openxmlformats.org/drawingml/2006/picture">
                <pic:pic>
                  <pic:nvPicPr>
                    <pic:cNvPr id="0" name="data-model.png"/>
                    <pic:cNvPicPr/>
                  </pic:nvPicPr>
                  <pic:blipFill>
                    <a:blip r:embed="rId39"/>
                    <a:stretch>
                      <a:fillRect/>
                    </a:stretch>
                  </pic:blipFill>
                  <pic:spPr>
                    <a:xfrm>
                      <a:off x="0" y="0"/>
                      <a:ext cx="5943600" cy="5409889"/>
                    </a:xfrm>
                    <a:prstGeom prst="rect"/>
                  </pic:spPr>
                </pic:pic>
              </a:graphicData>
            </a:graphic>
          </wp:inline>
        </w:drawing>
      </w:r>
    </w:p>
    <w:p>
      <w:pPr>
        <w:pStyle w:val="Caption"/>
        <w:jc w:val="center"/>
      </w:pPr>
      <w:r>
        <w:t>Figure 27: Firestore document model</w:t>
      </w:r>
    </w:p>
    <w:p>
      <w:pPr>
        <w:pStyle w:val="Caption"/>
        <w:keepNext/>
      </w:pPr>
      <w:r>
        <w:t>Table 10: Data dictionary (principal collections)</w:t>
      </w:r>
    </w:p>
    <w:tbl>
      <w:tblPr>
        <w:tblStyle w:val="TableGrid"/>
        <w:tblW w:type="auto" w:w="0"/>
        <w:jc w:val="center"/>
        <w:tblLayout w:type="fixed"/>
        <w:tblLook w:firstColumn="1" w:firstRow="1" w:lastColumn="0" w:lastRow="0" w:noHBand="0" w:noVBand="1" w:val="04A0"/>
        <w:tblLayout w:type="fixed"/>
      </w:tblPr>
      <w:tblGrid>
        <w:gridCol w:w="2788"/>
        <w:gridCol w:w="1719"/>
        <w:gridCol w:w="2423"/>
        <w:gridCol w:w="2430"/>
      </w:tblGrid>
      <w:tr>
        <w:trPr>
          <w:tblHeader w:val="true"/>
        </w:trPr>
        <w:tc>
          <w:tcPr>
            <w:tcW w:type="dxa" w:w="2788"/>
            <w:shd w:val="clear" w:color="auto" w:fill="D5EBF4"/>
          </w:tcPr>
          <w:p>
            <w:pPr>
              <w:spacing w:after="0"/>
            </w:pPr>
            <w:r>
              <w:rPr>
                <w:b/>
                <w:sz w:val="18"/>
              </w:rPr>
              <w:t>Collection / field</w:t>
            </w:r>
          </w:p>
        </w:tc>
        <w:tc>
          <w:tcPr>
            <w:tcW w:type="dxa" w:w="1719"/>
            <w:shd w:val="clear" w:color="auto" w:fill="D5EBF4"/>
          </w:tcPr>
          <w:p>
            <w:pPr>
              <w:spacing w:after="0"/>
            </w:pPr>
            <w:r>
              <w:rPr>
                <w:b/>
                <w:sz w:val="18"/>
              </w:rPr>
              <w:t>Type</w:t>
            </w:r>
          </w:p>
        </w:tc>
        <w:tc>
          <w:tcPr>
            <w:tcW w:type="dxa" w:w="2423"/>
            <w:shd w:val="clear" w:color="auto" w:fill="D5EBF4"/>
          </w:tcPr>
          <w:p>
            <w:pPr>
              <w:spacing w:after="0"/>
            </w:pPr>
            <w:r>
              <w:rPr>
                <w:b/>
                <w:sz w:val="18"/>
              </w:rPr>
              <w:t>Key / required</w:t>
            </w:r>
          </w:p>
        </w:tc>
        <w:tc>
          <w:tcPr>
            <w:tcW w:type="dxa" w:w="2430"/>
            <w:shd w:val="clear" w:color="auto" w:fill="D5EBF4"/>
          </w:tcPr>
          <w:p>
            <w:pPr>
              <w:spacing w:after="0"/>
            </w:pPr>
            <w:r>
              <w:rPr>
                <w:b/>
                <w:sz w:val="18"/>
              </w:rPr>
              <w:t>Purpose</w:t>
            </w:r>
          </w:p>
        </w:tc>
      </w:tr>
      <w:tr>
        <w:tc>
          <w:tcPr>
            <w:tcW w:type="dxa" w:w="2788"/>
          </w:tcPr>
          <w:p>
            <w:pPr>
              <w:spacing w:after="0"/>
            </w:pPr>
            <w:r>
              <w:rPr>
                <w:b/>
                <w:sz w:val="18"/>
              </w:rPr>
              <w:t>users/{uid}</w:t>
            </w:r>
          </w:p>
        </w:tc>
        <w:tc>
          <w:tcPr>
            <w:tcW w:type="dxa" w:w="1719"/>
          </w:tcPr>
          <w:p>
            <w:pPr>
              <w:spacing w:after="0"/>
            </w:pPr>
          </w:p>
        </w:tc>
        <w:tc>
          <w:tcPr>
            <w:tcW w:type="dxa" w:w="2423"/>
          </w:tcPr>
          <w:p>
            <w:pPr>
              <w:spacing w:after="0"/>
            </w:pPr>
            <w:r>
              <w:rPr>
                <w:sz w:val="18"/>
              </w:rPr>
              <w:t>uid = Auth user id (PK)</w:t>
            </w:r>
          </w:p>
        </w:tc>
        <w:tc>
          <w:tcPr>
            <w:tcW w:type="dxa" w:w="2430"/>
          </w:tcPr>
          <w:p>
            <w:pPr>
              <w:spacing w:after="0"/>
            </w:pPr>
            <w:r>
              <w:rPr>
                <w:sz w:val="18"/>
              </w:rPr>
              <w:t>Profile for every account</w:t>
            </w:r>
          </w:p>
        </w:tc>
      </w:tr>
      <w:tr>
        <w:tc>
          <w:tcPr>
            <w:tcW w:type="dxa" w:w="2788"/>
          </w:tcPr>
          <w:p>
            <w:pPr>
              <w:spacing w:after="0"/>
            </w:pPr>
            <w:r>
              <w:rPr>
                <w:sz w:val="18"/>
              </w:rPr>
              <w:t>name, email</w:t>
            </w:r>
          </w:p>
        </w:tc>
        <w:tc>
          <w:tcPr>
            <w:tcW w:type="dxa" w:w="1719"/>
          </w:tcPr>
          <w:p>
            <w:pPr>
              <w:spacing w:after="0"/>
            </w:pPr>
            <w:r>
              <w:rPr>
                <w:sz w:val="18"/>
              </w:rPr>
              <w:t>string</w:t>
            </w:r>
          </w:p>
        </w:tc>
        <w:tc>
          <w:tcPr>
            <w:tcW w:type="dxa" w:w="2423"/>
          </w:tcPr>
          <w:p>
            <w:pPr>
              <w:spacing w:after="0"/>
            </w:pPr>
            <w:r>
              <w:rPr>
                <w:sz w:val="18"/>
              </w:rPr>
              <w:t>required</w:t>
            </w:r>
          </w:p>
        </w:tc>
        <w:tc>
          <w:tcPr>
            <w:tcW w:type="dxa" w:w="2430"/>
          </w:tcPr>
          <w:p>
            <w:pPr>
              <w:spacing w:after="0"/>
            </w:pPr>
            <w:r>
              <w:rPr>
                <w:sz w:val="18"/>
              </w:rPr>
              <w:t>Display name; sign-in email (unique in Firebase Auth)</w:t>
            </w:r>
          </w:p>
        </w:tc>
      </w:tr>
      <w:tr>
        <w:tc>
          <w:tcPr>
            <w:tcW w:type="dxa" w:w="2788"/>
          </w:tcPr>
          <w:p>
            <w:pPr>
              <w:spacing w:after="0"/>
            </w:pPr>
            <w:r>
              <w:rPr>
                <w:sz w:val="18"/>
              </w:rPr>
              <w:t>role</w:t>
            </w:r>
          </w:p>
        </w:tc>
        <w:tc>
          <w:tcPr>
            <w:tcW w:type="dxa" w:w="1719"/>
          </w:tcPr>
          <w:p>
            <w:pPr>
              <w:spacing w:after="0"/>
            </w:pPr>
            <w:r>
              <w:rPr>
                <w:sz w:val="18"/>
              </w:rPr>
              <w:t>enum RESIDENT, OFFICIAL, FIELD_WORKER, ADMIN</w:t>
            </w:r>
          </w:p>
        </w:tc>
        <w:tc>
          <w:tcPr>
            <w:tcW w:type="dxa" w:w="2423"/>
          </w:tcPr>
          <w:p>
            <w:pPr>
              <w:spacing w:after="0"/>
            </w:pPr>
            <w:r>
              <w:rPr>
                <w:sz w:val="18"/>
              </w:rPr>
              <w:t>required</w:t>
            </w:r>
          </w:p>
        </w:tc>
        <w:tc>
          <w:tcPr>
            <w:tcW w:type="dxa" w:w="2430"/>
          </w:tcPr>
          <w:p>
            <w:pPr>
              <w:spacing w:after="0"/>
            </w:pPr>
            <w:r>
              <w:rPr>
                <w:sz w:val="18"/>
              </w:rPr>
              <w:t>Authorisation, mirrored as a custom claim</w:t>
            </w:r>
          </w:p>
        </w:tc>
      </w:tr>
      <w:tr>
        <w:tc>
          <w:tcPr>
            <w:tcW w:type="dxa" w:w="2788"/>
          </w:tcPr>
          <w:p>
            <w:pPr>
              <w:spacing w:after="0"/>
            </w:pPr>
            <w:r>
              <w:rPr>
                <w:sz w:val="18"/>
              </w:rPr>
              <w:t>departmentId</w:t>
            </w:r>
          </w:p>
        </w:tc>
        <w:tc>
          <w:tcPr>
            <w:tcW w:type="dxa" w:w="1719"/>
          </w:tcPr>
          <w:p>
            <w:pPr>
              <w:spacing w:after="0"/>
            </w:pPr>
            <w:r>
              <w:rPr>
                <w:sz w:val="18"/>
              </w:rPr>
              <w:t>string</w:t>
            </w:r>
          </w:p>
        </w:tc>
        <w:tc>
          <w:tcPr>
            <w:tcW w:type="dxa" w:w="2423"/>
          </w:tcPr>
          <w:p>
            <w:pPr>
              <w:spacing w:after="0"/>
            </w:pPr>
            <w:r>
              <w:rPr>
                <w:sz w:val="18"/>
              </w:rPr>
              <w:t>FK departments; required for officials and workers</w:t>
            </w:r>
          </w:p>
        </w:tc>
        <w:tc>
          <w:tcPr>
            <w:tcW w:type="dxa" w:w="2430"/>
          </w:tcPr>
          <w:p>
            <w:pPr>
              <w:spacing w:after="0"/>
            </w:pPr>
            <w:r>
              <w:rPr>
                <w:sz w:val="18"/>
              </w:rPr>
              <w:t>Department scope (BR-20)</w:t>
            </w:r>
          </w:p>
        </w:tc>
      </w:tr>
      <w:tr>
        <w:tc>
          <w:tcPr>
            <w:tcW w:type="dxa" w:w="2788"/>
          </w:tcPr>
          <w:p>
            <w:pPr>
              <w:spacing w:after="0"/>
            </w:pPr>
            <w:r>
              <w:rPr>
                <w:sz w:val="18"/>
              </w:rPr>
              <w:t>suburb</w:t>
            </w:r>
          </w:p>
        </w:tc>
        <w:tc>
          <w:tcPr>
            <w:tcW w:type="dxa" w:w="1719"/>
          </w:tcPr>
          <w:p>
            <w:pPr>
              <w:spacing w:after="0"/>
            </w:pPr>
            <w:r>
              <w:rPr>
                <w:sz w:val="18"/>
              </w:rPr>
              <w:t>string</w:t>
            </w:r>
          </w:p>
        </w:tc>
        <w:tc>
          <w:tcPr>
            <w:tcW w:type="dxa" w:w="2423"/>
          </w:tcPr>
          <w:p>
            <w:pPr>
              <w:spacing w:after="0"/>
            </w:pPr>
            <w:r>
              <w:rPr>
                <w:sz w:val="18"/>
              </w:rPr>
              <w:t>required for residents</w:t>
            </w:r>
          </w:p>
        </w:tc>
        <w:tc>
          <w:tcPr>
            <w:tcW w:type="dxa" w:w="2430"/>
          </w:tcPr>
          <w:p>
            <w:pPr>
              <w:spacing w:after="0"/>
            </w:pPr>
            <w:r>
              <w:rPr>
                <w:sz w:val="18"/>
              </w:rPr>
              <w:t>Alert targeting (BR-14)</w:t>
            </w:r>
          </w:p>
        </w:tc>
      </w:tr>
      <w:tr>
        <w:tc>
          <w:tcPr>
            <w:tcW w:type="dxa" w:w="2788"/>
          </w:tcPr>
          <w:p>
            <w:pPr>
              <w:spacing w:after="0"/>
            </w:pPr>
            <w:r>
              <w:rPr>
                <w:sz w:val="18"/>
              </w:rPr>
              <w:t>isActive</w:t>
            </w:r>
          </w:p>
        </w:tc>
        <w:tc>
          <w:tcPr>
            <w:tcW w:type="dxa" w:w="1719"/>
          </w:tcPr>
          <w:p>
            <w:pPr>
              <w:spacing w:after="0"/>
            </w:pPr>
            <w:r>
              <w:rPr>
                <w:sz w:val="18"/>
              </w:rPr>
              <w:t>boolean</w:t>
            </w:r>
          </w:p>
        </w:tc>
        <w:tc>
          <w:tcPr>
            <w:tcW w:type="dxa" w:w="2423"/>
          </w:tcPr>
          <w:p>
            <w:pPr>
              <w:spacing w:after="0"/>
            </w:pPr>
            <w:r>
              <w:rPr>
                <w:sz w:val="18"/>
              </w:rPr>
              <w:t>required</w:t>
            </w:r>
          </w:p>
        </w:tc>
        <w:tc>
          <w:tcPr>
            <w:tcW w:type="dxa" w:w="2430"/>
          </w:tcPr>
          <w:p>
            <w:pPr>
              <w:spacing w:after="0"/>
            </w:pPr>
            <w:r>
              <w:rPr>
                <w:sz w:val="18"/>
              </w:rPr>
              <w:t>Deactivation (BR-16)</w:t>
            </w:r>
          </w:p>
        </w:tc>
      </w:tr>
      <w:tr>
        <w:tc>
          <w:tcPr>
            <w:tcW w:type="dxa" w:w="2788"/>
          </w:tcPr>
          <w:p>
            <w:pPr>
              <w:spacing w:after="0"/>
            </w:pPr>
            <w:r>
              <w:rPr>
                <w:b/>
                <w:sz w:val="18"/>
              </w:rPr>
              <w:t>reports/{id}</w:t>
            </w:r>
          </w:p>
        </w:tc>
        <w:tc>
          <w:tcPr>
            <w:tcW w:type="dxa" w:w="1719"/>
          </w:tcPr>
          <w:p>
            <w:pPr>
              <w:spacing w:after="0"/>
            </w:pPr>
          </w:p>
        </w:tc>
        <w:tc>
          <w:tcPr>
            <w:tcW w:type="dxa" w:w="2423"/>
          </w:tcPr>
          <w:p>
            <w:pPr>
              <w:spacing w:after="0"/>
            </w:pPr>
            <w:r>
              <w:rPr>
                <w:sz w:val="18"/>
              </w:rPr>
              <w:t>auto id (PK)</w:t>
            </w:r>
          </w:p>
        </w:tc>
        <w:tc>
          <w:tcPr>
            <w:tcW w:type="dxa" w:w="2430"/>
          </w:tcPr>
          <w:p>
            <w:pPr>
              <w:spacing w:after="0"/>
            </w:pPr>
            <w:r>
              <w:rPr>
                <w:sz w:val="18"/>
              </w:rPr>
              <w:t>Incident report</w:t>
            </w:r>
          </w:p>
        </w:tc>
      </w:tr>
      <w:tr>
        <w:tc>
          <w:tcPr>
            <w:tcW w:type="dxa" w:w="2788"/>
          </w:tcPr>
          <w:p>
            <w:pPr>
              <w:spacing w:after="0"/>
            </w:pPr>
            <w:r>
              <w:rPr>
                <w:sz w:val="18"/>
              </w:rPr>
              <w:t>ref</w:t>
            </w:r>
          </w:p>
        </w:tc>
        <w:tc>
          <w:tcPr>
            <w:tcW w:type="dxa" w:w="1719"/>
          </w:tcPr>
          <w:p>
            <w:pPr>
              <w:spacing w:after="0"/>
            </w:pPr>
            <w:r>
              <w:rPr>
                <w:sz w:val="18"/>
              </w:rPr>
              <w:t>string</w:t>
            </w:r>
          </w:p>
        </w:tc>
        <w:tc>
          <w:tcPr>
            <w:tcW w:type="dxa" w:w="2423"/>
          </w:tcPr>
          <w:p>
            <w:pPr>
              <w:spacing w:after="0"/>
            </w:pPr>
            <w:r>
              <w:rPr>
                <w:sz w:val="18"/>
              </w:rPr>
              <w:t>required, unique</w:t>
            </w:r>
          </w:p>
        </w:tc>
        <w:tc>
          <w:tcPr>
            <w:tcW w:type="dxa" w:w="2430"/>
          </w:tcPr>
          <w:p>
            <w:pPr>
              <w:spacing w:after="0"/>
            </w:pPr>
            <w:r>
              <w:rPr>
                <w:sz w:val="18"/>
              </w:rPr>
              <w:t>CL-YYYY-NNNN (BR-04)</w:t>
            </w:r>
          </w:p>
        </w:tc>
      </w:tr>
      <w:tr>
        <w:tc>
          <w:tcPr>
            <w:tcW w:type="dxa" w:w="2788"/>
          </w:tcPr>
          <w:p>
            <w:pPr>
              <w:spacing w:after="0"/>
            </w:pPr>
            <w:r>
              <w:rPr>
                <w:sz w:val="18"/>
              </w:rPr>
              <w:t>reporterId, reporterName</w:t>
            </w:r>
          </w:p>
        </w:tc>
        <w:tc>
          <w:tcPr>
            <w:tcW w:type="dxa" w:w="1719"/>
          </w:tcPr>
          <w:p>
            <w:pPr>
              <w:spacing w:after="0"/>
            </w:pPr>
            <w:r>
              <w:rPr>
                <w:sz w:val="18"/>
              </w:rPr>
              <w:t>string</w:t>
            </w:r>
          </w:p>
        </w:tc>
        <w:tc>
          <w:tcPr>
            <w:tcW w:type="dxa" w:w="2423"/>
          </w:tcPr>
          <w:p>
            <w:pPr>
              <w:spacing w:after="0"/>
            </w:pPr>
            <w:r>
              <w:rPr>
                <w:sz w:val="18"/>
              </w:rPr>
              <w:t>FK users, required</w:t>
            </w:r>
          </w:p>
        </w:tc>
        <w:tc>
          <w:tcPr>
            <w:tcW w:type="dxa" w:w="2430"/>
          </w:tcPr>
          <w:p>
            <w:pPr>
              <w:spacing w:after="0"/>
            </w:pPr>
            <w:r>
              <w:rPr>
                <w:sz w:val="18"/>
              </w:rPr>
              <w:t>Reporter (staff-only visibility)</w:t>
            </w:r>
          </w:p>
        </w:tc>
      </w:tr>
      <w:tr>
        <w:tc>
          <w:tcPr>
            <w:tcW w:type="dxa" w:w="2788"/>
          </w:tcPr>
          <w:p>
            <w:pPr>
              <w:spacing w:after="0"/>
            </w:pPr>
            <w:r>
              <w:rPr>
                <w:sz w:val="18"/>
              </w:rPr>
              <w:t>categoryId, departmentId</w:t>
            </w:r>
          </w:p>
        </w:tc>
        <w:tc>
          <w:tcPr>
            <w:tcW w:type="dxa" w:w="1719"/>
          </w:tcPr>
          <w:p>
            <w:pPr>
              <w:spacing w:after="0"/>
            </w:pPr>
            <w:r>
              <w:rPr>
                <w:sz w:val="18"/>
              </w:rPr>
              <w:t>string</w:t>
            </w:r>
          </w:p>
        </w:tc>
        <w:tc>
          <w:tcPr>
            <w:tcW w:type="dxa" w:w="2423"/>
          </w:tcPr>
          <w:p>
            <w:pPr>
              <w:spacing w:after="0"/>
            </w:pPr>
            <w:r>
              <w:rPr>
                <w:sz w:val="18"/>
              </w:rPr>
              <w:t>FK, required</w:t>
            </w:r>
          </w:p>
        </w:tc>
        <w:tc>
          <w:tcPr>
            <w:tcW w:type="dxa" w:w="2430"/>
          </w:tcPr>
          <w:p>
            <w:pPr>
              <w:spacing w:after="0"/>
            </w:pPr>
            <w:r>
              <w:rPr>
                <w:sz w:val="18"/>
              </w:rPr>
              <w:t>Routing</w:t>
            </w:r>
          </w:p>
        </w:tc>
      </w:tr>
      <w:tr>
        <w:tc>
          <w:tcPr>
            <w:tcW w:type="dxa" w:w="2788"/>
          </w:tcPr>
          <w:p>
            <w:pPr>
              <w:spacing w:after="0"/>
            </w:pPr>
            <w:r>
              <w:rPr>
                <w:sz w:val="18"/>
              </w:rPr>
              <w:t>description</w:t>
            </w:r>
          </w:p>
        </w:tc>
        <w:tc>
          <w:tcPr>
            <w:tcW w:type="dxa" w:w="1719"/>
          </w:tcPr>
          <w:p>
            <w:pPr>
              <w:spacing w:after="0"/>
            </w:pPr>
            <w:r>
              <w:rPr>
                <w:sz w:val="18"/>
              </w:rPr>
              <w:t>string (10–300)</w:t>
            </w:r>
          </w:p>
        </w:tc>
        <w:tc>
          <w:tcPr>
            <w:tcW w:type="dxa" w:w="2423"/>
          </w:tcPr>
          <w:p>
            <w:pPr>
              <w:spacing w:after="0"/>
            </w:pPr>
            <w:r>
              <w:rPr>
                <w:sz w:val="18"/>
              </w:rPr>
              <w:t>required</w:t>
            </w:r>
          </w:p>
        </w:tc>
        <w:tc>
          <w:tcPr>
            <w:tcW w:type="dxa" w:w="2430"/>
          </w:tcPr>
          <w:p>
            <w:pPr>
              <w:spacing w:after="0"/>
            </w:pPr>
            <w:r>
              <w:rPr>
                <w:sz w:val="18"/>
              </w:rPr>
              <w:t>Resident description</w:t>
            </w:r>
          </w:p>
        </w:tc>
      </w:tr>
      <w:tr>
        <w:tc>
          <w:tcPr>
            <w:tcW w:type="dxa" w:w="2788"/>
          </w:tcPr>
          <w:p>
            <w:pPr>
              <w:spacing w:after="0"/>
            </w:pPr>
            <w:r>
              <w:rPr>
                <w:sz w:val="18"/>
              </w:rPr>
              <w:t>location, geohash</w:t>
            </w:r>
          </w:p>
        </w:tc>
        <w:tc>
          <w:tcPr>
            <w:tcW w:type="dxa" w:w="1719"/>
          </w:tcPr>
          <w:p>
            <w:pPr>
              <w:spacing w:after="0"/>
            </w:pPr>
            <w:r>
              <w:rPr>
                <w:sz w:val="18"/>
              </w:rPr>
              <w:t>{lat,lng}, string</w:t>
            </w:r>
          </w:p>
        </w:tc>
        <w:tc>
          <w:tcPr>
            <w:tcW w:type="dxa" w:w="2423"/>
          </w:tcPr>
          <w:p>
            <w:pPr>
              <w:spacing w:after="0"/>
            </w:pPr>
            <w:r>
              <w:rPr>
                <w:sz w:val="18"/>
              </w:rPr>
              <w:t>required</w:t>
            </w:r>
          </w:p>
        </w:tc>
        <w:tc>
          <w:tcPr>
            <w:tcW w:type="dxa" w:w="2430"/>
          </w:tcPr>
          <w:p>
            <w:pPr>
              <w:spacing w:after="0"/>
            </w:pPr>
            <w:r>
              <w:rPr>
                <w:sz w:val="18"/>
              </w:rPr>
              <w:t>Map position; geohash for the 100 m duplicate query</w:t>
            </w:r>
          </w:p>
        </w:tc>
      </w:tr>
      <w:tr>
        <w:tc>
          <w:tcPr>
            <w:tcW w:type="dxa" w:w="2788"/>
          </w:tcPr>
          <w:p>
            <w:pPr>
              <w:spacing w:after="0"/>
            </w:pPr>
            <w:r>
              <w:rPr>
                <w:sz w:val="18"/>
              </w:rPr>
              <w:t>suburb, landmark</w:t>
            </w:r>
          </w:p>
        </w:tc>
        <w:tc>
          <w:tcPr>
            <w:tcW w:type="dxa" w:w="1719"/>
          </w:tcPr>
          <w:p>
            <w:pPr>
              <w:spacing w:after="0"/>
            </w:pPr>
            <w:r>
              <w:rPr>
                <w:sz w:val="18"/>
              </w:rPr>
              <w:t>string</w:t>
            </w:r>
          </w:p>
        </w:tc>
        <w:tc>
          <w:tcPr>
            <w:tcW w:type="dxa" w:w="2423"/>
          </w:tcPr>
          <w:p>
            <w:pPr>
              <w:spacing w:after="0"/>
            </w:pPr>
            <w:r>
              <w:rPr>
                <w:sz w:val="18"/>
              </w:rPr>
              <w:t>suburb required</w:t>
            </w:r>
          </w:p>
        </w:tc>
        <w:tc>
          <w:tcPr>
            <w:tcW w:type="dxa" w:w="2430"/>
          </w:tcPr>
          <w:p>
            <w:pPr>
              <w:spacing w:after="0"/>
            </w:pPr>
            <w:r>
              <w:rPr>
                <w:sz w:val="18"/>
              </w:rPr>
              <w:t>Human-readable location</w:t>
            </w:r>
          </w:p>
        </w:tc>
      </w:tr>
      <w:tr>
        <w:tc>
          <w:tcPr>
            <w:tcW w:type="dxa" w:w="2788"/>
          </w:tcPr>
          <w:p>
            <w:pPr>
              <w:spacing w:after="0"/>
            </w:pPr>
            <w:r>
              <w:rPr>
                <w:sz w:val="18"/>
              </w:rPr>
              <w:t>severity</w:t>
            </w:r>
          </w:p>
        </w:tc>
        <w:tc>
          <w:tcPr>
            <w:tcW w:type="dxa" w:w="1719"/>
          </w:tcPr>
          <w:p>
            <w:pPr>
              <w:spacing w:after="0"/>
            </w:pPr>
            <w:r>
              <w:rPr>
                <w:sz w:val="18"/>
              </w:rPr>
              <w:t>enum HIGH, MEDIUM, LOW</w:t>
            </w:r>
          </w:p>
        </w:tc>
        <w:tc>
          <w:tcPr>
            <w:tcW w:type="dxa" w:w="2423"/>
          </w:tcPr>
          <w:p>
            <w:pPr>
              <w:spacing w:after="0"/>
            </w:pPr>
            <w:r>
              <w:rPr>
                <w:sz w:val="18"/>
              </w:rPr>
              <w:t>required</w:t>
            </w:r>
          </w:p>
        </w:tc>
        <w:tc>
          <w:tcPr>
            <w:tcW w:type="dxa" w:w="2430"/>
          </w:tcPr>
          <w:p>
            <w:pPr>
              <w:spacing w:after="0"/>
            </w:pPr>
            <w:r>
              <w:rPr>
                <w:sz w:val="18"/>
              </w:rPr>
              <w:t>Priority of the resulting task</w:t>
            </w:r>
          </w:p>
        </w:tc>
      </w:tr>
      <w:tr>
        <w:tc>
          <w:tcPr>
            <w:tcW w:type="dxa" w:w="2788"/>
          </w:tcPr>
          <w:p>
            <w:pPr>
              <w:spacing w:after="0"/>
            </w:pPr>
            <w:r>
              <w:rPr>
                <w:sz w:val="18"/>
              </w:rPr>
              <w:t>photoIds</w:t>
            </w:r>
          </w:p>
        </w:tc>
        <w:tc>
          <w:tcPr>
            <w:tcW w:type="dxa" w:w="1719"/>
          </w:tcPr>
          <w:p>
            <w:pPr>
              <w:spacing w:after="0"/>
            </w:pPr>
            <w:r>
              <w:rPr>
                <w:sz w:val="18"/>
              </w:rPr>
              <w:t>string[0..3]</w:t>
            </w:r>
          </w:p>
        </w:tc>
        <w:tc>
          <w:tcPr>
            <w:tcW w:type="dxa" w:w="2423"/>
          </w:tcPr>
          <w:p>
            <w:pPr>
              <w:spacing w:after="0"/>
            </w:pPr>
            <w:r>
              <w:rPr>
                <w:sz w:val="18"/>
              </w:rPr>
              <w:t>required (may be empty)</w:t>
            </w:r>
          </w:p>
        </w:tc>
        <w:tc>
          <w:tcPr>
            <w:tcW w:type="dxa" w:w="2430"/>
          </w:tcPr>
          <w:p>
            <w:pPr>
              <w:spacing w:after="0"/>
            </w:pPr>
            <w:r>
              <w:rPr>
                <w:sz w:val="18"/>
              </w:rPr>
              <w:t>Ids of evidence photos (</w:t>
            </w:r>
            <w:r>
              <w:rPr>
                <w:rFonts w:ascii="Consolas" w:hAnsi="Consolas"/>
                <w:sz w:val="18"/>
              </w:rPr>
              <w:t>photos</w:t>
            </w:r>
            <w:r>
              <w:rPr>
                <w:sz w:val="18"/>
              </w:rPr>
              <w:t>)</w:t>
            </w:r>
          </w:p>
        </w:tc>
      </w:tr>
      <w:tr>
        <w:tc>
          <w:tcPr>
            <w:tcW w:type="dxa" w:w="2788"/>
          </w:tcPr>
          <w:p>
            <w:pPr>
              <w:spacing w:after="0"/>
            </w:pPr>
            <w:r>
              <w:rPr>
                <w:sz w:val="18"/>
              </w:rPr>
              <w:t>status</w:t>
            </w:r>
          </w:p>
        </w:tc>
        <w:tc>
          <w:tcPr>
            <w:tcW w:type="dxa" w:w="1719"/>
          </w:tcPr>
          <w:p>
            <w:pPr>
              <w:spacing w:after="0"/>
            </w:pPr>
            <w:r>
              <w:rPr>
                <w:sz w:val="18"/>
              </w:rPr>
              <w:t>enum (8 states)</w:t>
            </w:r>
          </w:p>
        </w:tc>
        <w:tc>
          <w:tcPr>
            <w:tcW w:type="dxa" w:w="2423"/>
          </w:tcPr>
          <w:p>
            <w:pPr>
              <w:spacing w:after="0"/>
            </w:pPr>
            <w:r>
              <w:rPr>
                <w:sz w:val="18"/>
              </w:rPr>
              <w:t>required</w:t>
            </w:r>
          </w:p>
        </w:tc>
        <w:tc>
          <w:tcPr>
            <w:tcW w:type="dxa" w:w="2430"/>
          </w:tcPr>
          <w:p>
            <w:pPr>
              <w:spacing w:after="0"/>
            </w:pPr>
            <w:r>
              <w:rPr>
                <w:sz w:val="18"/>
              </w:rPr>
              <w:t>Lifecycle (Figure 7)</w:t>
            </w:r>
          </w:p>
        </w:tc>
      </w:tr>
      <w:tr>
        <w:tc>
          <w:tcPr>
            <w:tcW w:type="dxa" w:w="2788"/>
          </w:tcPr>
          <w:p>
            <w:pPr>
              <w:spacing w:after="0"/>
            </w:pPr>
            <w:r>
              <w:rPr>
                <w:sz w:val="18"/>
              </w:rPr>
              <w:t>assignedWorkerId, activeTaskId</w:t>
            </w:r>
          </w:p>
        </w:tc>
        <w:tc>
          <w:tcPr>
            <w:tcW w:type="dxa" w:w="1719"/>
          </w:tcPr>
          <w:p>
            <w:pPr>
              <w:spacing w:after="0"/>
            </w:pPr>
            <w:r>
              <w:rPr>
                <w:sz w:val="18"/>
              </w:rPr>
              <w:t>string</w:t>
            </w:r>
          </w:p>
        </w:tc>
        <w:tc>
          <w:tcPr>
            <w:tcW w:type="dxa" w:w="2423"/>
          </w:tcPr>
          <w:p>
            <w:pPr>
              <w:spacing w:after="0"/>
            </w:pPr>
            <w:r>
              <w:rPr>
                <w:sz w:val="18"/>
              </w:rPr>
              <w:t>FK, optional</w:t>
            </w:r>
          </w:p>
        </w:tc>
        <w:tc>
          <w:tcPr>
            <w:tcW w:type="dxa" w:w="2430"/>
          </w:tcPr>
          <w:p>
            <w:pPr>
              <w:spacing w:after="0"/>
            </w:pPr>
            <w:r>
              <w:rPr>
                <w:sz w:val="18"/>
              </w:rPr>
              <w:t>Current assignment (BR-06)</w:t>
            </w:r>
          </w:p>
        </w:tc>
      </w:tr>
      <w:tr>
        <w:tc>
          <w:tcPr>
            <w:tcW w:type="dxa" w:w="2788"/>
          </w:tcPr>
          <w:p>
            <w:pPr>
              <w:spacing w:after="0"/>
            </w:pPr>
            <w:r>
              <w:rPr>
                <w:sz w:val="18"/>
              </w:rPr>
              <w:t>parentReportId, followerIds, affectedCount</w:t>
            </w:r>
          </w:p>
        </w:tc>
        <w:tc>
          <w:tcPr>
            <w:tcW w:type="dxa" w:w="1719"/>
          </w:tcPr>
          <w:p>
            <w:pPr>
              <w:spacing w:after="0"/>
            </w:pPr>
            <w:r>
              <w:rPr>
                <w:sz w:val="18"/>
              </w:rPr>
              <w:t>string, string[], int</w:t>
            </w:r>
          </w:p>
        </w:tc>
        <w:tc>
          <w:tcPr>
            <w:tcW w:type="dxa" w:w="2423"/>
          </w:tcPr>
          <w:p>
            <w:pPr>
              <w:spacing w:after="0"/>
            </w:pPr>
            <w:r>
              <w:rPr>
                <w:sz w:val="18"/>
              </w:rPr>
              <w:t>optional / required</w:t>
            </w:r>
          </w:p>
        </w:tc>
        <w:tc>
          <w:tcPr>
            <w:tcW w:type="dxa" w:w="2430"/>
          </w:tcPr>
          <w:p>
            <w:pPr>
              <w:spacing w:after="0"/>
            </w:pPr>
            <w:r>
              <w:rPr>
                <w:sz w:val="18"/>
              </w:rPr>
              <w:t>Duplicate linkage (BR-03)</w:t>
            </w:r>
          </w:p>
        </w:tc>
      </w:tr>
      <w:tr>
        <w:tc>
          <w:tcPr>
            <w:tcW w:type="dxa" w:w="2788"/>
          </w:tcPr>
          <w:p>
            <w:pPr>
              <w:spacing w:after="0"/>
            </w:pPr>
            <w:r>
              <w:rPr>
                <w:sz w:val="18"/>
              </w:rPr>
              <w:t>resolutionNotes, resolutionPhotoPaths</w:t>
            </w:r>
          </w:p>
        </w:tc>
        <w:tc>
          <w:tcPr>
            <w:tcW w:type="dxa" w:w="1719"/>
          </w:tcPr>
          <w:p>
            <w:pPr>
              <w:spacing w:after="0"/>
            </w:pPr>
            <w:r>
              <w:rPr>
                <w:sz w:val="18"/>
              </w:rPr>
              <w:t>string, string[]</w:t>
            </w:r>
          </w:p>
        </w:tc>
        <w:tc>
          <w:tcPr>
            <w:tcW w:type="dxa" w:w="2423"/>
          </w:tcPr>
          <w:p>
            <w:pPr>
              <w:spacing w:after="0"/>
            </w:pPr>
            <w:r>
              <w:rPr>
                <w:sz w:val="18"/>
              </w:rPr>
              <w:t>optional</w:t>
            </w:r>
          </w:p>
        </w:tc>
        <w:tc>
          <w:tcPr>
            <w:tcW w:type="dxa" w:w="2430"/>
          </w:tcPr>
          <w:p>
            <w:pPr>
              <w:spacing w:after="0"/>
            </w:pPr>
            <w:r>
              <w:rPr>
                <w:sz w:val="18"/>
              </w:rPr>
              <w:t>Copied from the completed task</w:t>
            </w:r>
          </w:p>
        </w:tc>
      </w:tr>
      <w:tr>
        <w:tc>
          <w:tcPr>
            <w:tcW w:type="dxa" w:w="2788"/>
          </w:tcPr>
          <w:p>
            <w:pPr>
              <w:spacing w:after="0"/>
            </w:pPr>
            <w:r>
              <w:rPr>
                <w:sz w:val="18"/>
              </w:rPr>
              <w:t>createdAt, updatedAt, resolvedAt, escalatedAt, closedAt</w:t>
            </w:r>
          </w:p>
        </w:tc>
        <w:tc>
          <w:tcPr>
            <w:tcW w:type="dxa" w:w="1719"/>
          </w:tcPr>
          <w:p>
            <w:pPr>
              <w:spacing w:after="0"/>
            </w:pPr>
            <w:r>
              <w:rPr>
                <w:sz w:val="18"/>
              </w:rPr>
              <w:t>timestamp</w:t>
            </w:r>
          </w:p>
        </w:tc>
        <w:tc>
          <w:tcPr>
            <w:tcW w:type="dxa" w:w="2423"/>
          </w:tcPr>
          <w:p>
            <w:pPr>
              <w:spacing w:after="0"/>
            </w:pPr>
            <w:r>
              <w:rPr>
                <w:sz w:val="18"/>
              </w:rPr>
              <w:t>createdAt/updatedAt required</w:t>
            </w:r>
          </w:p>
        </w:tc>
        <w:tc>
          <w:tcPr>
            <w:tcW w:type="dxa" w:w="2430"/>
          </w:tcPr>
          <w:p>
            <w:pPr>
              <w:spacing w:after="0"/>
            </w:pPr>
            <w:r>
              <w:rPr>
                <w:sz w:val="18"/>
              </w:rPr>
              <w:t>Lifecycle times, SLA and analytics</w:t>
            </w:r>
          </w:p>
        </w:tc>
      </w:tr>
      <w:tr>
        <w:tc>
          <w:tcPr>
            <w:tcW w:type="dxa" w:w="2788"/>
          </w:tcPr>
          <w:p>
            <w:pPr>
              <w:spacing w:after="0"/>
            </w:pPr>
            <w:r>
              <w:rPr>
                <w:b/>
                <w:sz w:val="18"/>
              </w:rPr>
              <w:t>reports/{id}/history/{id}</w:t>
            </w:r>
          </w:p>
        </w:tc>
        <w:tc>
          <w:tcPr>
            <w:tcW w:type="dxa" w:w="1719"/>
          </w:tcPr>
          <w:p>
            <w:pPr>
              <w:spacing w:after="0"/>
            </w:pPr>
          </w:p>
        </w:tc>
        <w:tc>
          <w:tcPr>
            <w:tcW w:type="dxa" w:w="2423"/>
          </w:tcPr>
          <w:p>
            <w:pPr>
              <w:spacing w:after="0"/>
            </w:pPr>
            <w:r>
              <w:rPr>
                <w:sz w:val="18"/>
              </w:rPr>
              <w:t>auto id</w:t>
            </w:r>
          </w:p>
        </w:tc>
        <w:tc>
          <w:tcPr>
            <w:tcW w:type="dxa" w:w="2430"/>
          </w:tcPr>
          <w:p>
            <w:pPr>
              <w:spacing w:after="0"/>
            </w:pPr>
            <w:r>
              <w:rPr>
                <w:sz w:val="18"/>
              </w:rPr>
              <w:t>Append-only audit trail: from, to, event, actorId, actorRole, actorName, note, at</w:t>
            </w:r>
          </w:p>
        </w:tc>
      </w:tr>
      <w:tr>
        <w:tc>
          <w:tcPr>
            <w:tcW w:type="dxa" w:w="2788"/>
          </w:tcPr>
          <w:p>
            <w:pPr>
              <w:spacing w:after="0"/>
            </w:pPr>
            <w:r>
              <w:rPr>
                <w:b/>
                <w:sz w:val="18"/>
              </w:rPr>
              <w:t>reports/{id}/comments/{id}</w:t>
            </w:r>
          </w:p>
        </w:tc>
        <w:tc>
          <w:tcPr>
            <w:tcW w:type="dxa" w:w="1719"/>
          </w:tcPr>
          <w:p>
            <w:pPr>
              <w:spacing w:after="0"/>
            </w:pPr>
          </w:p>
        </w:tc>
        <w:tc>
          <w:tcPr>
            <w:tcW w:type="dxa" w:w="2423"/>
          </w:tcPr>
          <w:p>
            <w:pPr>
              <w:spacing w:after="0"/>
            </w:pPr>
            <w:r>
              <w:rPr>
                <w:sz w:val="18"/>
              </w:rPr>
              <w:t>auto id</w:t>
            </w:r>
          </w:p>
        </w:tc>
        <w:tc>
          <w:tcPr>
            <w:tcW w:type="dxa" w:w="2430"/>
          </w:tcPr>
          <w:p>
            <w:pPr>
              <w:spacing w:after="0"/>
            </w:pPr>
            <w:r>
              <w:rPr>
                <w:sz w:val="18"/>
              </w:rPr>
              <w:t>Internal notes: authorId, authorRole, text, createdAt</w:t>
            </w:r>
          </w:p>
        </w:tc>
      </w:tr>
      <w:tr>
        <w:tc>
          <w:tcPr>
            <w:tcW w:type="dxa" w:w="2788"/>
          </w:tcPr>
          <w:p>
            <w:pPr>
              <w:spacing w:after="0"/>
            </w:pPr>
            <w:r>
              <w:rPr>
                <w:b/>
                <w:sz w:val="18"/>
              </w:rPr>
              <w:t>publicReports/{id}</w:t>
            </w:r>
          </w:p>
        </w:tc>
        <w:tc>
          <w:tcPr>
            <w:tcW w:type="dxa" w:w="1719"/>
          </w:tcPr>
          <w:p>
            <w:pPr>
              <w:spacing w:after="0"/>
            </w:pPr>
          </w:p>
        </w:tc>
        <w:tc>
          <w:tcPr>
            <w:tcW w:type="dxa" w:w="2423"/>
          </w:tcPr>
          <w:p>
            <w:pPr>
              <w:spacing w:after="0"/>
            </w:pPr>
            <w:r>
              <w:rPr>
                <w:sz w:val="18"/>
              </w:rPr>
              <w:t>id = report id</w:t>
            </w:r>
          </w:p>
        </w:tc>
        <w:tc>
          <w:tcPr>
            <w:tcW w:type="dxa" w:w="2430"/>
          </w:tcPr>
          <w:p>
            <w:pPr>
              <w:spacing w:after="0"/>
            </w:pPr>
            <w:r>
              <w:rPr>
                <w:sz w:val="18"/>
              </w:rPr>
              <w:t>Privacy-safe projection: ref, category, status, location rounded to about 100 m, suburb, isOpen</w:t>
            </w:r>
          </w:p>
        </w:tc>
      </w:tr>
      <w:tr>
        <w:tc>
          <w:tcPr>
            <w:tcW w:type="dxa" w:w="2788"/>
          </w:tcPr>
          <w:p>
            <w:pPr>
              <w:spacing w:after="0"/>
            </w:pPr>
            <w:r>
              <w:rPr>
                <w:b/>
                <w:sz w:val="18"/>
              </w:rPr>
              <w:t>tasks/{id}</w:t>
            </w:r>
          </w:p>
        </w:tc>
        <w:tc>
          <w:tcPr>
            <w:tcW w:type="dxa" w:w="1719"/>
          </w:tcPr>
          <w:p>
            <w:pPr>
              <w:spacing w:after="0"/>
            </w:pPr>
          </w:p>
        </w:tc>
        <w:tc>
          <w:tcPr>
            <w:tcW w:type="dxa" w:w="2423"/>
          </w:tcPr>
          <w:p>
            <w:pPr>
              <w:spacing w:after="0"/>
            </w:pPr>
            <w:r>
              <w:rPr>
                <w:sz w:val="18"/>
              </w:rPr>
              <w:t>auto id</w:t>
            </w:r>
          </w:p>
        </w:tc>
        <w:tc>
          <w:tcPr>
            <w:tcW w:type="dxa" w:w="2430"/>
          </w:tcPr>
          <w:p>
            <w:pPr>
              <w:spacing w:after="0"/>
            </w:pPr>
            <w:r>
              <w:rPr>
                <w:sz w:val="18"/>
              </w:rPr>
              <w:t>Assignment: reportId (FK), workerId (FK), assignedBy, departmentId, priority, status, notes, completionNotes, proofPaths, timestamps</w:t>
            </w:r>
          </w:p>
        </w:tc>
      </w:tr>
      <w:tr>
        <w:tc>
          <w:tcPr>
            <w:tcW w:type="dxa" w:w="2788"/>
          </w:tcPr>
          <w:p>
            <w:pPr>
              <w:spacing w:after="0"/>
            </w:pPr>
            <w:r>
              <w:rPr>
                <w:b/>
                <w:sz w:val="18"/>
              </w:rPr>
              <w:t>alerts/{id}</w:t>
            </w:r>
          </w:p>
        </w:tc>
        <w:tc>
          <w:tcPr>
            <w:tcW w:type="dxa" w:w="1719"/>
          </w:tcPr>
          <w:p>
            <w:pPr>
              <w:spacing w:after="0"/>
            </w:pPr>
          </w:p>
        </w:tc>
        <w:tc>
          <w:tcPr>
            <w:tcW w:type="dxa" w:w="2423"/>
          </w:tcPr>
          <w:p>
            <w:pPr>
              <w:spacing w:after="0"/>
            </w:pPr>
            <w:r>
              <w:rPr>
                <w:sz w:val="18"/>
              </w:rPr>
              <w:t>auto id</w:t>
            </w:r>
          </w:p>
        </w:tc>
        <w:tc>
          <w:tcPr>
            <w:tcW w:type="dxa" w:w="2430"/>
          </w:tcPr>
          <w:p>
            <w:pPr>
              <w:spacing w:after="0"/>
            </w:pPr>
            <w:r>
              <w:rPr>
                <w:sz w:val="18"/>
              </w:rPr>
              <w:t>type, title (≤ 100), message (≤ 500), targetSuburbs[], createdBy (FK), isActive, recipientCount, readCount, createdAt, expiresAt</w:t>
            </w:r>
          </w:p>
        </w:tc>
      </w:tr>
      <w:tr>
        <w:tc>
          <w:tcPr>
            <w:tcW w:type="dxa" w:w="2788"/>
          </w:tcPr>
          <w:p>
            <w:pPr>
              <w:spacing w:after="0"/>
            </w:pPr>
            <w:r>
              <w:rPr>
                <w:b/>
                <w:sz w:val="18"/>
              </w:rPr>
              <w:t>alerts/{id}/recipients/{uid}</w:t>
            </w:r>
          </w:p>
        </w:tc>
        <w:tc>
          <w:tcPr>
            <w:tcW w:type="dxa" w:w="1719"/>
          </w:tcPr>
          <w:p>
            <w:pPr>
              <w:spacing w:after="0"/>
            </w:pPr>
          </w:p>
        </w:tc>
        <w:tc>
          <w:tcPr>
            <w:tcW w:type="dxa" w:w="2423"/>
          </w:tcPr>
          <w:p>
            <w:pPr>
              <w:spacing w:after="0"/>
            </w:pPr>
            <w:r>
              <w:rPr>
                <w:sz w:val="18"/>
              </w:rPr>
              <w:t>uid (PK, FK users)</w:t>
            </w:r>
          </w:p>
        </w:tc>
        <w:tc>
          <w:tcPr>
            <w:tcW w:type="dxa" w:w="2430"/>
          </w:tcPr>
          <w:p>
            <w:pPr>
              <w:spacing w:after="0"/>
            </w:pPr>
            <w:r>
              <w:rPr>
                <w:sz w:val="18"/>
              </w:rPr>
              <w:t>Delivery record: channel, deliveredAt, readAt</w:t>
            </w:r>
          </w:p>
        </w:tc>
      </w:tr>
      <w:tr>
        <w:tc>
          <w:tcPr>
            <w:tcW w:type="dxa" w:w="2788"/>
          </w:tcPr>
          <w:p>
            <w:pPr>
              <w:spacing w:after="0"/>
            </w:pPr>
            <w:r>
              <w:rPr>
                <w:b/>
                <w:sz w:val="18"/>
              </w:rPr>
              <w:t>users/{uid}/notifications/{id}</w:t>
            </w:r>
          </w:p>
        </w:tc>
        <w:tc>
          <w:tcPr>
            <w:tcW w:type="dxa" w:w="1719"/>
          </w:tcPr>
          <w:p>
            <w:pPr>
              <w:spacing w:after="0"/>
            </w:pPr>
          </w:p>
        </w:tc>
        <w:tc>
          <w:tcPr>
            <w:tcW w:type="dxa" w:w="2423"/>
          </w:tcPr>
          <w:p>
            <w:pPr>
              <w:spacing w:after="0"/>
            </w:pPr>
            <w:r>
              <w:rPr>
                <w:sz w:val="18"/>
              </w:rPr>
              <w:t>auto id</w:t>
            </w:r>
          </w:p>
        </w:tc>
        <w:tc>
          <w:tcPr>
            <w:tcW w:type="dxa" w:w="2430"/>
          </w:tcPr>
          <w:p>
            <w:pPr>
              <w:spacing w:after="0"/>
            </w:pPr>
            <w:r>
              <w:rPr>
                <w:sz w:val="18"/>
              </w:rPr>
              <w:t>type, title, body, link, readAt, createdAt</w:t>
            </w:r>
          </w:p>
        </w:tc>
      </w:tr>
      <w:tr>
        <w:tc>
          <w:tcPr>
            <w:tcW w:type="dxa" w:w="2788"/>
          </w:tcPr>
          <w:p>
            <w:pPr>
              <w:spacing w:after="0"/>
            </w:pPr>
            <w:r>
              <w:rPr>
                <w:b/>
                <w:sz w:val="18"/>
              </w:rPr>
              <w:t>departments/{id}</w:t>
            </w:r>
            <w:r>
              <w:rPr>
                <w:sz w:val="18"/>
              </w:rPr>
              <w:t xml:space="preserve">, </w:t>
            </w:r>
            <w:r>
              <w:rPr>
                <w:b/>
                <w:sz w:val="18"/>
              </w:rPr>
              <w:t>categories/{id}</w:t>
            </w:r>
          </w:p>
        </w:tc>
        <w:tc>
          <w:tcPr>
            <w:tcW w:type="dxa" w:w="1719"/>
          </w:tcPr>
          <w:p>
            <w:pPr>
              <w:spacing w:after="0"/>
            </w:pPr>
          </w:p>
        </w:tc>
        <w:tc>
          <w:tcPr>
            <w:tcW w:type="dxa" w:w="2423"/>
          </w:tcPr>
          <w:p>
            <w:pPr>
              <w:spacing w:after="0"/>
            </w:pPr>
            <w:r>
              <w:rPr>
                <w:sz w:val="18"/>
              </w:rPr>
              <w:t>slug id</w:t>
            </w:r>
          </w:p>
        </w:tc>
        <w:tc>
          <w:tcPr>
            <w:tcW w:type="dxa" w:w="2430"/>
          </w:tcPr>
          <w:p>
            <w:pPr>
              <w:spacing w:after="0"/>
            </w:pPr>
            <w:r>
              <w:rPr>
                <w:sz w:val="18"/>
              </w:rPr>
              <w:t>name (unique), slaHours (1–720) / icon and departmentId (FK), isActive</w:t>
            </w:r>
          </w:p>
        </w:tc>
      </w:tr>
      <w:tr>
        <w:tc>
          <w:tcPr>
            <w:tcW w:type="dxa" w:w="2788"/>
          </w:tcPr>
          <w:p>
            <w:pPr>
              <w:spacing w:after="0"/>
            </w:pPr>
            <w:r>
              <w:rPr>
                <w:b/>
                <w:sz w:val="18"/>
              </w:rPr>
              <w:t>photos/{id}</w:t>
            </w:r>
          </w:p>
        </w:tc>
        <w:tc>
          <w:tcPr>
            <w:tcW w:type="dxa" w:w="1719"/>
          </w:tcPr>
          <w:p>
            <w:pPr>
              <w:spacing w:after="0"/>
            </w:pPr>
          </w:p>
        </w:tc>
        <w:tc>
          <w:tcPr>
            <w:tcW w:type="dxa" w:w="2423"/>
          </w:tcPr>
          <w:p>
            <w:pPr>
              <w:spacing w:after="0"/>
            </w:pPr>
            <w:r>
              <w:rPr>
                <w:sz w:val="18"/>
              </w:rPr>
              <w:t>auto id</w:t>
            </w:r>
          </w:p>
        </w:tc>
        <w:tc>
          <w:tcPr>
            <w:tcW w:type="dxa" w:w="2430"/>
          </w:tcPr>
          <w:p>
            <w:pPr>
              <w:spacing w:after="0"/>
            </w:pPr>
            <w:r>
              <w:rPr>
                <w:sz w:val="18"/>
              </w:rPr>
              <w:t>reportId (FK), ownerId (FK users), kind EVIDENCE/PROOF, contentType, size, data (bytes ≤ 700 KB), createdAt; readable by whoever can read the report</w:t>
            </w:r>
          </w:p>
        </w:tc>
      </w:tr>
      <w:tr>
        <w:tc>
          <w:tcPr>
            <w:tcW w:type="dxa" w:w="2788"/>
          </w:tcPr>
          <w:p>
            <w:pPr>
              <w:spacing w:after="0"/>
            </w:pPr>
            <w:r>
              <w:rPr>
                <w:b/>
                <w:sz w:val="18"/>
              </w:rPr>
              <w:t>counters/reports-{year}</w:t>
            </w:r>
          </w:p>
        </w:tc>
        <w:tc>
          <w:tcPr>
            <w:tcW w:type="dxa" w:w="1719"/>
          </w:tcPr>
          <w:p>
            <w:pPr>
              <w:spacing w:after="0"/>
            </w:pPr>
          </w:p>
        </w:tc>
        <w:tc>
          <w:tcPr>
            <w:tcW w:type="dxa" w:w="2423"/>
          </w:tcPr>
          <w:p>
            <w:pPr>
              <w:spacing w:after="0"/>
            </w:pPr>
            <w:r>
              <w:rPr>
                <w:sz w:val="18"/>
              </w:rPr>
              <w:t>year</w:t>
            </w:r>
          </w:p>
        </w:tc>
        <w:tc>
          <w:tcPr>
            <w:tcW w:type="dxa" w:w="2430"/>
          </w:tcPr>
          <w:p>
            <w:pPr>
              <w:spacing w:after="0"/>
            </w:pPr>
            <w:r>
              <w:rPr>
                <w:sz w:val="18"/>
              </w:rPr>
              <w:t>next reference sequence</w:t>
            </w:r>
          </w:p>
        </w:tc>
      </w:tr>
      <w:tr>
        <w:tc>
          <w:tcPr>
            <w:tcW w:type="dxa" w:w="2788"/>
          </w:tcPr>
          <w:p>
            <w:pPr>
              <w:spacing w:after="0"/>
            </w:pPr>
            <w:r>
              <w:rPr>
                <w:b/>
                <w:sz w:val="18"/>
              </w:rPr>
              <w:t>settings/app</w:t>
            </w:r>
          </w:p>
        </w:tc>
        <w:tc>
          <w:tcPr>
            <w:tcW w:type="dxa" w:w="1719"/>
          </w:tcPr>
          <w:p>
            <w:pPr>
              <w:spacing w:after="0"/>
            </w:pPr>
          </w:p>
        </w:tc>
        <w:tc>
          <w:tcPr>
            <w:tcW w:type="dxa" w:w="2423"/>
          </w:tcPr>
          <w:p>
            <w:pPr>
              <w:spacing w:after="0"/>
            </w:pPr>
            <w:r>
              <w:rPr>
                <w:sz w:val="18"/>
              </w:rPr>
              <w:t>fixed id</w:t>
            </w:r>
          </w:p>
        </w:tc>
        <w:tc>
          <w:tcPr>
            <w:tcW w:type="dxa" w:w="2430"/>
          </w:tcPr>
          <w:p>
            <w:pPr>
              <w:spacing w:after="0"/>
            </w:pPr>
            <w:r>
              <w:rPr>
                <w:sz w:val="18"/>
              </w:rPr>
              <w:t>reportsPerHour (BR-21)</w:t>
            </w:r>
          </w:p>
        </w:tc>
      </w:tr>
      <w:tr>
        <w:tc>
          <w:tcPr>
            <w:tcW w:type="dxa" w:w="2788"/>
          </w:tcPr>
          <w:p>
            <w:pPr>
              <w:spacing w:after="0"/>
            </w:pPr>
            <w:r>
              <w:rPr>
                <w:b/>
                <w:sz w:val="18"/>
              </w:rPr>
              <w:t>systemLogs/{id}</w:t>
            </w:r>
          </w:p>
        </w:tc>
        <w:tc>
          <w:tcPr>
            <w:tcW w:type="dxa" w:w="1719"/>
          </w:tcPr>
          <w:p>
            <w:pPr>
              <w:spacing w:after="0"/>
            </w:pPr>
          </w:p>
        </w:tc>
        <w:tc>
          <w:tcPr>
            <w:tcW w:type="dxa" w:w="2423"/>
          </w:tcPr>
          <w:p>
            <w:pPr>
              <w:spacing w:after="0"/>
            </w:pPr>
            <w:r>
              <w:rPr>
                <w:sz w:val="18"/>
              </w:rPr>
              <w:t>auto id</w:t>
            </w:r>
          </w:p>
        </w:tc>
        <w:tc>
          <w:tcPr>
            <w:tcW w:type="dxa" w:w="2430"/>
          </w:tcPr>
          <w:p>
            <w:pPr>
              <w:spacing w:after="0"/>
            </w:pPr>
            <w:r>
              <w:rPr>
                <w:sz w:val="18"/>
              </w:rPr>
              <w:t>level, source, message, actorId, createdAt</w:t>
            </w:r>
          </w:p>
        </w:tc>
      </w:tr>
    </w:tbl>
    <w:p/>
    <w:p>
      <w:r>
        <w:rPr>
          <w:b/>
        </w:rPr>
        <w:t>Integrity mechanisms.</w:t>
      </w:r>
      <w:r>
        <w:t xml:space="preserve"> Firestore enforces no schema, so integrity is enforced in five ways:</w:t>
      </w:r>
    </w:p>
    <w:p>
      <w:pPr>
        <w:pStyle w:val="ListNumber"/>
      </w:pPr>
      <w:r>
        <w:rPr>
          <w:b/>
        </w:rPr>
        <w:t>Server-only writes.</w:t>
      </w:r>
      <w:r>
        <w:t xml:space="preserve"> Clients cannot write reports, tasks, history, alerts or configuration at all; they may only stamp their own last-login time and mark their own notifications read.</w:t>
      </w:r>
    </w:p>
    <w:p>
      <w:pPr>
        <w:pStyle w:val="ListNumber"/>
      </w:pPr>
      <w:r>
        <w:rPr>
          <w:b/>
        </w:rPr>
        <w:t>Shared schema validation.</w:t>
      </w:r>
      <w:r>
        <w:t xml:space="preserve"> Every command validates its input with the same Zod schemas the forms use.</w:t>
      </w:r>
    </w:p>
    <w:p>
      <w:pPr>
        <w:pStyle w:val="ListNumber"/>
      </w:pPr>
      <w:r>
        <w:rPr>
          <w:b/>
        </w:rPr>
        <w:t>Transactions.</w:t>
      </w:r>
      <w:r>
        <w:t xml:space="preserve"> TX-1 (submission: reference counter, duplicate search, report, history, projection, notifications), TX-2 (assignment: one-active-task check, eligible worker, task, report, history) and TX-3 (completion: task and report resolved together) each commit atomically. Firestore retries a transaction on contention, so of two concurrent assignments only one can succeed (test IT-ASG-07).</w:t>
      </w:r>
    </w:p>
    <w:p>
      <w:pPr>
        <w:pStyle w:val="ListNumber"/>
      </w:pPr>
      <w:r>
        <w:rPr>
          <w:b/>
        </w:rPr>
        <w:t>Append-only history.</w:t>
      </w:r>
      <w:r>
        <w:t xml:space="preserve"> History entries are never updated or deleted.</w:t>
      </w:r>
    </w:p>
    <w:p>
      <w:pPr>
        <w:pStyle w:val="ListNumber"/>
      </w:pPr>
      <w:r>
        <w:rPr>
          <w:b/>
        </w:rPr>
        <w:t>Stable references.</w:t>
      </w:r>
      <w:r>
        <w:t xml:space="preserve"> Departments and categories are deactivated rather than deleted (BR-19), so existing references stay valid.</w:t>
      </w:r>
    </w:p>
    <w:p>
      <w:r>
        <w:rPr>
          <w:b/>
        </w:rPr>
        <w:t>Data-organisation decisions:</w:t>
      </w:r>
    </w:p>
    <w:p>
      <w:pPr>
        <w:pStyle w:val="BulletCompact"/>
        <w:numPr>
          <w:ilvl w:val="0"/>
          <w:numId w:val="8"/>
        </w:numPr>
      </w:pPr>
      <w:r>
        <w:t xml:space="preserve">History, comments, recipients and notifications are </w:t>
      </w:r>
      <w:r>
        <w:rPr>
          <w:b/>
        </w:rPr>
        <w:t>subcollections</w:t>
      </w:r>
      <w:r>
        <w:t>, so their access rules follow the parent document.</w:t>
      </w:r>
    </w:p>
    <w:p>
      <w:pPr>
        <w:pStyle w:val="BulletCompact"/>
        <w:numPr>
          <w:ilvl w:val="0"/>
          <w:numId w:val="8"/>
        </w:numPr>
      </w:pPr>
      <w:r>
        <w:rPr>
          <w:b/>
        </w:rPr>
        <w:t>Duplicated fields</w:t>
      </w:r>
      <w:r>
        <w:t xml:space="preserve"> (names, category names) avoid extra reads in lists, accepting that a renamed user keeps their old name on past records.</w:t>
      </w:r>
    </w:p>
    <w:p>
      <w:pPr>
        <w:pStyle w:val="BulletCompact"/>
        <w:numPr>
          <w:ilvl w:val="0"/>
          <w:numId w:val="8"/>
        </w:numPr>
      </w:pPr>
      <w:r>
        <w:t xml:space="preserve">A </w:t>
      </w:r>
      <w:r>
        <w:rPr>
          <w:b/>
        </w:rPr>
        <w:t>geohash field</w:t>
      </w:r>
      <w:r>
        <w:t xml:space="preserve"> supports the 100 m proximity query, and </w:t>
      </w:r>
      <w:r>
        <w:rPr>
          <w:b/>
        </w:rPr>
        <w:t>composite indexes</w:t>
      </w:r>
      <w:r>
        <w:t xml:space="preserve"> are declared in </w:t>
      </w:r>
      <w:r>
        <w:rPr>
          <w:rFonts w:ascii="Consolas" w:hAnsi="Consolas"/>
          <w:sz w:val="18"/>
        </w:rPr>
        <w:t>firestore.indexes.json</w:t>
      </w:r>
      <w:r>
        <w:t>.</w:t>
      </w:r>
    </w:p>
    <w:p>
      <w:pPr>
        <w:pStyle w:val="Heading2"/>
        <w:numPr>
          <w:ilvl w:val="1"/>
          <w:numId w:val="9"/>
        </w:numPr>
      </w:pPr>
      <w:r>
        <w:t>Security, Privacy and Access Control</w:t>
      </w:r>
    </w:p>
    <w:p>
      <w:r>
        <w:rPr>
          <w:b/>
        </w:rPr>
        <w:t>Authentication.</w:t>
      </w:r>
      <w:r>
        <w:t xml:space="preserve"> Users sign in with email and password through Firebase Authentication. Passwords are never stored by CivicLink. On registration or role change, the server sets signed custom claims (</w:t>
      </w:r>
      <w:r>
        <w:rPr>
          <w:rFonts w:ascii="Consolas" w:hAnsi="Consolas"/>
          <w:sz w:val="18"/>
        </w:rPr>
        <w:t>role</w:t>
      </w:r>
      <w:r>
        <w:t xml:space="preserve">, </w:t>
      </w:r>
      <w:r>
        <w:rPr>
          <w:rFonts w:ascii="Consolas" w:hAnsi="Consolas"/>
          <w:sz w:val="18"/>
        </w:rPr>
        <w:t>dept</w:t>
      </w:r>
      <w:r>
        <w:t xml:space="preserve">, </w:t>
      </w:r>
      <w:r>
        <w:rPr>
          <w:rFonts w:ascii="Consolas" w:hAnsi="Consolas"/>
          <w:sz w:val="18"/>
        </w:rPr>
        <w:t>suburb</w:t>
      </w:r>
      <w:r>
        <w:t xml:space="preserve">, </w:t>
      </w:r>
      <w:r>
        <w:rPr>
          <w:rFonts w:ascii="Consolas" w:hAnsi="Consolas"/>
          <w:sz w:val="18"/>
        </w:rPr>
        <w:t>active</w:t>
      </w:r>
      <w:r>
        <w:t>), which the Security Rules use. Every command also reloads the caller's profile and refuses deactivated accounts. Deactivation additionally disables the Auth account and revokes its sessions. The client refreshes its token when an administrator changes the user's role.</w:t>
      </w:r>
    </w:p>
    <w:p>
      <w:pPr>
        <w:pStyle w:val="Caption"/>
        <w:keepNext/>
      </w:pPr>
      <w:r>
        <w:t>Table 11: Role / permission matrix (✓ allowed; scope in brackets)</w:t>
      </w:r>
    </w:p>
    <w:tbl>
      <w:tblPr>
        <w:tblStyle w:val="TableGrid"/>
        <w:tblW w:type="auto" w:w="0"/>
        <w:jc w:val="center"/>
        <w:tblLayout w:type="fixed"/>
        <w:tblLook w:firstColumn="1" w:firstRow="1" w:lastColumn="0" w:lastRow="0" w:noHBand="0" w:noVBand="1" w:val="04A0"/>
        <w:tblLayout w:type="fixed"/>
      </w:tblPr>
      <w:tblGrid>
        <w:gridCol w:w="2763"/>
        <w:gridCol w:w="1193"/>
        <w:gridCol w:w="1820"/>
        <w:gridCol w:w="1833"/>
        <w:gridCol w:w="1751"/>
      </w:tblGrid>
      <w:tr>
        <w:trPr>
          <w:tblHeader w:val="true"/>
        </w:trPr>
        <w:tc>
          <w:tcPr>
            <w:tcW w:type="dxa" w:w="2763"/>
            <w:shd w:val="clear" w:color="auto" w:fill="D5EBF4"/>
          </w:tcPr>
          <w:p>
            <w:pPr>
              <w:spacing w:after="0"/>
            </w:pPr>
            <w:r>
              <w:rPr>
                <w:b/>
                <w:sz w:val="18"/>
              </w:rPr>
              <w:t>Function</w:t>
            </w:r>
          </w:p>
        </w:tc>
        <w:tc>
          <w:tcPr>
            <w:tcW w:type="dxa" w:w="1193"/>
            <w:shd w:val="clear" w:color="auto" w:fill="D5EBF4"/>
          </w:tcPr>
          <w:p>
            <w:pPr>
              <w:spacing w:after="0"/>
            </w:pPr>
            <w:r>
              <w:rPr>
                <w:b/>
                <w:sz w:val="18"/>
              </w:rPr>
              <w:t>Resident</w:t>
            </w:r>
          </w:p>
        </w:tc>
        <w:tc>
          <w:tcPr>
            <w:tcW w:type="dxa" w:w="1820"/>
            <w:shd w:val="clear" w:color="auto" w:fill="D5EBF4"/>
          </w:tcPr>
          <w:p>
            <w:pPr>
              <w:spacing w:after="0"/>
            </w:pPr>
            <w:r>
              <w:rPr>
                <w:b/>
                <w:sz w:val="18"/>
              </w:rPr>
              <w:t>Official</w:t>
            </w:r>
          </w:p>
        </w:tc>
        <w:tc>
          <w:tcPr>
            <w:tcW w:type="dxa" w:w="1833"/>
            <w:shd w:val="clear" w:color="auto" w:fill="D5EBF4"/>
          </w:tcPr>
          <w:p>
            <w:pPr>
              <w:spacing w:after="0"/>
            </w:pPr>
            <w:r>
              <w:rPr>
                <w:b/>
                <w:sz w:val="18"/>
              </w:rPr>
              <w:t>Field Worker</w:t>
            </w:r>
          </w:p>
        </w:tc>
        <w:tc>
          <w:tcPr>
            <w:tcW w:type="dxa" w:w="1751"/>
            <w:shd w:val="clear" w:color="auto" w:fill="D5EBF4"/>
          </w:tcPr>
          <w:p>
            <w:pPr>
              <w:spacing w:after="0"/>
            </w:pPr>
            <w:r>
              <w:rPr>
                <w:b/>
                <w:sz w:val="18"/>
              </w:rPr>
              <w:t>Administrator</w:t>
            </w:r>
          </w:p>
        </w:tc>
      </w:tr>
      <w:tr>
        <w:tc>
          <w:tcPr>
            <w:tcW w:type="dxa" w:w="2763"/>
          </w:tcPr>
          <w:p>
            <w:pPr>
              <w:spacing w:after="0"/>
            </w:pPr>
            <w:r>
              <w:rPr>
                <w:sz w:val="18"/>
              </w:rPr>
              <w:t>Register, sign in (password or Google), reset password, edit own profile</w:t>
            </w:r>
          </w:p>
        </w:tc>
        <w:tc>
          <w:tcPr>
            <w:tcW w:type="dxa" w:w="1193"/>
          </w:tcPr>
          <w:p>
            <w:pPr>
              <w:spacing w:after="0"/>
            </w:pPr>
            <w:r>
              <w:rPr>
                <w:sz w:val="18"/>
              </w:rPr>
              <w:t>✓</w:t>
            </w:r>
          </w:p>
        </w:tc>
        <w:tc>
          <w:tcPr>
            <w:tcW w:type="dxa" w:w="1820"/>
          </w:tcPr>
          <w:p>
            <w:pPr>
              <w:spacing w:after="0"/>
            </w:pPr>
            <w:r>
              <w:rPr>
                <w:sz w:val="18"/>
              </w:rPr>
              <w:t>✓ (no registration)</w:t>
            </w:r>
          </w:p>
        </w:tc>
        <w:tc>
          <w:tcPr>
            <w:tcW w:type="dxa" w:w="1833"/>
          </w:tcPr>
          <w:p>
            <w:pPr>
              <w:spacing w:after="0"/>
            </w:pPr>
            <w:r>
              <w:rPr>
                <w:sz w:val="18"/>
              </w:rPr>
              <w:t>✓ (no registration)</w:t>
            </w:r>
          </w:p>
        </w:tc>
        <w:tc>
          <w:tcPr>
            <w:tcW w:type="dxa" w:w="1751"/>
          </w:tcPr>
          <w:p>
            <w:pPr>
              <w:spacing w:after="0"/>
            </w:pPr>
            <w:r>
              <w:rPr>
                <w:sz w:val="18"/>
              </w:rPr>
              <w:t>✓ (no registration)</w:t>
            </w:r>
          </w:p>
        </w:tc>
      </w:tr>
      <w:tr>
        <w:tc>
          <w:tcPr>
            <w:tcW w:type="dxa" w:w="2763"/>
          </w:tcPr>
          <w:p>
            <w:pPr>
              <w:spacing w:after="0"/>
            </w:pPr>
            <w:r>
              <w:rPr>
                <w:sz w:val="18"/>
              </w:rPr>
              <w:t>Delete own account (POPIA)</w:t>
            </w:r>
          </w:p>
        </w:tc>
        <w:tc>
          <w:tcPr>
            <w:tcW w:type="dxa" w:w="1193"/>
          </w:tcPr>
          <w:p>
            <w:pPr>
              <w:spacing w:after="0"/>
            </w:pPr>
            <w:r>
              <w:rPr>
                <w:sz w:val="18"/>
              </w:rPr>
              <w:t>✓</w:t>
            </w:r>
          </w:p>
        </w:tc>
        <w:tc>
          <w:tcPr>
            <w:tcW w:type="dxa" w:w="1820"/>
          </w:tcPr>
          <w:p>
            <w:pPr>
              <w:spacing w:after="0"/>
            </w:pPr>
            <w:r>
              <w:rPr>
                <w:sz w:val="18"/>
              </w:rPr>
              <w:t>—</w:t>
            </w:r>
          </w:p>
        </w:tc>
        <w:tc>
          <w:tcPr>
            <w:tcW w:type="dxa" w:w="1833"/>
          </w:tcPr>
          <w:p>
            <w:pPr>
              <w:spacing w:after="0"/>
            </w:pPr>
            <w:r>
              <w:rPr>
                <w:sz w:val="18"/>
              </w:rPr>
              <w:t>—</w:t>
            </w:r>
          </w:p>
        </w:tc>
        <w:tc>
          <w:tcPr>
            <w:tcW w:type="dxa" w:w="1751"/>
          </w:tcPr>
          <w:p>
            <w:pPr>
              <w:spacing w:after="0"/>
            </w:pPr>
            <w:r>
              <w:rPr>
                <w:sz w:val="18"/>
              </w:rPr>
              <w:t>—</w:t>
            </w:r>
          </w:p>
        </w:tc>
      </w:tr>
      <w:tr>
        <w:tc>
          <w:tcPr>
            <w:tcW w:type="dxa" w:w="2763"/>
          </w:tcPr>
          <w:p>
            <w:pPr>
              <w:spacing w:after="0"/>
            </w:pPr>
            <w:r>
              <w:rPr>
                <w:sz w:val="18"/>
              </w:rPr>
              <w:t>Submit report; view own reports; confirm/reopen</w:t>
            </w:r>
          </w:p>
        </w:tc>
        <w:tc>
          <w:tcPr>
            <w:tcW w:type="dxa" w:w="1193"/>
          </w:tcPr>
          <w:p>
            <w:pPr>
              <w:spacing w:after="0"/>
            </w:pPr>
            <w:r>
              <w:rPr>
                <w:sz w:val="18"/>
              </w:rPr>
              <w:t>✓</w:t>
            </w:r>
          </w:p>
        </w:tc>
        <w:tc>
          <w:tcPr>
            <w:tcW w:type="dxa" w:w="1820"/>
          </w:tcPr>
          <w:p>
            <w:pPr>
              <w:spacing w:after="0"/>
            </w:pPr>
            <w:r>
              <w:rPr>
                <w:sz w:val="18"/>
              </w:rPr>
              <w:t>—</w:t>
            </w:r>
          </w:p>
        </w:tc>
        <w:tc>
          <w:tcPr>
            <w:tcW w:type="dxa" w:w="1833"/>
          </w:tcPr>
          <w:p>
            <w:pPr>
              <w:spacing w:after="0"/>
            </w:pPr>
            <w:r>
              <w:rPr>
                <w:sz w:val="18"/>
              </w:rPr>
              <w:t>—</w:t>
            </w:r>
          </w:p>
        </w:tc>
        <w:tc>
          <w:tcPr>
            <w:tcW w:type="dxa" w:w="1751"/>
          </w:tcPr>
          <w:p>
            <w:pPr>
              <w:spacing w:after="0"/>
            </w:pPr>
            <w:r>
              <w:rPr>
                <w:sz w:val="18"/>
              </w:rPr>
              <w:t>—</w:t>
            </w:r>
          </w:p>
        </w:tc>
      </w:tr>
      <w:tr>
        <w:tc>
          <w:tcPr>
            <w:tcW w:type="dxa" w:w="2763"/>
          </w:tcPr>
          <w:p>
            <w:pPr>
              <w:spacing w:after="0"/>
            </w:pPr>
            <w:r>
              <w:rPr>
                <w:sz w:val="18"/>
              </w:rPr>
              <w:t>View community map</w:t>
            </w:r>
          </w:p>
        </w:tc>
        <w:tc>
          <w:tcPr>
            <w:tcW w:type="dxa" w:w="1193"/>
          </w:tcPr>
          <w:p>
            <w:pPr>
              <w:spacing w:after="0"/>
            </w:pPr>
            <w:r>
              <w:rPr>
                <w:sz w:val="18"/>
              </w:rPr>
              <w:t>✓</w:t>
            </w:r>
          </w:p>
        </w:tc>
        <w:tc>
          <w:tcPr>
            <w:tcW w:type="dxa" w:w="1820"/>
          </w:tcPr>
          <w:p>
            <w:pPr>
              <w:spacing w:after="0"/>
            </w:pPr>
            <w:r>
              <w:rPr>
                <w:sz w:val="18"/>
              </w:rPr>
              <w:t>✓</w:t>
            </w:r>
          </w:p>
        </w:tc>
        <w:tc>
          <w:tcPr>
            <w:tcW w:type="dxa" w:w="1833"/>
          </w:tcPr>
          <w:p>
            <w:pPr>
              <w:spacing w:after="0"/>
            </w:pPr>
            <w:r>
              <w:rPr>
                <w:sz w:val="18"/>
              </w:rPr>
              <w:t>—</w:t>
            </w:r>
          </w:p>
        </w:tc>
        <w:tc>
          <w:tcPr>
            <w:tcW w:type="dxa" w:w="1751"/>
          </w:tcPr>
          <w:p>
            <w:pPr>
              <w:spacing w:after="0"/>
            </w:pPr>
            <w:r>
              <w:rPr>
                <w:sz w:val="18"/>
              </w:rPr>
              <w:t>✓</w:t>
            </w:r>
          </w:p>
        </w:tc>
      </w:tr>
      <w:tr>
        <w:tc>
          <w:tcPr>
            <w:tcW w:type="dxa" w:w="2763"/>
          </w:tcPr>
          <w:p>
            <w:pPr>
              <w:spacing w:after="0"/>
            </w:pPr>
            <w:r>
              <w:rPr>
                <w:sz w:val="18"/>
              </w:rPr>
              <w:t>View report queue and full report details</w:t>
            </w:r>
          </w:p>
        </w:tc>
        <w:tc>
          <w:tcPr>
            <w:tcW w:type="dxa" w:w="1193"/>
          </w:tcPr>
          <w:p>
            <w:pPr>
              <w:spacing w:after="0"/>
            </w:pPr>
            <w:r>
              <w:rPr>
                <w:sz w:val="18"/>
              </w:rPr>
              <w:t>—</w:t>
            </w:r>
          </w:p>
        </w:tc>
        <w:tc>
          <w:tcPr>
            <w:tcW w:type="dxa" w:w="1820"/>
          </w:tcPr>
          <w:p>
            <w:pPr>
              <w:spacing w:after="0"/>
            </w:pPr>
            <w:r>
              <w:rPr>
                <w:sz w:val="18"/>
              </w:rPr>
              <w:t>✓ (own dept)</w:t>
            </w:r>
          </w:p>
        </w:tc>
        <w:tc>
          <w:tcPr>
            <w:tcW w:type="dxa" w:w="1833"/>
          </w:tcPr>
          <w:p>
            <w:pPr>
              <w:spacing w:after="0"/>
            </w:pPr>
            <w:r>
              <w:rPr>
                <w:sz w:val="18"/>
              </w:rPr>
              <w:t>✓ (assigned)</w:t>
            </w:r>
          </w:p>
        </w:tc>
        <w:tc>
          <w:tcPr>
            <w:tcW w:type="dxa" w:w="1751"/>
          </w:tcPr>
          <w:p>
            <w:pPr>
              <w:spacing w:after="0"/>
            </w:pPr>
            <w:r>
              <w:rPr>
                <w:sz w:val="18"/>
              </w:rPr>
              <w:t>✓</w:t>
            </w:r>
          </w:p>
        </w:tc>
      </w:tr>
      <w:tr>
        <w:tc>
          <w:tcPr>
            <w:tcW w:type="dxa" w:w="2763"/>
          </w:tcPr>
          <w:p>
            <w:pPr>
              <w:spacing w:after="0"/>
            </w:pPr>
            <w:r>
              <w:rPr>
                <w:sz w:val="18"/>
              </w:rPr>
              <w:t>Triage, reject, assign, reassign, escalate</w:t>
            </w:r>
          </w:p>
        </w:tc>
        <w:tc>
          <w:tcPr>
            <w:tcW w:type="dxa" w:w="1193"/>
          </w:tcPr>
          <w:p>
            <w:pPr>
              <w:spacing w:after="0"/>
            </w:pPr>
            <w:r>
              <w:rPr>
                <w:sz w:val="18"/>
              </w:rPr>
              <w:t>—</w:t>
            </w:r>
          </w:p>
        </w:tc>
        <w:tc>
          <w:tcPr>
            <w:tcW w:type="dxa" w:w="1820"/>
          </w:tcPr>
          <w:p>
            <w:pPr>
              <w:spacing w:after="0"/>
            </w:pPr>
            <w:r>
              <w:rPr>
                <w:sz w:val="18"/>
              </w:rPr>
              <w:t>✓ (own dept)</w:t>
            </w:r>
          </w:p>
        </w:tc>
        <w:tc>
          <w:tcPr>
            <w:tcW w:type="dxa" w:w="1833"/>
          </w:tcPr>
          <w:p>
            <w:pPr>
              <w:spacing w:after="0"/>
            </w:pPr>
            <w:r>
              <w:rPr>
                <w:sz w:val="18"/>
              </w:rPr>
              <w:t>—</w:t>
            </w:r>
          </w:p>
        </w:tc>
        <w:tc>
          <w:tcPr>
            <w:tcW w:type="dxa" w:w="1751"/>
          </w:tcPr>
          <w:p>
            <w:pPr>
              <w:spacing w:after="0"/>
            </w:pPr>
            <w:r>
              <w:rPr>
                <w:sz w:val="18"/>
              </w:rPr>
              <w:t>✓</w:t>
            </w:r>
          </w:p>
        </w:tc>
      </w:tr>
      <w:tr>
        <w:tc>
          <w:tcPr>
            <w:tcW w:type="dxa" w:w="2763"/>
          </w:tcPr>
          <w:p>
            <w:pPr>
              <w:spacing w:after="0"/>
            </w:pPr>
            <w:r>
              <w:rPr>
                <w:sz w:val="18"/>
              </w:rPr>
              <w:t>Accept, start, complete task</w:t>
            </w:r>
          </w:p>
        </w:tc>
        <w:tc>
          <w:tcPr>
            <w:tcW w:type="dxa" w:w="1193"/>
          </w:tcPr>
          <w:p>
            <w:pPr>
              <w:spacing w:after="0"/>
            </w:pPr>
            <w:r>
              <w:rPr>
                <w:sz w:val="18"/>
              </w:rPr>
              <w:t>—</w:t>
            </w:r>
          </w:p>
        </w:tc>
        <w:tc>
          <w:tcPr>
            <w:tcW w:type="dxa" w:w="1820"/>
          </w:tcPr>
          <w:p>
            <w:pPr>
              <w:spacing w:after="0"/>
            </w:pPr>
            <w:r>
              <w:rPr>
                <w:sz w:val="18"/>
              </w:rPr>
              <w:t>—</w:t>
            </w:r>
          </w:p>
        </w:tc>
        <w:tc>
          <w:tcPr>
            <w:tcW w:type="dxa" w:w="1833"/>
          </w:tcPr>
          <w:p>
            <w:pPr>
              <w:spacing w:after="0"/>
            </w:pPr>
            <w:r>
              <w:rPr>
                <w:sz w:val="18"/>
              </w:rPr>
              <w:t>✓ (own tasks)</w:t>
            </w:r>
          </w:p>
        </w:tc>
        <w:tc>
          <w:tcPr>
            <w:tcW w:type="dxa" w:w="1751"/>
          </w:tcPr>
          <w:p>
            <w:pPr>
              <w:spacing w:after="0"/>
            </w:pPr>
            <w:r>
              <w:rPr>
                <w:sz w:val="18"/>
              </w:rPr>
              <w:t>—</w:t>
            </w:r>
          </w:p>
        </w:tc>
      </w:tr>
      <w:tr>
        <w:tc>
          <w:tcPr>
            <w:tcW w:type="dxa" w:w="2763"/>
          </w:tcPr>
          <w:p>
            <w:pPr>
              <w:spacing w:after="0"/>
            </w:pPr>
            <w:r>
              <w:rPr>
                <w:sz w:val="18"/>
              </w:rPr>
              <w:t>Internal comments</w:t>
            </w:r>
          </w:p>
        </w:tc>
        <w:tc>
          <w:tcPr>
            <w:tcW w:type="dxa" w:w="1193"/>
          </w:tcPr>
          <w:p>
            <w:pPr>
              <w:spacing w:after="0"/>
            </w:pPr>
            <w:r>
              <w:rPr>
                <w:sz w:val="18"/>
              </w:rPr>
              <w:t>—</w:t>
            </w:r>
          </w:p>
        </w:tc>
        <w:tc>
          <w:tcPr>
            <w:tcW w:type="dxa" w:w="1820"/>
          </w:tcPr>
          <w:p>
            <w:pPr>
              <w:spacing w:after="0"/>
            </w:pPr>
            <w:r>
              <w:rPr>
                <w:sz w:val="18"/>
              </w:rPr>
              <w:t>✓ (own dept)</w:t>
            </w:r>
          </w:p>
        </w:tc>
        <w:tc>
          <w:tcPr>
            <w:tcW w:type="dxa" w:w="1833"/>
          </w:tcPr>
          <w:p>
            <w:pPr>
              <w:spacing w:after="0"/>
            </w:pPr>
            <w:r>
              <w:rPr>
                <w:sz w:val="18"/>
              </w:rPr>
              <w:t>✓ (assigned)</w:t>
            </w:r>
          </w:p>
        </w:tc>
        <w:tc>
          <w:tcPr>
            <w:tcW w:type="dxa" w:w="1751"/>
          </w:tcPr>
          <w:p>
            <w:pPr>
              <w:spacing w:after="0"/>
            </w:pPr>
            <w:r>
              <w:rPr>
                <w:sz w:val="18"/>
              </w:rPr>
              <w:t>✓</w:t>
            </w:r>
          </w:p>
        </w:tc>
      </w:tr>
      <w:tr>
        <w:tc>
          <w:tcPr>
            <w:tcW w:type="dxa" w:w="2763"/>
          </w:tcPr>
          <w:p>
            <w:pPr>
              <w:spacing w:after="0"/>
            </w:pPr>
            <w:r>
              <w:rPr>
                <w:sz w:val="18"/>
              </w:rPr>
              <w:t>Broadcast / end alert; alert history</w:t>
            </w:r>
          </w:p>
        </w:tc>
        <w:tc>
          <w:tcPr>
            <w:tcW w:type="dxa" w:w="1193"/>
          </w:tcPr>
          <w:p>
            <w:pPr>
              <w:spacing w:after="0"/>
            </w:pPr>
            <w:r>
              <w:rPr>
                <w:sz w:val="18"/>
              </w:rPr>
              <w:t>—</w:t>
            </w:r>
          </w:p>
        </w:tc>
        <w:tc>
          <w:tcPr>
            <w:tcW w:type="dxa" w:w="1820"/>
          </w:tcPr>
          <w:p>
            <w:pPr>
              <w:spacing w:after="0"/>
            </w:pPr>
            <w:r>
              <w:rPr>
                <w:sz w:val="18"/>
              </w:rPr>
              <w:t>✓</w:t>
            </w:r>
          </w:p>
        </w:tc>
        <w:tc>
          <w:tcPr>
            <w:tcW w:type="dxa" w:w="1833"/>
          </w:tcPr>
          <w:p>
            <w:pPr>
              <w:spacing w:after="0"/>
            </w:pPr>
            <w:r>
              <w:rPr>
                <w:sz w:val="18"/>
              </w:rPr>
              <w:t>—</w:t>
            </w:r>
          </w:p>
        </w:tc>
        <w:tc>
          <w:tcPr>
            <w:tcW w:type="dxa" w:w="1751"/>
          </w:tcPr>
          <w:p>
            <w:pPr>
              <w:spacing w:after="0"/>
            </w:pPr>
            <w:r>
              <w:rPr>
                <w:sz w:val="18"/>
              </w:rPr>
              <w:t>✓</w:t>
            </w:r>
          </w:p>
        </w:tc>
      </w:tr>
      <w:tr>
        <w:tc>
          <w:tcPr>
            <w:tcW w:type="dxa" w:w="2763"/>
          </w:tcPr>
          <w:p>
            <w:pPr>
              <w:spacing w:after="0"/>
            </w:pPr>
            <w:r>
              <w:rPr>
                <w:sz w:val="18"/>
              </w:rPr>
              <w:t>View alerts feed</w:t>
            </w:r>
          </w:p>
        </w:tc>
        <w:tc>
          <w:tcPr>
            <w:tcW w:type="dxa" w:w="1193"/>
          </w:tcPr>
          <w:p>
            <w:pPr>
              <w:spacing w:after="0"/>
            </w:pPr>
            <w:r>
              <w:rPr>
                <w:sz w:val="18"/>
              </w:rPr>
              <w:t>✓ (own suburb)</w:t>
            </w:r>
          </w:p>
        </w:tc>
        <w:tc>
          <w:tcPr>
            <w:tcW w:type="dxa" w:w="1820"/>
          </w:tcPr>
          <w:p>
            <w:pPr>
              <w:spacing w:after="0"/>
            </w:pPr>
            <w:r>
              <w:rPr>
                <w:sz w:val="18"/>
              </w:rPr>
              <w:t>✓</w:t>
            </w:r>
          </w:p>
        </w:tc>
        <w:tc>
          <w:tcPr>
            <w:tcW w:type="dxa" w:w="1833"/>
          </w:tcPr>
          <w:p>
            <w:pPr>
              <w:spacing w:after="0"/>
            </w:pPr>
            <w:r>
              <w:rPr>
                <w:sz w:val="18"/>
              </w:rPr>
              <w:t>—</w:t>
            </w:r>
          </w:p>
        </w:tc>
        <w:tc>
          <w:tcPr>
            <w:tcW w:type="dxa" w:w="1751"/>
          </w:tcPr>
          <w:p>
            <w:pPr>
              <w:spacing w:after="0"/>
            </w:pPr>
            <w:r>
              <w:rPr>
                <w:sz w:val="18"/>
              </w:rPr>
              <w:t>✓</w:t>
            </w:r>
          </w:p>
        </w:tc>
      </w:tr>
      <w:tr>
        <w:tc>
          <w:tcPr>
            <w:tcW w:type="dxa" w:w="2763"/>
          </w:tcPr>
          <w:p>
            <w:pPr>
              <w:spacing w:after="0"/>
            </w:pPr>
            <w:r>
              <w:rPr>
                <w:sz w:val="18"/>
              </w:rPr>
              <w:t>Analytics</w:t>
            </w:r>
          </w:p>
        </w:tc>
        <w:tc>
          <w:tcPr>
            <w:tcW w:type="dxa" w:w="1193"/>
          </w:tcPr>
          <w:p>
            <w:pPr>
              <w:spacing w:after="0"/>
            </w:pPr>
            <w:r>
              <w:rPr>
                <w:sz w:val="18"/>
              </w:rPr>
              <w:t>—</w:t>
            </w:r>
          </w:p>
        </w:tc>
        <w:tc>
          <w:tcPr>
            <w:tcW w:type="dxa" w:w="1820"/>
          </w:tcPr>
          <w:p>
            <w:pPr>
              <w:spacing w:after="0"/>
            </w:pPr>
            <w:r>
              <w:rPr>
                <w:sz w:val="18"/>
              </w:rPr>
              <w:t>✓</w:t>
            </w:r>
          </w:p>
        </w:tc>
        <w:tc>
          <w:tcPr>
            <w:tcW w:type="dxa" w:w="1833"/>
          </w:tcPr>
          <w:p>
            <w:pPr>
              <w:spacing w:after="0"/>
            </w:pPr>
            <w:r>
              <w:rPr>
                <w:sz w:val="18"/>
              </w:rPr>
              <w:t>—</w:t>
            </w:r>
          </w:p>
        </w:tc>
        <w:tc>
          <w:tcPr>
            <w:tcW w:type="dxa" w:w="1751"/>
          </w:tcPr>
          <w:p>
            <w:pPr>
              <w:spacing w:after="0"/>
            </w:pPr>
            <w:r>
              <w:rPr>
                <w:sz w:val="18"/>
              </w:rPr>
              <w:t>✓</w:t>
            </w:r>
          </w:p>
        </w:tc>
      </w:tr>
      <w:tr>
        <w:tc>
          <w:tcPr>
            <w:tcW w:type="dxa" w:w="2763"/>
          </w:tcPr>
          <w:p>
            <w:pPr>
              <w:spacing w:after="0"/>
            </w:pPr>
            <w:r>
              <w:rPr>
                <w:sz w:val="18"/>
              </w:rPr>
              <w:t>Manage users, departments, categories; system log</w:t>
            </w:r>
          </w:p>
        </w:tc>
        <w:tc>
          <w:tcPr>
            <w:tcW w:type="dxa" w:w="1193"/>
          </w:tcPr>
          <w:p>
            <w:pPr>
              <w:spacing w:after="0"/>
            </w:pPr>
            <w:r>
              <w:rPr>
                <w:sz w:val="18"/>
              </w:rPr>
              <w:t>—</w:t>
            </w:r>
          </w:p>
        </w:tc>
        <w:tc>
          <w:tcPr>
            <w:tcW w:type="dxa" w:w="1820"/>
          </w:tcPr>
          <w:p>
            <w:pPr>
              <w:spacing w:after="0"/>
            </w:pPr>
            <w:r>
              <w:rPr>
                <w:sz w:val="18"/>
              </w:rPr>
              <w:t>—</w:t>
            </w:r>
          </w:p>
        </w:tc>
        <w:tc>
          <w:tcPr>
            <w:tcW w:type="dxa" w:w="1833"/>
          </w:tcPr>
          <w:p>
            <w:pPr>
              <w:spacing w:after="0"/>
            </w:pPr>
            <w:r>
              <w:rPr>
                <w:sz w:val="18"/>
              </w:rPr>
              <w:t>—</w:t>
            </w:r>
          </w:p>
        </w:tc>
        <w:tc>
          <w:tcPr>
            <w:tcW w:type="dxa" w:w="1751"/>
          </w:tcPr>
          <w:p>
            <w:pPr>
              <w:spacing w:after="0"/>
            </w:pPr>
            <w:r>
              <w:rPr>
                <w:sz w:val="18"/>
              </w:rPr>
              <w:t>✓</w:t>
            </w:r>
          </w:p>
        </w:tc>
      </w:tr>
    </w:tbl>
    <w:p/>
    <w:p>
      <w:pPr>
        <w:pStyle w:val="Caption"/>
        <w:keepNext/>
      </w:pPr>
      <w:r>
        <w:t>Table 12: Security controls</w:t>
      </w:r>
    </w:p>
    <w:tbl>
      <w:tblPr>
        <w:tblStyle w:val="TableGrid"/>
        <w:tblW w:type="auto" w:w="0"/>
        <w:jc w:val="center"/>
        <w:tblLayout w:type="fixed"/>
        <w:tblLook w:firstColumn="1" w:firstRow="1" w:lastColumn="0" w:lastRow="0" w:noHBand="0" w:noVBand="1" w:val="04A0"/>
        <w:tblLayout w:type="fixed"/>
      </w:tblPr>
      <w:tblGrid>
        <w:gridCol w:w="2038"/>
        <w:gridCol w:w="2394"/>
        <w:gridCol w:w="4928"/>
      </w:tblGrid>
      <w:tr>
        <w:trPr>
          <w:tblHeader w:val="true"/>
        </w:trPr>
        <w:tc>
          <w:tcPr>
            <w:tcW w:type="dxa" w:w="2038"/>
            <w:shd w:val="clear" w:color="auto" w:fill="D5EBF4"/>
          </w:tcPr>
          <w:p>
            <w:pPr>
              <w:spacing w:after="0"/>
            </w:pPr>
            <w:r>
              <w:rPr>
                <w:b/>
                <w:sz w:val="18"/>
              </w:rPr>
              <w:t>Area</w:t>
            </w:r>
          </w:p>
        </w:tc>
        <w:tc>
          <w:tcPr>
            <w:tcW w:type="dxa" w:w="2394"/>
            <w:shd w:val="clear" w:color="auto" w:fill="D5EBF4"/>
          </w:tcPr>
          <w:p>
            <w:pPr>
              <w:spacing w:after="0"/>
            </w:pPr>
            <w:r>
              <w:rPr>
                <w:b/>
                <w:sz w:val="18"/>
              </w:rPr>
              <w:t>Risk</w:t>
            </w:r>
          </w:p>
        </w:tc>
        <w:tc>
          <w:tcPr>
            <w:tcW w:type="dxa" w:w="4928"/>
            <w:shd w:val="clear" w:color="auto" w:fill="D5EBF4"/>
          </w:tcPr>
          <w:p>
            <w:pPr>
              <w:spacing w:after="0"/>
            </w:pPr>
            <w:r>
              <w:rPr>
                <w:b/>
                <w:sz w:val="18"/>
              </w:rPr>
              <w:t>Implemented control</w:t>
            </w:r>
          </w:p>
        </w:tc>
      </w:tr>
      <w:tr>
        <w:tc>
          <w:tcPr>
            <w:tcW w:type="dxa" w:w="2038"/>
          </w:tcPr>
          <w:p>
            <w:pPr>
              <w:spacing w:after="0"/>
            </w:pPr>
            <w:r>
              <w:rPr>
                <w:sz w:val="18"/>
              </w:rPr>
              <w:t>Authentication</w:t>
            </w:r>
          </w:p>
        </w:tc>
        <w:tc>
          <w:tcPr>
            <w:tcW w:type="dxa" w:w="2394"/>
          </w:tcPr>
          <w:p>
            <w:pPr>
              <w:spacing w:after="0"/>
            </w:pPr>
            <w:r>
              <w:rPr>
                <w:sz w:val="18"/>
              </w:rPr>
              <w:t>Unauthorised access</w:t>
            </w:r>
          </w:p>
        </w:tc>
        <w:tc>
          <w:tcPr>
            <w:tcW w:type="dxa" w:w="4928"/>
          </w:tcPr>
          <w:p>
            <w:pPr>
              <w:spacing w:after="0"/>
            </w:pPr>
            <w:r>
              <w:rPr>
                <w:sz w:val="18"/>
              </w:rPr>
              <w:t>Firebase Authentication with email/password (minimum 8 characters) or Google; signed ID tokens on every request; new Google users can only become Residents</w:t>
            </w:r>
          </w:p>
        </w:tc>
      </w:tr>
      <w:tr>
        <w:tc>
          <w:tcPr>
            <w:tcW w:type="dxa" w:w="2038"/>
          </w:tcPr>
          <w:p>
            <w:pPr>
              <w:spacing w:after="0"/>
            </w:pPr>
            <w:r>
              <w:rPr>
                <w:sz w:val="18"/>
              </w:rPr>
              <w:t>Account enumeration</w:t>
            </w:r>
          </w:p>
        </w:tc>
        <w:tc>
          <w:tcPr>
            <w:tcW w:type="dxa" w:w="2394"/>
          </w:tcPr>
          <w:p>
            <w:pPr>
              <w:spacing w:after="0"/>
            </w:pPr>
            <w:r>
              <w:rPr>
                <w:sz w:val="18"/>
              </w:rPr>
              <w:t>Attackers discover which emails are registered</w:t>
            </w:r>
          </w:p>
        </w:tc>
        <w:tc>
          <w:tcPr>
            <w:tcW w:type="dxa" w:w="4928"/>
          </w:tcPr>
          <w:p>
            <w:pPr>
              <w:spacing w:after="0"/>
            </w:pPr>
            <w:r>
              <w:rPr>
                <w:sz w:val="18"/>
              </w:rPr>
              <w:t>Password reset and sign-in errors give the same message whether or not an account exists</w:t>
            </w:r>
          </w:p>
        </w:tc>
      </w:tr>
      <w:tr>
        <w:tc>
          <w:tcPr>
            <w:tcW w:type="dxa" w:w="2038"/>
          </w:tcPr>
          <w:p>
            <w:pPr>
              <w:spacing w:after="0"/>
            </w:pPr>
            <w:r>
              <w:rPr>
                <w:sz w:val="18"/>
              </w:rPr>
              <w:t>Abuse</w:t>
            </w:r>
          </w:p>
        </w:tc>
        <w:tc>
          <w:tcPr>
            <w:tcW w:type="dxa" w:w="2394"/>
          </w:tcPr>
          <w:p>
            <w:pPr>
              <w:spacing w:after="0"/>
            </w:pPr>
            <w:r>
              <w:rPr>
                <w:sz w:val="18"/>
              </w:rPr>
              <w:t>Flooding the queue with fake reports</w:t>
            </w:r>
          </w:p>
        </w:tc>
        <w:tc>
          <w:tcPr>
            <w:tcW w:type="dxa" w:w="4928"/>
          </w:tcPr>
          <w:p>
            <w:pPr>
              <w:spacing w:after="0"/>
            </w:pPr>
            <w:r>
              <w:rPr>
                <w:sz w:val="18"/>
              </w:rPr>
              <w:t>Configurable per-resident hourly limit enforced inside the submission transaction (BR-21)</w:t>
            </w:r>
          </w:p>
        </w:tc>
      </w:tr>
      <w:tr>
        <w:tc>
          <w:tcPr>
            <w:tcW w:type="dxa" w:w="2038"/>
          </w:tcPr>
          <w:p>
            <w:pPr>
              <w:spacing w:after="0"/>
            </w:pPr>
            <w:r>
              <w:rPr>
                <w:sz w:val="18"/>
              </w:rPr>
              <w:t>Authorisation</w:t>
            </w:r>
          </w:p>
        </w:tc>
        <w:tc>
          <w:tcPr>
            <w:tcW w:type="dxa" w:w="2394"/>
          </w:tcPr>
          <w:p>
            <w:pPr>
              <w:spacing w:after="0"/>
            </w:pPr>
            <w:r>
              <w:rPr>
                <w:sz w:val="18"/>
              </w:rPr>
              <w:t>A user reaches another role's data or functions</w:t>
            </w:r>
          </w:p>
        </w:tc>
        <w:tc>
          <w:tcPr>
            <w:tcW w:type="dxa" w:w="4928"/>
          </w:tcPr>
          <w:p>
            <w:pPr>
              <w:spacing w:after="0"/>
            </w:pPr>
            <w:r>
              <w:rPr>
                <w:sz w:val="18"/>
              </w:rPr>
              <w:t>Firestore Security Rules per the matrix (photos inherit their report's access); role and department checks in every command; client route guards for usability only</w:t>
            </w:r>
          </w:p>
        </w:tc>
      </w:tr>
      <w:tr>
        <w:tc>
          <w:tcPr>
            <w:tcW w:type="dxa" w:w="2038"/>
          </w:tcPr>
          <w:p>
            <w:pPr>
              <w:spacing w:after="0"/>
            </w:pPr>
            <w:r>
              <w:rPr>
                <w:sz w:val="18"/>
              </w:rPr>
              <w:t>Account lifecycle</w:t>
            </w:r>
          </w:p>
        </w:tc>
        <w:tc>
          <w:tcPr>
            <w:tcW w:type="dxa" w:w="2394"/>
          </w:tcPr>
          <w:p>
            <w:pPr>
              <w:spacing w:after="0"/>
            </w:pPr>
            <w:r>
              <w:rPr>
                <w:sz w:val="18"/>
              </w:rPr>
              <w:t>A deactivated user keeps access</w:t>
            </w:r>
          </w:p>
        </w:tc>
        <w:tc>
          <w:tcPr>
            <w:tcW w:type="dxa" w:w="4928"/>
          </w:tcPr>
          <w:p>
            <w:pPr>
              <w:spacing w:after="0"/>
            </w:pPr>
            <w:r>
              <w:rPr>
                <w:sz w:val="18"/>
              </w:rPr>
              <w:t>Auth account disabled, refresh tokens revoked, profile check on every command</w:t>
            </w:r>
          </w:p>
        </w:tc>
      </w:tr>
      <w:tr>
        <w:tc>
          <w:tcPr>
            <w:tcW w:type="dxa" w:w="2038"/>
          </w:tcPr>
          <w:p>
            <w:pPr>
              <w:spacing w:after="0"/>
            </w:pPr>
            <w:r>
              <w:rPr>
                <w:sz w:val="18"/>
              </w:rPr>
              <w:t>Input</w:t>
            </w:r>
          </w:p>
        </w:tc>
        <w:tc>
          <w:tcPr>
            <w:tcW w:type="dxa" w:w="2394"/>
          </w:tcPr>
          <w:p>
            <w:pPr>
              <w:spacing w:after="0"/>
            </w:pPr>
            <w:r>
              <w:rPr>
                <w:sz w:val="18"/>
              </w:rPr>
              <w:t>Malicious or invalid data</w:t>
            </w:r>
          </w:p>
        </w:tc>
        <w:tc>
          <w:tcPr>
            <w:tcW w:type="dxa" w:w="4928"/>
          </w:tcPr>
          <w:p>
            <w:pPr>
              <w:spacing w:after="0"/>
            </w:pPr>
            <w:r>
              <w:rPr>
                <w:sz w:val="18"/>
              </w:rPr>
              <w:t>Zod schemas on the server; geographic bounds; length limits; photo size limit and real-type check from magic bytes, so renamed or script-bearing files (e.g. SVG) are refused; request body limited to 4 MB</w:t>
            </w:r>
          </w:p>
        </w:tc>
      </w:tr>
      <w:tr>
        <w:tc>
          <w:tcPr>
            <w:tcW w:type="dxa" w:w="2038"/>
          </w:tcPr>
          <w:p>
            <w:pPr>
              <w:spacing w:after="0"/>
            </w:pPr>
            <w:r>
              <w:rPr>
                <w:sz w:val="18"/>
              </w:rPr>
              <w:t>Integrity</w:t>
            </w:r>
          </w:p>
        </w:tc>
        <w:tc>
          <w:tcPr>
            <w:tcW w:type="dxa" w:w="2394"/>
          </w:tcPr>
          <w:p>
            <w:pPr>
              <w:spacing w:after="0"/>
            </w:pPr>
            <w:r>
              <w:rPr>
                <w:sz w:val="18"/>
              </w:rPr>
              <w:t>Race conditions or partial updates</w:t>
            </w:r>
          </w:p>
        </w:tc>
        <w:tc>
          <w:tcPr>
            <w:tcW w:type="dxa" w:w="4928"/>
          </w:tcPr>
          <w:p>
            <w:pPr>
              <w:spacing w:after="0"/>
            </w:pPr>
            <w:r>
              <w:rPr>
                <w:sz w:val="18"/>
              </w:rPr>
              <w:t>Firestore transactions TX-1 to TX-3; append-only history; no client writes</w:t>
            </w:r>
          </w:p>
        </w:tc>
      </w:tr>
      <w:tr>
        <w:tc>
          <w:tcPr>
            <w:tcW w:type="dxa" w:w="2038"/>
          </w:tcPr>
          <w:p>
            <w:pPr>
              <w:spacing w:after="0"/>
            </w:pPr>
            <w:r>
              <w:rPr>
                <w:sz w:val="18"/>
              </w:rPr>
              <w:t>File uploads</w:t>
            </w:r>
          </w:p>
        </w:tc>
        <w:tc>
          <w:tcPr>
            <w:tcW w:type="dxa" w:w="2394"/>
          </w:tcPr>
          <w:p>
            <w:pPr>
              <w:spacing w:after="0"/>
            </w:pPr>
            <w:r>
              <w:rPr>
                <w:sz w:val="18"/>
              </w:rPr>
              <w:t>Malicious or oversized files</w:t>
            </w:r>
          </w:p>
        </w:tc>
        <w:tc>
          <w:tcPr>
            <w:tcW w:type="dxa" w:w="4928"/>
          </w:tcPr>
          <w:p>
            <w:pPr>
              <w:spacing w:after="0"/>
            </w:pPr>
            <w:r>
              <w:rPr>
                <w:sz w:val="18"/>
              </w:rPr>
              <w:t>Photos accepted only through commands, re-checked server-side (type sniffing, ≤ 700 KB); never served as HTML; displayed from bytes with an explicit image content type</w:t>
            </w:r>
          </w:p>
        </w:tc>
      </w:tr>
      <w:tr>
        <w:tc>
          <w:tcPr>
            <w:tcW w:type="dxa" w:w="2038"/>
          </w:tcPr>
          <w:p>
            <w:pPr>
              <w:spacing w:after="0"/>
            </w:pPr>
            <w:r>
              <w:rPr>
                <w:sz w:val="18"/>
              </w:rPr>
              <w:t>Sensitive data (POPIA)</w:t>
            </w:r>
          </w:p>
        </w:tc>
        <w:tc>
          <w:tcPr>
            <w:tcW w:type="dxa" w:w="2394"/>
          </w:tcPr>
          <w:p>
            <w:pPr>
              <w:spacing w:after="0"/>
            </w:pPr>
            <w:r>
              <w:rPr>
                <w:sz w:val="18"/>
              </w:rPr>
              <w:t>Exposure or indefinite retention of residents' identity, location or photos</w:t>
            </w:r>
          </w:p>
        </w:tc>
        <w:tc>
          <w:tcPr>
            <w:tcW w:type="dxa" w:w="4928"/>
          </w:tcPr>
          <w:p>
            <w:pPr>
              <w:spacing w:after="0"/>
            </w:pPr>
            <w:r>
              <w:rPr>
                <w:sz w:val="18"/>
              </w:rPr>
              <w:t>Reports readable only by the reporter, followers and staff; public map uses an anonymised projection with location rounded to about 100 m; minimal data collected; processing region africa-south1; residents can erase their personal data (FR-32), leaving anonymised service records (BR-22)</w:t>
            </w:r>
          </w:p>
        </w:tc>
      </w:tr>
      <w:tr>
        <w:tc>
          <w:tcPr>
            <w:tcW w:type="dxa" w:w="2038"/>
          </w:tcPr>
          <w:p>
            <w:pPr>
              <w:spacing w:after="0"/>
            </w:pPr>
            <w:r>
              <w:rPr>
                <w:sz w:val="18"/>
              </w:rPr>
              <w:t>Secrets</w:t>
            </w:r>
          </w:p>
        </w:tc>
        <w:tc>
          <w:tcPr>
            <w:tcW w:type="dxa" w:w="2394"/>
          </w:tcPr>
          <w:p>
            <w:pPr>
              <w:spacing w:after="0"/>
            </w:pPr>
            <w:r>
              <w:rPr>
                <w:sz w:val="18"/>
              </w:rPr>
              <w:t>API key or credential exposure</w:t>
            </w:r>
          </w:p>
        </w:tc>
        <w:tc>
          <w:tcPr>
            <w:tcW w:type="dxa" w:w="4928"/>
          </w:tcPr>
          <w:p>
            <w:pPr>
              <w:spacing w:after="0"/>
            </w:pPr>
            <w:r>
              <w:rPr>
                <w:sz w:val="18"/>
              </w:rPr>
              <w:t>Service-account key and cron secret only in Vercel's encrypted environment; none in the repository (</w:t>
            </w:r>
            <w:r>
              <w:rPr>
                <w:rFonts w:ascii="Consolas" w:hAnsi="Consolas"/>
                <w:sz w:val="18"/>
              </w:rPr>
              <w:t>.env.example</w:t>
            </w:r>
            <w:r>
              <w:rPr>
                <w:sz w:val="18"/>
              </w:rPr>
              <w:t xml:space="preserve"> lists names only); gitleaks scan in CI; the cron endpoint compares the secret in constant time</w:t>
            </w:r>
          </w:p>
        </w:tc>
      </w:tr>
      <w:tr>
        <w:tc>
          <w:tcPr>
            <w:tcW w:type="dxa" w:w="2038"/>
          </w:tcPr>
          <w:p>
            <w:pPr>
              <w:spacing w:after="0"/>
            </w:pPr>
            <w:r>
              <w:rPr>
                <w:sz w:val="18"/>
              </w:rPr>
              <w:t>Error handling</w:t>
            </w:r>
          </w:p>
        </w:tc>
        <w:tc>
          <w:tcPr>
            <w:tcW w:type="dxa" w:w="2394"/>
          </w:tcPr>
          <w:p>
            <w:pPr>
              <w:spacing w:after="0"/>
            </w:pPr>
            <w:r>
              <w:rPr>
                <w:sz w:val="18"/>
              </w:rPr>
              <w:t>Leaking internals</w:t>
            </w:r>
          </w:p>
        </w:tc>
        <w:tc>
          <w:tcPr>
            <w:tcW w:type="dxa" w:w="4928"/>
          </w:tcPr>
          <w:p>
            <w:pPr>
              <w:spacing w:after="0"/>
            </w:pPr>
            <w:r>
              <w:rPr>
                <w:sz w:val="18"/>
              </w:rPr>
              <w:t>Unexpected errors return a generic message and are written to the system log</w:t>
            </w:r>
          </w:p>
        </w:tc>
      </w:tr>
      <w:tr>
        <w:tc>
          <w:tcPr>
            <w:tcW w:type="dxa" w:w="2038"/>
          </w:tcPr>
          <w:p>
            <w:pPr>
              <w:spacing w:after="0"/>
            </w:pPr>
            <w:r>
              <w:rPr>
                <w:sz w:val="18"/>
              </w:rPr>
              <w:t>Logging and audit</w:t>
            </w:r>
          </w:p>
        </w:tc>
        <w:tc>
          <w:tcPr>
            <w:tcW w:type="dxa" w:w="2394"/>
          </w:tcPr>
          <w:p>
            <w:pPr>
              <w:spacing w:after="0"/>
            </w:pPr>
            <w:r>
              <w:rPr>
                <w:sz w:val="18"/>
              </w:rPr>
              <w:t>Unaccountable actions</w:t>
            </w:r>
          </w:p>
        </w:tc>
        <w:tc>
          <w:tcPr>
            <w:tcW w:type="dxa" w:w="4928"/>
          </w:tcPr>
          <w:p>
            <w:pPr>
              <w:spacing w:after="0"/>
            </w:pPr>
            <w:r>
              <w:rPr>
                <w:sz w:val="18"/>
              </w:rPr>
              <w:t>Immutable status history with actor; administrator actions and errors in the system log</w:t>
            </w:r>
          </w:p>
        </w:tc>
      </w:tr>
    </w:tbl>
    <w:p/>
    <w:p>
      <w:r>
        <w:rPr>
          <w:b/>
        </w:rPr>
        <w:t>Data classification.</w:t>
      </w:r>
    </w:p>
    <w:tbl>
      <w:tblPr>
        <w:tblStyle w:val="TableGrid"/>
        <w:tblW w:type="auto" w:w="0"/>
        <w:jc w:val="center"/>
        <w:tblLayout w:type="fixed"/>
        <w:tblLook w:firstColumn="1" w:firstRow="1" w:lastColumn="0" w:lastRow="0" w:noHBand="0" w:noVBand="1" w:val="04A0"/>
        <w:tblLayout w:type="fixed"/>
      </w:tblPr>
      <w:tblGrid>
        <w:gridCol w:w="4153"/>
        <w:gridCol w:w="2338"/>
        <w:gridCol w:w="2869"/>
      </w:tblGrid>
      <w:tr>
        <w:trPr>
          <w:tblHeader w:val="true"/>
        </w:trPr>
        <w:tc>
          <w:tcPr>
            <w:tcW w:type="dxa" w:w="4153"/>
            <w:shd w:val="clear" w:color="auto" w:fill="D5EBF4"/>
          </w:tcPr>
          <w:p>
            <w:pPr>
              <w:spacing w:after="0"/>
            </w:pPr>
            <w:r>
              <w:rPr>
                <w:b/>
                <w:sz w:val="18"/>
              </w:rPr>
              <w:t>Data</w:t>
            </w:r>
          </w:p>
        </w:tc>
        <w:tc>
          <w:tcPr>
            <w:tcW w:type="dxa" w:w="2338"/>
            <w:shd w:val="clear" w:color="auto" w:fill="D5EBF4"/>
          </w:tcPr>
          <w:p>
            <w:pPr>
              <w:spacing w:after="0"/>
            </w:pPr>
            <w:r>
              <w:rPr>
                <w:b/>
                <w:sz w:val="18"/>
              </w:rPr>
              <w:t>Class</w:t>
            </w:r>
          </w:p>
        </w:tc>
        <w:tc>
          <w:tcPr>
            <w:tcW w:type="dxa" w:w="2869"/>
            <w:shd w:val="clear" w:color="auto" w:fill="D5EBF4"/>
          </w:tcPr>
          <w:p>
            <w:pPr>
              <w:spacing w:after="0"/>
            </w:pPr>
            <w:r>
              <w:rPr>
                <w:b/>
                <w:sz w:val="18"/>
              </w:rPr>
              <w:t>Visible to</w:t>
            </w:r>
          </w:p>
        </w:tc>
      </w:tr>
      <w:tr>
        <w:tc>
          <w:tcPr>
            <w:tcW w:type="dxa" w:w="4153"/>
          </w:tcPr>
          <w:p>
            <w:pPr>
              <w:spacing w:after="0"/>
            </w:pPr>
            <w:r>
              <w:rPr>
                <w:sz w:val="18"/>
              </w:rPr>
              <w:t>Names, emails, phone numbers</w:t>
            </w:r>
          </w:p>
        </w:tc>
        <w:tc>
          <w:tcPr>
            <w:tcW w:type="dxa" w:w="2338"/>
          </w:tcPr>
          <w:p>
            <w:pPr>
              <w:spacing w:after="0"/>
            </w:pPr>
            <w:r>
              <w:rPr>
                <w:sz w:val="18"/>
              </w:rPr>
              <w:t>Personal</w:t>
            </w:r>
          </w:p>
        </w:tc>
        <w:tc>
          <w:tcPr>
            <w:tcW w:type="dxa" w:w="2869"/>
          </w:tcPr>
          <w:p>
            <w:pPr>
              <w:spacing w:after="0"/>
            </w:pPr>
            <w:r>
              <w:rPr>
                <w:sz w:val="18"/>
              </w:rPr>
              <w:t>Owner, staff</w:t>
            </w:r>
          </w:p>
        </w:tc>
      </w:tr>
      <w:tr>
        <w:tc>
          <w:tcPr>
            <w:tcW w:type="dxa" w:w="4153"/>
          </w:tcPr>
          <w:p>
            <w:pPr>
              <w:spacing w:after="0"/>
            </w:pPr>
            <w:r>
              <w:rPr>
                <w:sz w:val="18"/>
              </w:rPr>
              <w:t>Report photos and exact locations</w:t>
            </w:r>
          </w:p>
        </w:tc>
        <w:tc>
          <w:tcPr>
            <w:tcW w:type="dxa" w:w="2338"/>
          </w:tcPr>
          <w:p>
            <w:pPr>
              <w:spacing w:after="0"/>
            </w:pPr>
            <w:r>
              <w:rPr>
                <w:sz w:val="18"/>
              </w:rPr>
              <w:t>Personal (may identify a home)</w:t>
            </w:r>
          </w:p>
        </w:tc>
        <w:tc>
          <w:tcPr>
            <w:tcW w:type="dxa" w:w="2869"/>
          </w:tcPr>
          <w:p>
            <w:pPr>
              <w:spacing w:after="0"/>
            </w:pPr>
            <w:r>
              <w:rPr>
                <w:sz w:val="18"/>
              </w:rPr>
              <w:t>Reporter, staff</w:t>
            </w:r>
          </w:p>
        </w:tc>
      </w:tr>
      <w:tr>
        <w:tc>
          <w:tcPr>
            <w:tcW w:type="dxa" w:w="4153"/>
          </w:tcPr>
          <w:p>
            <w:pPr>
              <w:spacing w:after="0"/>
            </w:pPr>
            <w:r>
              <w:rPr>
                <w:sz w:val="18"/>
              </w:rPr>
              <w:t>Report category, status and approximate location</w:t>
            </w:r>
          </w:p>
        </w:tc>
        <w:tc>
          <w:tcPr>
            <w:tcW w:type="dxa" w:w="2338"/>
          </w:tcPr>
          <w:p>
            <w:pPr>
              <w:spacing w:after="0"/>
            </w:pPr>
            <w:r>
              <w:rPr>
                <w:sz w:val="18"/>
              </w:rPr>
              <w:t>Public</w:t>
            </w:r>
          </w:p>
        </w:tc>
        <w:tc>
          <w:tcPr>
            <w:tcW w:type="dxa" w:w="2869"/>
          </w:tcPr>
          <w:p>
            <w:pPr>
              <w:spacing w:after="0"/>
            </w:pPr>
            <w:r>
              <w:rPr>
                <w:sz w:val="18"/>
              </w:rPr>
              <w:t>All signed-in users</w:t>
            </w:r>
          </w:p>
        </w:tc>
      </w:tr>
      <w:tr>
        <w:tc>
          <w:tcPr>
            <w:tcW w:type="dxa" w:w="4153"/>
          </w:tcPr>
          <w:p>
            <w:pPr>
              <w:spacing w:after="0"/>
            </w:pPr>
            <w:r>
              <w:rPr>
                <w:sz w:val="18"/>
              </w:rPr>
              <w:t>Passwords</w:t>
            </w:r>
          </w:p>
        </w:tc>
        <w:tc>
          <w:tcPr>
            <w:tcW w:type="dxa" w:w="2338"/>
          </w:tcPr>
          <w:p>
            <w:pPr>
              <w:spacing w:after="0"/>
            </w:pPr>
            <w:r>
              <w:rPr>
                <w:sz w:val="18"/>
              </w:rPr>
              <w:t>Secret</w:t>
            </w:r>
          </w:p>
        </w:tc>
        <w:tc>
          <w:tcPr>
            <w:tcW w:type="dxa" w:w="2869"/>
          </w:tcPr>
          <w:p>
            <w:pPr>
              <w:spacing w:after="0"/>
            </w:pPr>
            <w:r>
              <w:rPr>
                <w:sz w:val="18"/>
              </w:rPr>
              <w:t>Firebase Auth only</w:t>
            </w:r>
          </w:p>
        </w:tc>
      </w:tr>
    </w:tbl>
    <w:p/>
    <w:p>
      <w:pPr>
        <w:pStyle w:val="Heading2"/>
        <w:numPr>
          <w:ilvl w:val="1"/>
          <w:numId w:val="9"/>
        </w:numPr>
      </w:pPr>
      <w:r>
        <w:t>Deployment and Runtime Design</w:t>
      </w:r>
    </w:p>
    <w:p>
      <w:r>
        <w:t>CivicLink has two runtime configurations built from the same code (Figure 28):</w:t>
      </w:r>
    </w:p>
    <w:p>
      <w:pPr>
        <w:pStyle w:val="BulletCompact"/>
        <w:numPr>
          <w:ilvl w:val="0"/>
          <w:numId w:val="8"/>
        </w:numPr>
      </w:pPr>
      <w:r>
        <w:rPr>
          <w:b/>
        </w:rPr>
        <w:t>Deployed (free tier):</w:t>
      </w:r>
      <w:r>
        <w:t xml:space="preserve"> the static web app and the Node command API run on </w:t>
      </w:r>
      <w:r>
        <w:rPr>
          <w:b/>
        </w:rPr>
        <w:t>Vercel</w:t>
      </w:r>
      <w:r>
        <w:t xml:space="preserve"> (serverless functions in the Cape Town region). Authentication and Firestore run on Firebase's free </w:t>
      </w:r>
      <w:r>
        <w:rPr>
          <w:b/>
        </w:rPr>
        <w:t>Spark</w:t>
      </w:r>
      <w:r>
        <w:t xml:space="preserve"> plan. The API uses a service-account key held in Vercel's encrypted environment. A GitHub Actions schedule calls the protected maintenance endpoint hourly, and Vercel Cron calls it daily. The deployed URL is given in Appendix 11.2.</w:t>
      </w:r>
    </w:p>
    <w:p>
      <w:pPr>
        <w:pStyle w:val="BulletCompact"/>
        <w:numPr>
          <w:ilvl w:val="0"/>
          <w:numId w:val="8"/>
        </w:numPr>
      </w:pPr>
      <w:r>
        <w:rPr>
          <w:b/>
        </w:rPr>
        <w:t>Local:</w:t>
      </w:r>
      <w:r>
        <w:t xml:space="preserve"> the web app runs on Vite. Auth, Firestore and Cloud Functions run in the Firebase Emulator Suite on one machine, with the same command registry served by the Cloud Functions adapter. This configuration is used for development, all automated tests and an offline demonstration.</w:t>
      </w:r>
    </w:p>
    <w:p>
      <w:r>
        <w:t>In both configurations the browser loads map tiles from OpenStreetMap over HTTPS.</w:t>
      </w:r>
    </w:p>
    <w:p>
      <w:pPr>
        <w:keepNext/>
        <w:jc w:val="center"/>
      </w:pPr>
      <w:r>
        <w:drawing>
          <wp:inline xmlns:a="http://schemas.openxmlformats.org/drawingml/2006/main" xmlns:pic="http://schemas.openxmlformats.org/drawingml/2006/picture">
            <wp:extent cx="5943600" cy="2591639"/>
            <wp:docPr id="30" name="Picture 30"/>
            <wp:cNvGraphicFramePr>
              <a:graphicFrameLocks noChangeAspect="1"/>
            </wp:cNvGraphicFramePr>
            <a:graphic>
              <a:graphicData uri="http://schemas.openxmlformats.org/drawingml/2006/picture">
                <pic:pic>
                  <pic:nvPicPr>
                    <pic:cNvPr id="0" name="deployment.png"/>
                    <pic:cNvPicPr/>
                  </pic:nvPicPr>
                  <pic:blipFill>
                    <a:blip r:embed="rId40"/>
                    <a:stretch>
                      <a:fillRect/>
                    </a:stretch>
                  </pic:blipFill>
                  <pic:spPr>
                    <a:xfrm>
                      <a:off x="0" y="0"/>
                      <a:ext cx="5943600" cy="2591639"/>
                    </a:xfrm>
                    <a:prstGeom prst="rect"/>
                  </pic:spPr>
                </pic:pic>
              </a:graphicData>
            </a:graphic>
          </wp:inline>
        </w:drawing>
      </w:r>
    </w:p>
    <w:p>
      <w:pPr>
        <w:pStyle w:val="Caption"/>
        <w:jc w:val="center"/>
      </w:pPr>
      <w:r>
        <w:t>Figure 28: Deployment diagram</w:t>
      </w:r>
    </w:p>
    <w:p>
      <w:pPr>
        <w:pStyle w:val="Heading1"/>
        <w:numPr>
          <w:ilvl w:val="0"/>
          <w:numId w:val="9"/>
        </w:numPr>
      </w:pPr>
      <w:r>
        <w:t>SYSTEM IMPLEMENTATION</w:t>
      </w:r>
    </w:p>
    <w:p>
      <w:pPr>
        <w:pStyle w:val="Heading2"/>
        <w:numPr>
          <w:ilvl w:val="1"/>
          <w:numId w:val="9"/>
        </w:numPr>
      </w:pPr>
      <w:r>
        <w:t>Codebase and Repository Structure</w:t>
      </w:r>
    </w:p>
    <w:p>
      <w:r>
        <w:t>The repository is an npm-workspaces monorepo. Each top-level folder corresponds to one component of the architecture in Figure 9.</w:t>
      </w:r>
    </w:p>
    <w:p>
      <w:pPr>
        <w:pStyle w:val="Caption"/>
        <w:keepNext/>
      </w:pPr>
      <w:r>
        <w:t>Table 13: Repository structure</w:t>
      </w:r>
    </w:p>
    <w:tbl>
      <w:tblPr>
        <w:tblStyle w:val="TableGrid"/>
        <w:tblW w:type="auto" w:w="0"/>
        <w:jc w:val="center"/>
        <w:tblLayout w:type="fixed"/>
        <w:tblLook w:firstColumn="1" w:firstRow="1" w:lastColumn="0" w:lastRow="0" w:noHBand="0" w:noVBand="1" w:val="04A0"/>
        <w:tblLayout w:type="fixed"/>
      </w:tblPr>
      <w:tblGrid>
        <w:gridCol w:w="3022"/>
        <w:gridCol w:w="2077"/>
        <w:gridCol w:w="4261"/>
      </w:tblGrid>
      <w:tr>
        <w:trPr>
          <w:tblHeader w:val="true"/>
        </w:trPr>
        <w:tc>
          <w:tcPr>
            <w:tcW w:type="dxa" w:w="3022"/>
            <w:shd w:val="clear" w:color="auto" w:fill="D5EBF4"/>
          </w:tcPr>
          <w:p>
            <w:pPr>
              <w:spacing w:after="0"/>
            </w:pPr>
            <w:r>
              <w:rPr>
                <w:b/>
                <w:sz w:val="18"/>
              </w:rPr>
              <w:t>Path</w:t>
            </w:r>
          </w:p>
        </w:tc>
        <w:tc>
          <w:tcPr>
            <w:tcW w:type="dxa" w:w="2077"/>
            <w:shd w:val="clear" w:color="auto" w:fill="D5EBF4"/>
          </w:tcPr>
          <w:p>
            <w:pPr>
              <w:spacing w:after="0"/>
            </w:pPr>
            <w:r>
              <w:rPr>
                <w:b/>
                <w:sz w:val="18"/>
              </w:rPr>
              <w:t>Architecture component</w:t>
            </w:r>
          </w:p>
        </w:tc>
        <w:tc>
          <w:tcPr>
            <w:tcW w:type="dxa" w:w="4261"/>
            <w:shd w:val="clear" w:color="auto" w:fill="D5EBF4"/>
          </w:tcPr>
          <w:p>
            <w:pPr>
              <w:spacing w:after="0"/>
            </w:pPr>
            <w:r>
              <w:rPr>
                <w:b/>
                <w:sz w:val="18"/>
              </w:rPr>
              <w:t>Contents</w:t>
            </w:r>
          </w:p>
        </w:tc>
      </w:tr>
      <w:tr>
        <w:tc>
          <w:tcPr>
            <w:tcW w:type="dxa" w:w="3022"/>
          </w:tcPr>
          <w:p>
            <w:pPr>
              <w:spacing w:after="0"/>
            </w:pPr>
            <w:r>
              <w:rPr>
                <w:rFonts w:ascii="Consolas" w:hAnsi="Consolas"/>
                <w:sz w:val="18"/>
              </w:rPr>
              <w:t>apps/web/</w:t>
            </w:r>
          </w:p>
        </w:tc>
        <w:tc>
          <w:tcPr>
            <w:tcW w:type="dxa" w:w="2077"/>
          </w:tcPr>
          <w:p>
            <w:pPr>
              <w:spacing w:after="0"/>
            </w:pPr>
            <w:r>
              <w:rPr>
                <w:sz w:val="18"/>
              </w:rPr>
              <w:t>Web application</w:t>
            </w:r>
          </w:p>
        </w:tc>
        <w:tc>
          <w:tcPr>
            <w:tcW w:type="dxa" w:w="4261"/>
          </w:tcPr>
          <w:p>
            <w:pPr>
              <w:spacing w:after="0"/>
            </w:pPr>
            <w:r>
              <w:rPr>
                <w:rFonts w:ascii="Consolas" w:hAnsi="Consolas"/>
                <w:sz w:val="18"/>
              </w:rPr>
              <w:t>src/pages/{auth,resident,official,worker,admin,common}</w:t>
            </w:r>
            <w:r>
              <w:rPr>
                <w:sz w:val="18"/>
              </w:rPr>
              <w:t xml:space="preserve">, </w:t>
            </w:r>
            <w:r>
              <w:rPr>
                <w:rFonts w:ascii="Consolas" w:hAnsi="Consolas"/>
                <w:sz w:val="18"/>
              </w:rPr>
              <w:t>src/components</w:t>
            </w:r>
            <w:r>
              <w:rPr>
                <w:sz w:val="18"/>
              </w:rPr>
              <w:t xml:space="preserve"> (UI kit, maps, timeline, notification bell), </w:t>
            </w:r>
            <w:r>
              <w:rPr>
                <w:rFonts w:ascii="Consolas" w:hAnsi="Consolas"/>
                <w:sz w:val="18"/>
              </w:rPr>
              <w:t>src/auth</w:t>
            </w:r>
            <w:r>
              <w:rPr>
                <w:sz w:val="18"/>
              </w:rPr>
              <w:t xml:space="preserve"> (AuthProvider, RequireRole), </w:t>
            </w:r>
            <w:r>
              <w:rPr>
                <w:rFonts w:ascii="Consolas" w:hAnsi="Consolas"/>
                <w:sz w:val="18"/>
              </w:rPr>
              <w:t>src/lib</w:t>
            </w:r>
            <w:r>
              <w:rPr>
                <w:sz w:val="18"/>
              </w:rPr>
              <w:t xml:space="preserve"> (Firebase setup, typed API client, live hooks, uploads)</w:t>
            </w:r>
          </w:p>
        </w:tc>
      </w:tr>
      <w:tr>
        <w:tc>
          <w:tcPr>
            <w:tcW w:type="dxa" w:w="3022"/>
          </w:tcPr>
          <w:p>
            <w:pPr>
              <w:spacing w:after="0"/>
            </w:pPr>
            <w:r>
              <w:rPr>
                <w:rFonts w:ascii="Consolas" w:hAnsi="Consolas"/>
                <w:sz w:val="18"/>
              </w:rPr>
              <w:t>functions/</w:t>
            </w:r>
          </w:p>
        </w:tc>
        <w:tc>
          <w:tcPr>
            <w:tcW w:type="dxa" w:w="2077"/>
          </w:tcPr>
          <w:p>
            <w:pPr>
              <w:spacing w:after="0"/>
            </w:pPr>
            <w:r>
              <w:rPr>
                <w:sz w:val="18"/>
              </w:rPr>
              <w:t>Command API and schedules</w:t>
            </w:r>
          </w:p>
        </w:tc>
        <w:tc>
          <w:tcPr>
            <w:tcW w:type="dxa" w:w="4261"/>
          </w:tcPr>
          <w:p>
            <w:pPr>
              <w:spacing w:after="0"/>
            </w:pPr>
            <w:r>
              <w:rPr>
                <w:rFonts w:ascii="Consolas" w:hAnsi="Consolas"/>
                <w:sz w:val="18"/>
              </w:rPr>
              <w:t>src/index.ts</w:t>
            </w:r>
            <w:r>
              <w:rPr>
                <w:sz w:val="18"/>
              </w:rPr>
              <w:t xml:space="preserve"> (callable and scheduled exports), </w:t>
            </w:r>
            <w:r>
              <w:rPr>
                <w:rFonts w:ascii="Consolas" w:hAnsi="Consolas"/>
                <w:sz w:val="18"/>
              </w:rPr>
              <w:t>src/lib/command.ts</w:t>
            </w:r>
            <w:r>
              <w:rPr>
                <w:sz w:val="18"/>
              </w:rPr>
              <w:t xml:space="preserve"> (auth/role/validation wrapper), </w:t>
            </w:r>
            <w:r>
              <w:rPr>
                <w:rFonts w:ascii="Consolas" w:hAnsi="Consolas"/>
                <w:sz w:val="18"/>
              </w:rPr>
              <w:t>src/services/*</w:t>
            </w:r>
            <w:r>
              <w:rPr>
                <w:sz w:val="18"/>
              </w:rPr>
              <w:t xml:space="preserve"> (business services), </w:t>
            </w:r>
            <w:r>
              <w:rPr>
                <w:rFonts w:ascii="Consolas" w:hAnsi="Consolas"/>
                <w:sz w:val="18"/>
              </w:rPr>
              <w:t>test/</w:t>
            </w:r>
            <w:r>
              <w:rPr>
                <w:sz w:val="18"/>
              </w:rPr>
              <w:t xml:space="preserve"> (integration tests)</w:t>
            </w:r>
          </w:p>
        </w:tc>
      </w:tr>
      <w:tr>
        <w:tc>
          <w:tcPr>
            <w:tcW w:type="dxa" w:w="3022"/>
          </w:tcPr>
          <w:p>
            <w:pPr>
              <w:spacing w:after="0"/>
            </w:pPr>
            <w:r>
              <w:rPr>
                <w:rFonts w:ascii="Consolas" w:hAnsi="Consolas"/>
                <w:sz w:val="18"/>
              </w:rPr>
              <w:t>packages/shared/</w:t>
            </w:r>
          </w:p>
        </w:tc>
        <w:tc>
          <w:tcPr>
            <w:tcW w:type="dxa" w:w="2077"/>
          </w:tcPr>
          <w:p>
            <w:pPr>
              <w:spacing w:after="0"/>
            </w:pPr>
            <w:r>
              <w:rPr>
                <w:sz w:val="18"/>
              </w:rPr>
              <w:t>Shared domain package</w:t>
            </w:r>
          </w:p>
        </w:tc>
        <w:tc>
          <w:tcPr>
            <w:tcW w:type="dxa" w:w="4261"/>
          </w:tcPr>
          <w:p>
            <w:pPr>
              <w:spacing w:after="0"/>
            </w:pPr>
            <w:r>
              <w:rPr>
                <w:rFonts w:ascii="Consolas" w:hAnsi="Consolas"/>
                <w:sz w:val="18"/>
              </w:rPr>
              <w:t>src/schemas.ts</w:t>
            </w:r>
            <w:r>
              <w:rPr>
                <w:sz w:val="18"/>
              </w:rPr>
              <w:t xml:space="preserve">, </w:t>
            </w:r>
            <w:r>
              <w:rPr>
                <w:rFonts w:ascii="Consolas" w:hAnsi="Consolas"/>
                <w:sz w:val="18"/>
              </w:rPr>
              <w:t>stateMachines.ts</w:t>
            </w:r>
            <w:r>
              <w:rPr>
                <w:sz w:val="18"/>
              </w:rPr>
              <w:t xml:space="preserve">, </w:t>
            </w:r>
            <w:r>
              <w:rPr>
                <w:rFonts w:ascii="Consolas" w:hAnsi="Consolas"/>
                <w:sz w:val="18"/>
              </w:rPr>
              <w:t>policies.ts</w:t>
            </w:r>
            <w:r>
              <w:rPr>
                <w:sz w:val="18"/>
              </w:rPr>
              <w:t xml:space="preserve">, </w:t>
            </w:r>
            <w:r>
              <w:rPr>
                <w:rFonts w:ascii="Consolas" w:hAnsi="Consolas"/>
                <w:sz w:val="18"/>
              </w:rPr>
              <w:t>analytics.ts</w:t>
            </w:r>
            <w:r>
              <w:rPr>
                <w:sz w:val="18"/>
              </w:rPr>
              <w:t xml:space="preserve">, </w:t>
            </w:r>
            <w:r>
              <w:rPr>
                <w:rFonts w:ascii="Consolas" w:hAnsi="Consolas"/>
                <w:sz w:val="18"/>
              </w:rPr>
              <w:t>models.ts</w:t>
            </w:r>
            <w:r>
              <w:rPr>
                <w:sz w:val="18"/>
              </w:rPr>
              <w:t xml:space="preserve">, </w:t>
            </w:r>
            <w:r>
              <w:rPr>
                <w:rFonts w:ascii="Consolas" w:hAnsi="Consolas"/>
                <w:sz w:val="18"/>
              </w:rPr>
              <w:t>constants.ts</w:t>
            </w:r>
            <w:r>
              <w:rPr>
                <w:sz w:val="18"/>
              </w:rPr>
              <w:t xml:space="preserve">; </w:t>
            </w:r>
            <w:r>
              <w:rPr>
                <w:rFonts w:ascii="Consolas" w:hAnsi="Consolas"/>
                <w:sz w:val="18"/>
              </w:rPr>
              <w:t>test/</w:t>
            </w:r>
            <w:r>
              <w:rPr>
                <w:sz w:val="18"/>
              </w:rPr>
              <w:t xml:space="preserve"> (unit tests)</w:t>
            </w:r>
          </w:p>
        </w:tc>
      </w:tr>
      <w:tr>
        <w:tc>
          <w:tcPr>
            <w:tcW w:type="dxa" w:w="3022"/>
          </w:tcPr>
          <w:p>
            <w:pPr>
              <w:spacing w:after="0"/>
            </w:pPr>
            <w:r>
              <w:rPr>
                <w:rFonts w:ascii="Consolas" w:hAnsi="Consolas"/>
                <w:sz w:val="18"/>
              </w:rPr>
              <w:t>firestore.rules</w:t>
            </w:r>
            <w:r>
              <w:rPr>
                <w:sz w:val="18"/>
              </w:rPr>
              <w:t xml:space="preserve">, </w:t>
            </w:r>
            <w:r>
              <w:rPr>
                <w:rFonts w:ascii="Consolas" w:hAnsi="Consolas"/>
                <w:sz w:val="18"/>
              </w:rPr>
              <w:t>firestore.indexes.json</w:t>
            </w:r>
          </w:p>
        </w:tc>
        <w:tc>
          <w:tcPr>
            <w:tcW w:type="dxa" w:w="2077"/>
          </w:tcPr>
          <w:p>
            <w:pPr>
              <w:spacing w:after="0"/>
            </w:pPr>
            <w:r>
              <w:rPr>
                <w:sz w:val="18"/>
              </w:rPr>
              <w:t>Access control and indexes</w:t>
            </w:r>
          </w:p>
        </w:tc>
        <w:tc>
          <w:tcPr>
            <w:tcW w:type="dxa" w:w="4261"/>
          </w:tcPr>
          <w:p>
            <w:pPr>
              <w:spacing w:after="0"/>
            </w:pPr>
            <w:r>
              <w:rPr>
                <w:sz w:val="18"/>
              </w:rPr>
              <w:t>Security Rules and composite indexes</w:t>
            </w:r>
          </w:p>
        </w:tc>
      </w:tr>
      <w:tr>
        <w:tc>
          <w:tcPr>
            <w:tcW w:type="dxa" w:w="3022"/>
          </w:tcPr>
          <w:p>
            <w:pPr>
              <w:spacing w:after="0"/>
            </w:pPr>
            <w:r>
              <w:rPr>
                <w:rFonts w:ascii="Consolas" w:hAnsi="Consolas"/>
                <w:sz w:val="18"/>
              </w:rPr>
              <w:t>api/</w:t>
            </w:r>
            <w:r>
              <w:rPr>
                <w:sz w:val="18"/>
              </w:rPr>
              <w:t xml:space="preserve">, </w:t>
            </w:r>
            <w:r>
              <w:rPr>
                <w:rFonts w:ascii="Consolas" w:hAnsi="Consolas"/>
                <w:sz w:val="18"/>
              </w:rPr>
              <w:t>vercel.json</w:t>
            </w:r>
            <w:r>
              <w:rPr>
                <w:sz w:val="18"/>
              </w:rPr>
              <w:t xml:space="preserve">, </w:t>
            </w:r>
            <w:r>
              <w:rPr>
                <w:rFonts w:ascii="Consolas" w:hAnsi="Consolas"/>
                <w:sz w:val="18"/>
              </w:rPr>
              <w:t>functions/src/http.ts</w:t>
            </w:r>
            <w:r>
              <w:rPr>
                <w:sz w:val="18"/>
              </w:rPr>
              <w:t xml:space="preserve">, </w:t>
            </w:r>
            <w:r>
              <w:rPr>
                <w:rFonts w:ascii="Consolas" w:hAnsi="Consolas"/>
                <w:sz w:val="18"/>
              </w:rPr>
              <w:t>functions/src/commands.ts</w:t>
            </w:r>
          </w:p>
        </w:tc>
        <w:tc>
          <w:tcPr>
            <w:tcW w:type="dxa" w:w="2077"/>
          </w:tcPr>
          <w:p>
            <w:pPr>
              <w:spacing w:after="0"/>
            </w:pPr>
            <w:r>
              <w:rPr>
                <w:sz w:val="18"/>
              </w:rPr>
              <w:t>Deployed API</w:t>
            </w:r>
          </w:p>
        </w:tc>
        <w:tc>
          <w:tcPr>
            <w:tcW w:type="dxa" w:w="4261"/>
          </w:tcPr>
          <w:p>
            <w:pPr>
              <w:spacing w:after="0"/>
            </w:pPr>
            <w:r>
              <w:rPr>
                <w:sz w:val="18"/>
              </w:rPr>
              <w:t>Vercel entry points; Node HTTP adapter; the single command registry shared with Cloud Functions</w:t>
            </w:r>
          </w:p>
        </w:tc>
      </w:tr>
      <w:tr>
        <w:tc>
          <w:tcPr>
            <w:tcW w:type="dxa" w:w="3022"/>
          </w:tcPr>
          <w:p>
            <w:pPr>
              <w:spacing w:after="0"/>
            </w:pPr>
            <w:r>
              <w:rPr>
                <w:rFonts w:ascii="Consolas" w:hAnsi="Consolas"/>
                <w:sz w:val="18"/>
              </w:rPr>
              <w:t>scripts/seed.ts</w:t>
            </w:r>
          </w:p>
        </w:tc>
        <w:tc>
          <w:tcPr>
            <w:tcW w:type="dxa" w:w="2077"/>
          </w:tcPr>
          <w:p>
            <w:pPr>
              <w:spacing w:after="0"/>
            </w:pPr>
            <w:r>
              <w:rPr>
                <w:sz w:val="18"/>
              </w:rPr>
              <w:t>Data initialisation</w:t>
            </w:r>
          </w:p>
        </w:tc>
        <w:tc>
          <w:tcPr>
            <w:tcW w:type="dxa" w:w="4261"/>
          </w:tcPr>
          <w:p>
            <w:pPr>
              <w:spacing w:after="0"/>
            </w:pPr>
            <w:r>
              <w:rPr>
                <w:sz w:val="18"/>
              </w:rPr>
              <w:t>Deterministic demonstration data</w:t>
            </w:r>
          </w:p>
        </w:tc>
      </w:tr>
      <w:tr>
        <w:tc>
          <w:tcPr>
            <w:tcW w:type="dxa" w:w="3022"/>
          </w:tcPr>
          <w:p>
            <w:pPr>
              <w:spacing w:after="0"/>
            </w:pPr>
            <w:r>
              <w:rPr>
                <w:rFonts w:ascii="Consolas" w:hAnsi="Consolas"/>
                <w:sz w:val="18"/>
              </w:rPr>
              <w:t>tests/rules</w:t>
            </w:r>
            <w:r>
              <w:rPr>
                <w:sz w:val="18"/>
              </w:rPr>
              <w:t xml:space="preserve">, </w:t>
            </w:r>
            <w:r>
              <w:rPr>
                <w:rFonts w:ascii="Consolas" w:hAnsi="Consolas"/>
                <w:sz w:val="18"/>
              </w:rPr>
              <w:t>tests/e2e</w:t>
            </w:r>
            <w:r>
              <w:rPr>
                <w:sz w:val="18"/>
              </w:rPr>
              <w:t xml:space="preserve">, </w:t>
            </w:r>
            <w:r>
              <w:rPr>
                <w:rFonts w:ascii="Consolas" w:hAnsi="Consolas"/>
                <w:sz w:val="18"/>
              </w:rPr>
              <w:t>tests/evidence</w:t>
            </w:r>
            <w:r>
              <w:rPr>
                <w:sz w:val="18"/>
              </w:rPr>
              <w:t xml:space="preserve">, </w:t>
            </w:r>
            <w:r>
              <w:rPr>
                <w:rFonts w:ascii="Consolas" w:hAnsi="Consolas"/>
                <w:sz w:val="18"/>
              </w:rPr>
              <w:t>tests/support</w:t>
            </w:r>
          </w:p>
        </w:tc>
        <w:tc>
          <w:tcPr>
            <w:tcW w:type="dxa" w:w="2077"/>
          </w:tcPr>
          <w:p>
            <w:pPr>
              <w:spacing w:after="0"/>
            </w:pPr>
            <w:r>
              <w:rPr>
                <w:sz w:val="18"/>
              </w:rPr>
              <w:t>Verification</w:t>
            </w:r>
          </w:p>
        </w:tc>
        <w:tc>
          <w:tcPr>
            <w:tcW w:type="dxa" w:w="4261"/>
          </w:tcPr>
          <w:p>
            <w:pPr>
              <w:spacing w:after="0"/>
            </w:pPr>
            <w:r>
              <w:rPr>
                <w:sz w:val="18"/>
              </w:rPr>
              <w:t>Rules tests, Playwright tests, screenshot capture, emulator harness</w:t>
            </w:r>
          </w:p>
        </w:tc>
      </w:tr>
      <w:tr>
        <w:tc>
          <w:tcPr>
            <w:tcW w:type="dxa" w:w="3022"/>
          </w:tcPr>
          <w:p>
            <w:pPr>
              <w:spacing w:after="0"/>
            </w:pPr>
            <w:r>
              <w:rPr>
                <w:rFonts w:ascii="Consolas" w:hAnsi="Consolas"/>
                <w:sz w:val="18"/>
              </w:rPr>
              <w:t>docs/</w:t>
            </w:r>
          </w:p>
        </w:tc>
        <w:tc>
          <w:tcPr>
            <w:tcW w:type="dxa" w:w="2077"/>
          </w:tcPr>
          <w:p>
            <w:pPr>
              <w:spacing w:after="0"/>
            </w:pPr>
            <w:r>
              <w:rPr>
                <w:sz w:val="18"/>
              </w:rPr>
              <w:t>Documentation</w:t>
            </w:r>
          </w:p>
        </w:tc>
        <w:tc>
          <w:tcPr>
            <w:tcW w:type="dxa" w:w="4261"/>
          </w:tcPr>
          <w:p>
            <w:pPr>
              <w:spacing w:after="0"/>
            </w:pPr>
            <w:r>
              <w:rPr>
                <w:sz w:val="18"/>
              </w:rPr>
              <w:t>Baseline SRS, change log, ADRs, diagrams (source and rendered), traceability matrix, test catalogue, defect log, evidence, report</w:t>
            </w:r>
          </w:p>
        </w:tc>
      </w:tr>
    </w:tbl>
    <w:p/>
    <w:p>
      <w:r>
        <w:t xml:space="preserve">The principal dependency and build files are the root </w:t>
      </w:r>
      <w:r>
        <w:rPr>
          <w:rFonts w:ascii="Consolas" w:hAnsi="Consolas"/>
          <w:sz w:val="18"/>
        </w:rPr>
        <w:t>package.json</w:t>
      </w:r>
      <w:r>
        <w:t xml:space="preserve"> (workspaces, scripts), the per-workspace </w:t>
      </w:r>
      <w:r>
        <w:rPr>
          <w:rFonts w:ascii="Consolas" w:hAnsi="Consolas"/>
          <w:sz w:val="18"/>
        </w:rPr>
        <w:t>package.json</w:t>
      </w:r>
      <w:r>
        <w:t xml:space="preserve"> files, </w:t>
      </w:r>
      <w:r>
        <w:rPr>
          <w:rFonts w:ascii="Consolas" w:hAnsi="Consolas"/>
          <w:sz w:val="18"/>
        </w:rPr>
        <w:t>package-lock.json</w:t>
      </w:r>
      <w:r>
        <w:t xml:space="preserve">, </w:t>
      </w:r>
      <w:r>
        <w:rPr>
          <w:rFonts w:ascii="Consolas" w:hAnsi="Consolas"/>
          <w:sz w:val="18"/>
        </w:rPr>
        <w:t>firebase.json</w:t>
      </w:r>
      <w:r>
        <w:t xml:space="preserve"> (emulators, hosting, functions), </w:t>
      </w:r>
      <w:r>
        <w:rPr>
          <w:rFonts w:ascii="Consolas" w:hAnsi="Consolas"/>
          <w:sz w:val="18"/>
        </w:rPr>
        <w:t>tsconfig.base.json</w:t>
      </w:r>
      <w:r>
        <w:t xml:space="preserve">, </w:t>
      </w:r>
      <w:r>
        <w:rPr>
          <w:rFonts w:ascii="Consolas" w:hAnsi="Consolas"/>
          <w:sz w:val="18"/>
        </w:rPr>
        <w:t>vitest.config.ts</w:t>
      </w:r>
      <w:r>
        <w:t xml:space="preserve">, </w:t>
      </w:r>
      <w:r>
        <w:rPr>
          <w:rFonts w:ascii="Consolas" w:hAnsi="Consolas"/>
          <w:sz w:val="18"/>
        </w:rPr>
        <w:t>playwright.config.ts</w:t>
      </w:r>
      <w:r>
        <w:t xml:space="preserve">, </w:t>
      </w:r>
      <w:r>
        <w:rPr>
          <w:rFonts w:ascii="Consolas" w:hAnsi="Consolas"/>
          <w:sz w:val="18"/>
        </w:rPr>
        <w:t>eslint.config.js</w:t>
      </w:r>
      <w:r>
        <w:t xml:space="preserve"> and </w:t>
      </w:r>
      <w:r>
        <w:rPr>
          <w:rFonts w:ascii="Consolas" w:hAnsi="Consolas"/>
          <w:sz w:val="18"/>
        </w:rPr>
        <w:t>.github/workflows/ci.yml</w:t>
      </w:r>
      <w:r>
        <w:t>. Cloud Functions are bundled with esbuild, so the shared package is included in the deployable artefact.</w:t>
      </w:r>
    </w:p>
    <w:p>
      <w:pPr>
        <w:pStyle w:val="Heading2"/>
        <w:numPr>
          <w:ilvl w:val="1"/>
          <w:numId w:val="9"/>
        </w:numPr>
      </w:pPr>
      <w:r>
        <w:t>Implementation of Core Capabilities</w:t>
      </w:r>
    </w:p>
    <w:p>
      <w:pPr>
        <w:pStyle w:val="Caption"/>
        <w:keepNext/>
      </w:pPr>
      <w:r>
        <w:t>Table 14: Capability implementation</w:t>
      </w:r>
    </w:p>
    <w:tbl>
      <w:tblPr>
        <w:tblStyle w:val="TableGrid"/>
        <w:tblW w:type="auto" w:w="0"/>
        <w:jc w:val="center"/>
        <w:tblLayout w:type="fixed"/>
        <w:tblLook w:firstColumn="1" w:firstRow="1" w:lastColumn="0" w:lastRow="0" w:noHBand="0" w:noVBand="1" w:val="04A0"/>
        <w:tblLayout w:type="fixed"/>
      </w:tblPr>
      <w:tblGrid>
        <w:gridCol w:w="2098"/>
        <w:gridCol w:w="2036"/>
        <w:gridCol w:w="5226"/>
      </w:tblGrid>
      <w:tr>
        <w:trPr>
          <w:tblHeader w:val="true"/>
        </w:trPr>
        <w:tc>
          <w:tcPr>
            <w:tcW w:type="dxa" w:w="2098"/>
            <w:shd w:val="clear" w:color="auto" w:fill="D5EBF4"/>
          </w:tcPr>
          <w:p>
            <w:pPr>
              <w:spacing w:after="0"/>
            </w:pPr>
            <w:r>
              <w:rPr>
                <w:b/>
                <w:sz w:val="18"/>
              </w:rPr>
              <w:t>Capability</w:t>
            </w:r>
          </w:p>
        </w:tc>
        <w:tc>
          <w:tcPr>
            <w:tcW w:type="dxa" w:w="2036"/>
            <w:shd w:val="clear" w:color="auto" w:fill="D5EBF4"/>
          </w:tcPr>
          <w:p>
            <w:pPr>
              <w:spacing w:after="0"/>
            </w:pPr>
            <w:r>
              <w:rPr>
                <w:b/>
                <w:sz w:val="18"/>
              </w:rPr>
              <w:t>Requirement(s)</w:t>
            </w:r>
          </w:p>
        </w:tc>
        <w:tc>
          <w:tcPr>
            <w:tcW w:type="dxa" w:w="5226"/>
            <w:shd w:val="clear" w:color="auto" w:fill="D5EBF4"/>
          </w:tcPr>
          <w:p>
            <w:pPr>
              <w:spacing w:after="0"/>
            </w:pPr>
            <w:r>
              <w:rPr>
                <w:b/>
                <w:sz w:val="18"/>
              </w:rPr>
              <w:t>Main implementation components</w:t>
            </w:r>
          </w:p>
        </w:tc>
      </w:tr>
      <w:tr>
        <w:tc>
          <w:tcPr>
            <w:tcW w:type="dxa" w:w="2098"/>
          </w:tcPr>
          <w:p>
            <w:pPr>
              <w:spacing w:after="0"/>
            </w:pPr>
            <w:r>
              <w:rPr>
                <w:sz w:val="18"/>
              </w:rPr>
              <w:t>Register and sign in</w:t>
            </w:r>
          </w:p>
        </w:tc>
        <w:tc>
          <w:tcPr>
            <w:tcW w:type="dxa" w:w="2036"/>
          </w:tcPr>
          <w:p>
            <w:pPr>
              <w:spacing w:after="0"/>
            </w:pPr>
            <w:r>
              <w:rPr>
                <w:sz w:val="18"/>
              </w:rPr>
              <w:t>FR-01, FR-02</w:t>
            </w:r>
          </w:p>
        </w:tc>
        <w:tc>
          <w:tcPr>
            <w:tcW w:type="dxa" w:w="5226"/>
          </w:tcPr>
          <w:p>
            <w:pPr>
              <w:spacing w:after="0"/>
            </w:pPr>
            <w:r>
              <w:rPr>
                <w:sz w:val="18"/>
              </w:rPr>
              <w:t xml:space="preserve">RegisterPage, LoginPage, AuthProvider, RequireRole; </w:t>
            </w:r>
            <w:r>
              <w:rPr>
                <w:rFonts w:ascii="Consolas" w:hAnsi="Consolas"/>
                <w:sz w:val="18"/>
              </w:rPr>
              <w:t>registerResident</w:t>
            </w:r>
            <w:r>
              <w:rPr>
                <w:sz w:val="18"/>
              </w:rPr>
              <w:t xml:space="preserve"> → UserService; </w:t>
            </w:r>
            <w:r>
              <w:rPr>
                <w:rFonts w:ascii="Consolas" w:hAnsi="Consolas"/>
                <w:sz w:val="18"/>
              </w:rPr>
              <w:t>command()</w:t>
            </w:r>
            <w:r>
              <w:rPr>
                <w:sz w:val="18"/>
              </w:rPr>
              <w:t>/</w:t>
            </w:r>
            <w:r>
              <w:rPr>
                <w:rFonts w:ascii="Consolas" w:hAnsi="Consolas"/>
                <w:sz w:val="18"/>
              </w:rPr>
              <w:t>loadActor</w:t>
            </w:r>
            <w:r>
              <w:rPr>
                <w:sz w:val="18"/>
              </w:rPr>
              <w:t>; users, Auth claims</w:t>
            </w:r>
          </w:p>
        </w:tc>
      </w:tr>
      <w:tr>
        <w:tc>
          <w:tcPr>
            <w:tcW w:type="dxa" w:w="2098"/>
          </w:tcPr>
          <w:p>
            <w:pPr>
              <w:spacing w:after="0"/>
            </w:pPr>
            <w:r>
              <w:rPr>
                <w:sz w:val="18"/>
              </w:rPr>
              <w:t>Submit report with duplicate detection</w:t>
            </w:r>
          </w:p>
        </w:tc>
        <w:tc>
          <w:tcPr>
            <w:tcW w:type="dxa" w:w="2036"/>
          </w:tcPr>
          <w:p>
            <w:pPr>
              <w:spacing w:after="0"/>
            </w:pPr>
            <w:r>
              <w:rPr>
                <w:sz w:val="18"/>
              </w:rPr>
              <w:t>FR-03–FR-05</w:t>
            </w:r>
          </w:p>
        </w:tc>
        <w:tc>
          <w:tcPr>
            <w:tcW w:type="dxa" w:w="5226"/>
          </w:tcPr>
          <w:p>
            <w:pPr>
              <w:spacing w:after="0"/>
            </w:pPr>
            <w:r>
              <w:rPr>
                <w:sz w:val="18"/>
              </w:rPr>
              <w:t xml:space="preserve">NewReportPage, LocationPicker, upload.ts; </w:t>
            </w:r>
            <w:r>
              <w:rPr>
                <w:rFonts w:ascii="Consolas" w:hAnsi="Consolas"/>
                <w:sz w:val="18"/>
              </w:rPr>
              <w:t>submitReport</w:t>
            </w:r>
            <w:r>
              <w:rPr>
                <w:sz w:val="18"/>
              </w:rPr>
              <w:t xml:space="preserve"> → ReportService.submit (TX-1), DuplicatePolicy, formatReference; reports, history, publicReports, counters, photos (photoService: decode, size, type sniffing)</w:t>
            </w:r>
          </w:p>
        </w:tc>
      </w:tr>
      <w:tr>
        <w:tc>
          <w:tcPr>
            <w:tcW w:type="dxa" w:w="2098"/>
          </w:tcPr>
          <w:p>
            <w:pPr>
              <w:spacing w:after="0"/>
            </w:pPr>
            <w:r>
              <w:rPr>
                <w:sz w:val="18"/>
              </w:rPr>
              <w:t>Track reports</w:t>
            </w:r>
          </w:p>
        </w:tc>
        <w:tc>
          <w:tcPr>
            <w:tcW w:type="dxa" w:w="2036"/>
          </w:tcPr>
          <w:p>
            <w:pPr>
              <w:spacing w:after="0"/>
            </w:pPr>
            <w:r>
              <w:rPr>
                <w:sz w:val="18"/>
              </w:rPr>
              <w:t>FR-06, FR-15</w:t>
            </w:r>
          </w:p>
        </w:tc>
        <w:tc>
          <w:tcPr>
            <w:tcW w:type="dxa" w:w="5226"/>
          </w:tcPr>
          <w:p>
            <w:pPr>
              <w:spacing w:after="0"/>
            </w:pPr>
            <w:r>
              <w:rPr>
                <w:sz w:val="18"/>
              </w:rPr>
              <w:t>MyReportsPage, ResidentReportPage, Timeline, NotificationBell, useLiveQuery/useLiveDoc listeners; reports, history, notifications</w:t>
            </w:r>
          </w:p>
        </w:tc>
      </w:tr>
      <w:tr>
        <w:tc>
          <w:tcPr>
            <w:tcW w:type="dxa" w:w="2098"/>
          </w:tcPr>
          <w:p>
            <w:pPr>
              <w:spacing w:after="0"/>
            </w:pPr>
            <w:r>
              <w:rPr>
                <w:sz w:val="18"/>
              </w:rPr>
              <w:t>Triage and dispatch</w:t>
            </w:r>
          </w:p>
        </w:tc>
        <w:tc>
          <w:tcPr>
            <w:tcW w:type="dxa" w:w="2036"/>
          </w:tcPr>
          <w:p>
            <w:pPr>
              <w:spacing w:after="0"/>
            </w:pPr>
            <w:r>
              <w:rPr>
                <w:sz w:val="18"/>
              </w:rPr>
              <w:t>FR-08–FR-10, FR-12, FR-13</w:t>
            </w:r>
          </w:p>
        </w:tc>
        <w:tc>
          <w:tcPr>
            <w:tcW w:type="dxa" w:w="5226"/>
          </w:tcPr>
          <w:p>
            <w:pPr>
              <w:spacing w:after="0"/>
            </w:pPr>
            <w:r>
              <w:rPr>
                <w:sz w:val="18"/>
              </w:rPr>
              <w:t>ReportQueuePage, OfficialReportPage; ReportService.triage/reject/assign (TX-2)/reassign/escalate; applyTransition; tasks, reports, history</w:t>
            </w:r>
          </w:p>
        </w:tc>
      </w:tr>
      <w:tr>
        <w:tc>
          <w:tcPr>
            <w:tcW w:type="dxa" w:w="2098"/>
          </w:tcPr>
          <w:p>
            <w:pPr>
              <w:spacing w:after="0"/>
            </w:pPr>
            <w:r>
              <w:rPr>
                <w:sz w:val="18"/>
              </w:rPr>
              <w:t>Field completion</w:t>
            </w:r>
          </w:p>
        </w:tc>
        <w:tc>
          <w:tcPr>
            <w:tcW w:type="dxa" w:w="2036"/>
          </w:tcPr>
          <w:p>
            <w:pPr>
              <w:spacing w:after="0"/>
            </w:pPr>
            <w:r>
              <w:rPr>
                <w:sz w:val="18"/>
              </w:rPr>
              <w:t>FR-11</w:t>
            </w:r>
          </w:p>
        </w:tc>
        <w:tc>
          <w:tcPr>
            <w:tcW w:type="dxa" w:w="5226"/>
          </w:tcPr>
          <w:p>
            <w:pPr>
              <w:spacing w:after="0"/>
            </w:pPr>
            <w:r>
              <w:rPr>
                <w:sz w:val="18"/>
              </w:rPr>
              <w:t xml:space="preserve">WorkerHome, TaskPage; </w:t>
            </w:r>
            <w:r>
              <w:rPr>
                <w:rFonts w:ascii="Consolas" w:hAnsi="Consolas"/>
                <w:sz w:val="18"/>
              </w:rPr>
              <w:t>updateTask</w:t>
            </w:r>
            <w:r>
              <w:rPr>
                <w:sz w:val="18"/>
              </w:rPr>
              <w:t xml:space="preserve">, </w:t>
            </w:r>
            <w:r>
              <w:rPr>
                <w:rFonts w:ascii="Consolas" w:hAnsi="Consolas"/>
                <w:sz w:val="18"/>
              </w:rPr>
              <w:t>completeTask</w:t>
            </w:r>
            <w:r>
              <w:rPr>
                <w:sz w:val="18"/>
              </w:rPr>
              <w:t xml:space="preserve"> → TaskService (TX-3), TaskStateMachine; tasks, reports, photos</w:t>
            </w:r>
          </w:p>
        </w:tc>
      </w:tr>
      <w:tr>
        <w:tc>
          <w:tcPr>
            <w:tcW w:type="dxa" w:w="2098"/>
          </w:tcPr>
          <w:p>
            <w:pPr>
              <w:spacing w:after="0"/>
            </w:pPr>
            <w:r>
              <w:rPr>
                <w:sz w:val="18"/>
              </w:rPr>
              <w:t>Confirm, reopen, SLA</w:t>
            </w:r>
          </w:p>
        </w:tc>
        <w:tc>
          <w:tcPr>
            <w:tcW w:type="dxa" w:w="2036"/>
          </w:tcPr>
          <w:p>
            <w:pPr>
              <w:spacing w:after="0"/>
            </w:pPr>
            <w:r>
              <w:rPr>
                <w:sz w:val="18"/>
              </w:rPr>
              <w:t>FR-13, FR-14</w:t>
            </w:r>
          </w:p>
        </w:tc>
        <w:tc>
          <w:tcPr>
            <w:tcW w:type="dxa" w:w="5226"/>
          </w:tcPr>
          <w:p>
            <w:pPr>
              <w:spacing w:after="0"/>
            </w:pPr>
            <w:r>
              <w:rPr>
                <w:sz w:val="18"/>
              </w:rPr>
              <w:t xml:space="preserve">ResidentReportPage; ReportService.confirm/reopen; MaintenanceService with </w:t>
            </w:r>
            <w:r>
              <w:rPr>
                <w:rFonts w:ascii="Consolas" w:hAnsi="Consolas"/>
                <w:sz w:val="18"/>
              </w:rPr>
              <w:t>escalateOverdue</w:t>
            </w:r>
            <w:r>
              <w:rPr>
                <w:sz w:val="18"/>
              </w:rPr>
              <w:t xml:space="preserve"> and </w:t>
            </w:r>
            <w:r>
              <w:rPr>
                <w:rFonts w:ascii="Consolas" w:hAnsi="Consolas"/>
                <w:sz w:val="18"/>
              </w:rPr>
              <w:t>autoCloseResolved</w:t>
            </w:r>
            <w:r>
              <w:rPr>
                <w:sz w:val="18"/>
              </w:rPr>
              <w:t xml:space="preserve"> schedules and admin </w:t>
            </w:r>
            <w:r>
              <w:rPr>
                <w:rFonts w:ascii="Consolas" w:hAnsi="Consolas"/>
                <w:sz w:val="18"/>
              </w:rPr>
              <w:t>runMaintenance</w:t>
            </w:r>
          </w:p>
        </w:tc>
      </w:tr>
      <w:tr>
        <w:tc>
          <w:tcPr>
            <w:tcW w:type="dxa" w:w="2098"/>
          </w:tcPr>
          <w:p>
            <w:pPr>
              <w:spacing w:after="0"/>
            </w:pPr>
            <w:r>
              <w:rPr>
                <w:sz w:val="18"/>
              </w:rPr>
              <w:t>Alerts</w:t>
            </w:r>
          </w:p>
        </w:tc>
        <w:tc>
          <w:tcPr>
            <w:tcW w:type="dxa" w:w="2036"/>
          </w:tcPr>
          <w:p>
            <w:pPr>
              <w:spacing w:after="0"/>
            </w:pPr>
            <w:r>
              <w:rPr>
                <w:sz w:val="18"/>
              </w:rPr>
              <w:t>FR-16–FR-18</w:t>
            </w:r>
          </w:p>
        </w:tc>
        <w:tc>
          <w:tcPr>
            <w:tcW w:type="dxa" w:w="5226"/>
          </w:tcPr>
          <w:p>
            <w:pPr>
              <w:spacing w:after="0"/>
            </w:pPr>
            <w:r>
              <w:rPr>
                <w:sz w:val="18"/>
              </w:rPr>
              <w:t>NewAlertPage, AlertsAdminPage, AlertsFeedPage, useResidentAlerts; AlertService; alerts, recipients</w:t>
            </w:r>
          </w:p>
        </w:tc>
      </w:tr>
      <w:tr>
        <w:tc>
          <w:tcPr>
            <w:tcW w:type="dxa" w:w="2098"/>
          </w:tcPr>
          <w:p>
            <w:pPr>
              <w:spacing w:after="0"/>
            </w:pPr>
            <w:r>
              <w:rPr>
                <w:sz w:val="18"/>
              </w:rPr>
              <w:t>Accounts</w:t>
            </w:r>
          </w:p>
        </w:tc>
        <w:tc>
          <w:tcPr>
            <w:tcW w:type="dxa" w:w="2036"/>
          </w:tcPr>
          <w:p>
            <w:pPr>
              <w:spacing w:after="0"/>
            </w:pPr>
            <w:r>
              <w:rPr>
                <w:sz w:val="18"/>
              </w:rPr>
              <w:t>FR-01, FR-02, FR-29–FR-32</w:t>
            </w:r>
          </w:p>
        </w:tc>
        <w:tc>
          <w:tcPr>
            <w:tcW w:type="dxa" w:w="5226"/>
          </w:tcPr>
          <w:p>
            <w:pPr>
              <w:spacing w:after="0"/>
            </w:pPr>
            <w:r>
              <w:rPr>
                <w:sz w:val="18"/>
              </w:rPr>
              <w:t xml:space="preserve">LoginPage, RegisterPage, WelcomePage, ProfilePage, AuthProvider (Google popup, password reset); </w:t>
            </w:r>
            <w:r>
              <w:rPr>
                <w:rFonts w:ascii="Consolas" w:hAnsi="Consolas"/>
                <w:sz w:val="18"/>
              </w:rPr>
              <w:t>registerResident</w:t>
            </w:r>
            <w:r>
              <w:rPr>
                <w:sz w:val="18"/>
              </w:rPr>
              <w:t xml:space="preserve">, </w:t>
            </w:r>
            <w:r>
              <w:rPr>
                <w:rFonts w:ascii="Consolas" w:hAnsi="Consolas"/>
                <w:sz w:val="18"/>
              </w:rPr>
              <w:t>completeProfile</w:t>
            </w:r>
            <w:r>
              <w:rPr>
                <w:sz w:val="18"/>
              </w:rPr>
              <w:t xml:space="preserve">, </w:t>
            </w:r>
            <w:r>
              <w:rPr>
                <w:rFonts w:ascii="Consolas" w:hAnsi="Consolas"/>
                <w:sz w:val="18"/>
              </w:rPr>
              <w:t>updateProfile</w:t>
            </w:r>
            <w:r>
              <w:rPr>
                <w:sz w:val="18"/>
              </w:rPr>
              <w:t xml:space="preserve">, </w:t>
            </w:r>
            <w:r>
              <w:rPr>
                <w:rFonts w:ascii="Consolas" w:hAnsi="Consolas"/>
                <w:sz w:val="18"/>
              </w:rPr>
              <w:t>deleteMyAccount</w:t>
            </w:r>
            <w:r>
              <w:rPr>
                <w:sz w:val="18"/>
              </w:rPr>
              <w:t xml:space="preserve"> → UserService; users, Auth claims, photos</w:t>
            </w:r>
          </w:p>
        </w:tc>
      </w:tr>
      <w:tr>
        <w:tc>
          <w:tcPr>
            <w:tcW w:type="dxa" w:w="2098"/>
          </w:tcPr>
          <w:p>
            <w:pPr>
              <w:spacing w:after="0"/>
            </w:pPr>
            <w:r>
              <w:rPr>
                <w:sz w:val="18"/>
              </w:rPr>
              <w:t>Insight and administration</w:t>
            </w:r>
          </w:p>
        </w:tc>
        <w:tc>
          <w:tcPr>
            <w:tcW w:type="dxa" w:w="2036"/>
          </w:tcPr>
          <w:p>
            <w:pPr>
              <w:spacing w:after="0"/>
            </w:pPr>
            <w:r>
              <w:rPr>
                <w:sz w:val="18"/>
              </w:rPr>
              <w:t>FR-19–FR-23, FR-26</w:t>
            </w:r>
          </w:p>
        </w:tc>
        <w:tc>
          <w:tcPr>
            <w:tcW w:type="dxa" w:w="5226"/>
          </w:tcPr>
          <w:p>
            <w:pPr>
              <w:spacing w:after="0"/>
            </w:pPr>
            <w:r>
              <w:rPr>
                <w:sz w:val="18"/>
              </w:rPr>
              <w:t>AnalyticsPage → AnalyticsService → computeAnalytics; UsersPage → UserService; ConfigPage → ConfigService; LogsPage, logService; CommentService; toCsv</w:t>
            </w:r>
          </w:p>
        </w:tc>
      </w:tr>
    </w:tbl>
    <w:p/>
    <w:p>
      <w:r>
        <w:rPr>
          <w:b/>
        </w:rPr>
        <w:t>Validation.</w:t>
      </w:r>
      <w:r>
        <w:t xml:space="preserve"> Forms validate on the client with the same Zod schemas the server uses, and show field-level messages that clear as the user corrects them. The </w:t>
      </w:r>
      <w:r>
        <w:rPr>
          <w:rFonts w:ascii="Consolas" w:hAnsi="Consolas"/>
          <w:sz w:val="18"/>
        </w:rPr>
        <w:t>command()</w:t>
      </w:r>
      <w:r>
        <w:t xml:space="preserve"> wrapper validates every request again and returns </w:t>
      </w:r>
      <w:r>
        <w:rPr>
          <w:rFonts w:ascii="Consolas" w:hAnsi="Consolas"/>
          <w:sz w:val="18"/>
        </w:rPr>
        <w:t>invalid-argument</w:t>
      </w:r>
      <w:r>
        <w:t xml:space="preserve"> with a </w:t>
      </w:r>
      <w:r>
        <w:rPr>
          <w:rFonts w:ascii="Consolas" w:hAnsi="Consolas"/>
          <w:sz w:val="18"/>
        </w:rPr>
        <w:t>fields</w:t>
      </w:r>
      <w:r>
        <w:t xml:space="preserve"> map, which the client displays against the matching inputs.</w:t>
      </w:r>
    </w:p>
    <w:p>
      <w:r>
        <w:rPr>
          <w:b/>
        </w:rPr>
        <w:t>Business-rule enforcement.</w:t>
      </w:r>
      <w:r>
        <w:t xml:space="preserve"> Status changes go through a single function, </w:t>
      </w:r>
      <w:r>
        <w:rPr>
          <w:rFonts w:ascii="Consolas" w:hAnsi="Consolas"/>
          <w:sz w:val="18"/>
        </w:rPr>
        <w:t>applyTransition</w:t>
      </w:r>
      <w:r>
        <w:t xml:space="preserve">. It calls </w:t>
      </w:r>
      <w:r>
        <w:rPr>
          <w:rFonts w:ascii="Consolas" w:hAnsi="Consolas"/>
          <w:sz w:val="18"/>
        </w:rPr>
        <w:t>ReportStateMachine.next(from, event, actor)</w:t>
      </w:r>
      <w:r>
        <w:t>, which throws for invalid transitions or actors. It then updates the report, appends a history entry, updates the public projection and creates notifications, all within the caller's transaction. Rules that need a database read are re-checked inside the transaction, so a concurrent change causes a retry rather than a violation. Examples are BR-06 (</w:t>
      </w:r>
      <w:r>
        <w:rPr>
          <w:rFonts w:ascii="Consolas" w:hAnsi="Consolas"/>
          <w:sz w:val="18"/>
        </w:rPr>
        <w:t>activeTaskId</w:t>
      </w:r>
      <w:r>
        <w:t>), BR-07 (worker eligibility) and BR-03 (duplicate candidates).</w:t>
      </w:r>
    </w:p>
    <w:p>
      <w:r>
        <w:rPr>
          <w:b/>
        </w:rPr>
        <w:t>Duplicate detection (BR-03).</w:t>
      </w:r>
      <w:r>
        <w:t xml:space="preserve"> Each report stores a geohash. Submission queries the geohash ranges covering a 100 m radius (geofire-common) inside the transaction. The candidates are filtered by </w:t>
      </w:r>
      <w:r>
        <w:rPr>
          <w:rFonts w:ascii="Consolas" w:hAnsi="Consolas"/>
          <w:sz w:val="18"/>
        </w:rPr>
        <w:t>DuplicatePolicy</w:t>
      </w:r>
      <w:r>
        <w:t xml:space="preserve"> (same category, open status, at most 72 hours old, exact haversine distance at most 100 m), and the closest match is chosen.</w:t>
      </w:r>
    </w:p>
    <w:p>
      <w:r>
        <w:rPr>
          <w:b/>
        </w:rPr>
        <w:t>Error handling.</w:t>
      </w:r>
      <w:r>
        <w:t xml:space="preserve"> Expected failures are raised as typed </w:t>
      </w:r>
      <w:r>
        <w:rPr>
          <w:rFonts w:ascii="Consolas" w:hAnsi="Consolas"/>
          <w:sz w:val="18"/>
        </w:rPr>
        <w:t>DomainError</w:t>
      </w:r>
      <w:r>
        <w:t>s or state-machine errors and mapped to callable error codes (</w:t>
      </w:r>
      <w:r>
        <w:rPr>
          <w:rFonts w:ascii="Consolas" w:hAnsi="Consolas"/>
          <w:sz w:val="18"/>
        </w:rPr>
        <w:t>invalid-argument</w:t>
      </w:r>
      <w:r>
        <w:t xml:space="preserve">, </w:t>
      </w:r>
      <w:r>
        <w:rPr>
          <w:rFonts w:ascii="Consolas" w:hAnsi="Consolas"/>
          <w:sz w:val="18"/>
        </w:rPr>
        <w:t>failed-precondition</w:t>
      </w:r>
      <w:r>
        <w:t xml:space="preserve">, </w:t>
      </w:r>
      <w:r>
        <w:rPr>
          <w:rFonts w:ascii="Consolas" w:hAnsi="Consolas"/>
          <w:sz w:val="18"/>
        </w:rPr>
        <w:t>permission-denied</w:t>
      </w:r>
      <w:r>
        <w:t xml:space="preserve">, </w:t>
      </w:r>
      <w:r>
        <w:rPr>
          <w:rFonts w:ascii="Consolas" w:hAnsi="Consolas"/>
          <w:sz w:val="18"/>
        </w:rPr>
        <w:t>not-found</w:t>
      </w:r>
      <w:r>
        <w:t xml:space="preserve">, </w:t>
      </w:r>
      <w:r>
        <w:rPr>
          <w:rFonts w:ascii="Consolas" w:hAnsi="Consolas"/>
          <w:sz w:val="18"/>
        </w:rPr>
        <w:t>already-exists</w:t>
      </w:r>
      <w:r>
        <w:t>). Unexpected errors are logged and returned as a generic message. The client maps network and timeout errors to friendly messages, and every page has loading, empty, error and access-denied states.</w:t>
      </w:r>
    </w:p>
    <w:p>
      <w:pPr>
        <w:pStyle w:val="Heading2"/>
        <w:numPr>
          <w:ilvl w:val="1"/>
          <w:numId w:val="9"/>
        </w:numPr>
      </w:pPr>
      <w:r>
        <w:t>APIs, Integrations and External Dependencies</w:t>
      </w:r>
    </w:p>
    <w:p>
      <w:r>
        <w:rPr>
          <w:b/>
        </w:rPr>
        <w:t>Command API.</w:t>
      </w:r>
      <w:r>
        <w:t xml:space="preserve"> The command API is a set of HTTPS callable functions, invoked with the user's ID token. Reads are not exposed as functions; clients read Firestore directly under the Security Rules.</w:t>
      </w:r>
    </w:p>
    <w:p>
      <w:pPr>
        <w:pStyle w:val="Caption"/>
        <w:keepNext/>
      </w:pPr>
      <w:r>
        <w:t>Table 15: Callable command API</w:t>
      </w:r>
    </w:p>
    <w:tbl>
      <w:tblPr>
        <w:tblStyle w:val="TableGrid"/>
        <w:tblW w:type="auto" w:w="0"/>
        <w:jc w:val="center"/>
        <w:tblLayout w:type="fixed"/>
        <w:tblLook w:firstColumn="1" w:firstRow="1" w:lastColumn="0" w:lastRow="0" w:noHBand="0" w:noVBand="1" w:val="04A0"/>
        <w:tblLayout w:type="fixed"/>
      </w:tblPr>
      <w:tblGrid>
        <w:gridCol w:w="2721"/>
        <w:gridCol w:w="1464"/>
        <w:gridCol w:w="2235"/>
        <w:gridCol w:w="2941"/>
      </w:tblGrid>
      <w:tr>
        <w:trPr>
          <w:tblHeader w:val="true"/>
        </w:trPr>
        <w:tc>
          <w:tcPr>
            <w:tcW w:type="dxa" w:w="2721"/>
            <w:shd w:val="clear" w:color="auto" w:fill="D5EBF4"/>
          </w:tcPr>
          <w:p>
            <w:pPr>
              <w:spacing w:after="0"/>
            </w:pPr>
            <w:r>
              <w:rPr>
                <w:b/>
                <w:sz w:val="18"/>
              </w:rPr>
              <w:t>Command</w:t>
            </w:r>
          </w:p>
        </w:tc>
        <w:tc>
          <w:tcPr>
            <w:tcW w:type="dxa" w:w="1464"/>
            <w:shd w:val="clear" w:color="auto" w:fill="D5EBF4"/>
          </w:tcPr>
          <w:p>
            <w:pPr>
              <w:spacing w:after="0"/>
            </w:pPr>
            <w:r>
              <w:rPr>
                <w:b/>
                <w:sz w:val="18"/>
              </w:rPr>
              <w:t>Roles</w:t>
            </w:r>
          </w:p>
        </w:tc>
        <w:tc>
          <w:tcPr>
            <w:tcW w:type="dxa" w:w="2235"/>
            <w:shd w:val="clear" w:color="auto" w:fill="D5EBF4"/>
          </w:tcPr>
          <w:p>
            <w:pPr>
              <w:spacing w:after="0"/>
            </w:pPr>
            <w:r>
              <w:rPr>
                <w:b/>
                <w:sz w:val="18"/>
              </w:rPr>
              <w:t>Purpose</w:t>
            </w:r>
          </w:p>
        </w:tc>
        <w:tc>
          <w:tcPr>
            <w:tcW w:type="dxa" w:w="2941"/>
            <w:shd w:val="clear" w:color="auto" w:fill="D5EBF4"/>
          </w:tcPr>
          <w:p>
            <w:pPr>
              <w:spacing w:after="0"/>
            </w:pPr>
            <w:r>
              <w:rPr>
                <w:b/>
                <w:sz w:val="18"/>
              </w:rPr>
              <w:t>Notable errors</w:t>
            </w:r>
          </w:p>
        </w:tc>
      </w:tr>
      <w:tr>
        <w:tc>
          <w:tcPr>
            <w:tcW w:type="dxa" w:w="2721"/>
          </w:tcPr>
          <w:p>
            <w:pPr>
              <w:spacing w:after="0"/>
            </w:pPr>
            <w:r>
              <w:rPr>
                <w:sz w:val="18"/>
              </w:rPr>
              <w:t>registerResident</w:t>
            </w:r>
          </w:p>
        </w:tc>
        <w:tc>
          <w:tcPr>
            <w:tcW w:type="dxa" w:w="1464"/>
          </w:tcPr>
          <w:p>
            <w:pPr>
              <w:spacing w:after="0"/>
            </w:pPr>
            <w:r>
              <w:rPr>
                <w:sz w:val="18"/>
              </w:rPr>
              <w:t>public</w:t>
            </w:r>
          </w:p>
        </w:tc>
        <w:tc>
          <w:tcPr>
            <w:tcW w:type="dxa" w:w="2235"/>
          </w:tcPr>
          <w:p>
            <w:pPr>
              <w:spacing w:after="0"/>
            </w:pPr>
            <w:r>
              <w:rPr>
                <w:sz w:val="18"/>
              </w:rPr>
              <w:t>Create resident account</w:t>
            </w:r>
          </w:p>
        </w:tc>
        <w:tc>
          <w:tcPr>
            <w:tcW w:type="dxa" w:w="2941"/>
          </w:tcPr>
          <w:p>
            <w:pPr>
              <w:spacing w:after="0"/>
            </w:pPr>
            <w:r>
              <w:rPr>
                <w:sz w:val="18"/>
              </w:rPr>
              <w:t>already-exists, invalid-argument</w:t>
            </w:r>
          </w:p>
        </w:tc>
      </w:tr>
      <w:tr>
        <w:tc>
          <w:tcPr>
            <w:tcW w:type="dxa" w:w="2721"/>
          </w:tcPr>
          <w:p>
            <w:pPr>
              <w:spacing w:after="0"/>
            </w:pPr>
            <w:r>
              <w:rPr>
                <w:sz w:val="18"/>
              </w:rPr>
              <w:t>completeProfile</w:t>
            </w:r>
          </w:p>
        </w:tc>
        <w:tc>
          <w:tcPr>
            <w:tcW w:type="dxa" w:w="1464"/>
          </w:tcPr>
          <w:p>
            <w:pPr>
              <w:spacing w:after="0"/>
            </w:pPr>
            <w:r>
              <w:rPr>
                <w:sz w:val="18"/>
              </w:rPr>
              <w:t>signed in, no profile yet</w:t>
            </w:r>
          </w:p>
        </w:tc>
        <w:tc>
          <w:tcPr>
            <w:tcW w:type="dxa" w:w="2235"/>
          </w:tcPr>
          <w:p>
            <w:pPr>
              <w:spacing w:after="0"/>
            </w:pPr>
            <w:r>
              <w:rPr>
                <w:sz w:val="18"/>
              </w:rPr>
              <w:t>Finish first Google sign-in as a Resident</w:t>
            </w:r>
          </w:p>
        </w:tc>
        <w:tc>
          <w:tcPr>
            <w:tcW w:type="dxa" w:w="2941"/>
          </w:tcPr>
          <w:p>
            <w:pPr>
              <w:spacing w:after="0"/>
            </w:pPr>
            <w:r>
              <w:rPr>
                <w:sz w:val="18"/>
              </w:rPr>
              <w:t>already-exists</w:t>
            </w:r>
          </w:p>
        </w:tc>
      </w:tr>
      <w:tr>
        <w:tc>
          <w:tcPr>
            <w:tcW w:type="dxa" w:w="2721"/>
          </w:tcPr>
          <w:p>
            <w:pPr>
              <w:spacing w:after="0"/>
            </w:pPr>
            <w:r>
              <w:rPr>
                <w:sz w:val="18"/>
              </w:rPr>
              <w:t>updateProfile</w:t>
            </w:r>
          </w:p>
        </w:tc>
        <w:tc>
          <w:tcPr>
            <w:tcW w:type="dxa" w:w="1464"/>
          </w:tcPr>
          <w:p>
            <w:pPr>
              <w:spacing w:after="0"/>
            </w:pPr>
            <w:r>
              <w:rPr>
                <w:sz w:val="18"/>
              </w:rPr>
              <w:t>any role</w:t>
            </w:r>
          </w:p>
        </w:tc>
        <w:tc>
          <w:tcPr>
            <w:tcW w:type="dxa" w:w="2235"/>
          </w:tcPr>
          <w:p>
            <w:pPr>
              <w:spacing w:after="0"/>
            </w:pPr>
            <w:r>
              <w:rPr>
                <w:sz w:val="18"/>
              </w:rPr>
              <w:t>Own name, phone; residents' suburb</w:t>
            </w:r>
          </w:p>
        </w:tc>
        <w:tc>
          <w:tcPr>
            <w:tcW w:type="dxa" w:w="2941"/>
          </w:tcPr>
          <w:p>
            <w:pPr>
              <w:spacing w:after="0"/>
            </w:pPr>
            <w:r>
              <w:rPr>
                <w:sz w:val="18"/>
              </w:rPr>
              <w:t>invalid-argument, permission-denied</w:t>
            </w:r>
          </w:p>
        </w:tc>
      </w:tr>
      <w:tr>
        <w:tc>
          <w:tcPr>
            <w:tcW w:type="dxa" w:w="2721"/>
          </w:tcPr>
          <w:p>
            <w:pPr>
              <w:spacing w:after="0"/>
            </w:pPr>
            <w:r>
              <w:rPr>
                <w:sz w:val="18"/>
              </w:rPr>
              <w:t>deleteMyAccount</w:t>
            </w:r>
          </w:p>
        </w:tc>
        <w:tc>
          <w:tcPr>
            <w:tcW w:type="dxa" w:w="1464"/>
          </w:tcPr>
          <w:p>
            <w:pPr>
              <w:spacing w:after="0"/>
            </w:pPr>
            <w:r>
              <w:rPr>
                <w:sz w:val="18"/>
              </w:rPr>
              <w:t>Resident</w:t>
            </w:r>
          </w:p>
        </w:tc>
        <w:tc>
          <w:tcPr>
            <w:tcW w:type="dxa" w:w="2235"/>
          </w:tcPr>
          <w:p>
            <w:pPr>
              <w:spacing w:after="0"/>
            </w:pPr>
            <w:r>
              <w:rPr>
                <w:sz w:val="18"/>
              </w:rPr>
              <w:t>POPIA erasure with anonymisation</w:t>
            </w:r>
          </w:p>
        </w:tc>
        <w:tc>
          <w:tcPr>
            <w:tcW w:type="dxa" w:w="2941"/>
          </w:tcPr>
          <w:p>
            <w:pPr>
              <w:spacing w:after="0"/>
            </w:pPr>
            <w:r>
              <w:rPr>
                <w:sz w:val="18"/>
              </w:rPr>
              <w:t>invalid-argument (confirmation)</w:t>
            </w:r>
          </w:p>
        </w:tc>
      </w:tr>
      <w:tr>
        <w:tc>
          <w:tcPr>
            <w:tcW w:type="dxa" w:w="2721"/>
          </w:tcPr>
          <w:p>
            <w:pPr>
              <w:spacing w:after="0"/>
            </w:pPr>
            <w:r>
              <w:rPr>
                <w:sz w:val="18"/>
              </w:rPr>
              <w:t>submitReport</w:t>
            </w:r>
          </w:p>
        </w:tc>
        <w:tc>
          <w:tcPr>
            <w:tcW w:type="dxa" w:w="1464"/>
          </w:tcPr>
          <w:p>
            <w:pPr>
              <w:spacing w:after="0"/>
            </w:pPr>
            <w:r>
              <w:rPr>
                <w:sz w:val="18"/>
              </w:rPr>
              <w:t>Resident</w:t>
            </w:r>
          </w:p>
        </w:tc>
        <w:tc>
          <w:tcPr>
            <w:tcW w:type="dxa" w:w="2235"/>
          </w:tcPr>
          <w:p>
            <w:pPr>
              <w:spacing w:after="0"/>
            </w:pPr>
            <w:r>
              <w:rPr>
                <w:sz w:val="18"/>
              </w:rPr>
              <w:t>TX-1 submission</w:t>
            </w:r>
          </w:p>
        </w:tc>
        <w:tc>
          <w:tcPr>
            <w:tcW w:type="dxa" w:w="2941"/>
          </w:tcPr>
          <w:p>
            <w:pPr>
              <w:spacing w:after="0"/>
            </w:pPr>
            <w:r>
              <w:rPr>
                <w:sz w:val="18"/>
              </w:rPr>
              <w:t>invalid-argument, permission-denied</w:t>
            </w:r>
          </w:p>
        </w:tc>
      </w:tr>
      <w:tr>
        <w:tc>
          <w:tcPr>
            <w:tcW w:type="dxa" w:w="2721"/>
          </w:tcPr>
          <w:p>
            <w:pPr>
              <w:spacing w:after="0"/>
            </w:pPr>
            <w:r>
              <w:rPr>
                <w:sz w:val="18"/>
              </w:rPr>
              <w:t>triageReport, rejectReport, escalateReport</w:t>
            </w:r>
          </w:p>
        </w:tc>
        <w:tc>
          <w:tcPr>
            <w:tcW w:type="dxa" w:w="1464"/>
          </w:tcPr>
          <w:p>
            <w:pPr>
              <w:spacing w:after="0"/>
            </w:pPr>
            <w:r>
              <w:rPr>
                <w:sz w:val="18"/>
              </w:rPr>
              <w:t>Official, Admin</w:t>
            </w:r>
          </w:p>
        </w:tc>
        <w:tc>
          <w:tcPr>
            <w:tcW w:type="dxa" w:w="2235"/>
          </w:tcPr>
          <w:p>
            <w:pPr>
              <w:spacing w:after="0"/>
            </w:pPr>
            <w:r>
              <w:rPr>
                <w:sz w:val="18"/>
              </w:rPr>
              <w:t>Lifecycle actions</w:t>
            </w:r>
          </w:p>
        </w:tc>
        <w:tc>
          <w:tcPr>
            <w:tcW w:type="dxa" w:w="2941"/>
          </w:tcPr>
          <w:p>
            <w:pPr>
              <w:spacing w:after="0"/>
            </w:pPr>
            <w:r>
              <w:rPr>
                <w:sz w:val="18"/>
              </w:rPr>
              <w:t>failed-precondition, permission-denied</w:t>
            </w:r>
          </w:p>
        </w:tc>
      </w:tr>
      <w:tr>
        <w:tc>
          <w:tcPr>
            <w:tcW w:type="dxa" w:w="2721"/>
          </w:tcPr>
          <w:p>
            <w:pPr>
              <w:spacing w:after="0"/>
            </w:pPr>
            <w:r>
              <w:rPr>
                <w:sz w:val="18"/>
              </w:rPr>
              <w:t>assignReport, reassignTask</w:t>
            </w:r>
          </w:p>
        </w:tc>
        <w:tc>
          <w:tcPr>
            <w:tcW w:type="dxa" w:w="1464"/>
          </w:tcPr>
          <w:p>
            <w:pPr>
              <w:spacing w:after="0"/>
            </w:pPr>
            <w:r>
              <w:rPr>
                <w:sz w:val="18"/>
              </w:rPr>
              <w:t>Official, Admin</w:t>
            </w:r>
          </w:p>
        </w:tc>
        <w:tc>
          <w:tcPr>
            <w:tcW w:type="dxa" w:w="2235"/>
          </w:tcPr>
          <w:p>
            <w:pPr>
              <w:spacing w:after="0"/>
            </w:pPr>
            <w:r>
              <w:rPr>
                <w:sz w:val="18"/>
              </w:rPr>
              <w:t>TX-2 dispatch</w:t>
            </w:r>
          </w:p>
        </w:tc>
        <w:tc>
          <w:tcPr>
            <w:tcW w:type="dxa" w:w="2941"/>
          </w:tcPr>
          <w:p>
            <w:pPr>
              <w:spacing w:after="0"/>
            </w:pPr>
            <w:r>
              <w:rPr>
                <w:sz w:val="18"/>
              </w:rPr>
              <w:t>failed-precondition, invalid-argument</w:t>
            </w:r>
          </w:p>
        </w:tc>
      </w:tr>
      <w:tr>
        <w:tc>
          <w:tcPr>
            <w:tcW w:type="dxa" w:w="2721"/>
          </w:tcPr>
          <w:p>
            <w:pPr>
              <w:spacing w:after="0"/>
            </w:pPr>
            <w:r>
              <w:rPr>
                <w:sz w:val="18"/>
              </w:rPr>
              <w:t>updateTask, completeTask</w:t>
            </w:r>
          </w:p>
        </w:tc>
        <w:tc>
          <w:tcPr>
            <w:tcW w:type="dxa" w:w="1464"/>
          </w:tcPr>
          <w:p>
            <w:pPr>
              <w:spacing w:after="0"/>
            </w:pPr>
            <w:r>
              <w:rPr>
                <w:sz w:val="18"/>
              </w:rPr>
              <w:t>Field Worker</w:t>
            </w:r>
          </w:p>
        </w:tc>
        <w:tc>
          <w:tcPr>
            <w:tcW w:type="dxa" w:w="2235"/>
          </w:tcPr>
          <w:p>
            <w:pPr>
              <w:spacing w:after="0"/>
            </w:pPr>
            <w:r>
              <w:rPr>
                <w:sz w:val="18"/>
              </w:rPr>
              <w:t>Task steps, TX-3 completion</w:t>
            </w:r>
          </w:p>
        </w:tc>
        <w:tc>
          <w:tcPr>
            <w:tcW w:type="dxa" w:w="2941"/>
          </w:tcPr>
          <w:p>
            <w:pPr>
              <w:spacing w:after="0"/>
            </w:pPr>
            <w:r>
              <w:rPr>
                <w:sz w:val="18"/>
              </w:rPr>
              <w:t>failed-precondition, permission-denied</w:t>
            </w:r>
          </w:p>
        </w:tc>
      </w:tr>
      <w:tr>
        <w:tc>
          <w:tcPr>
            <w:tcW w:type="dxa" w:w="2721"/>
          </w:tcPr>
          <w:p>
            <w:pPr>
              <w:spacing w:after="0"/>
            </w:pPr>
            <w:r>
              <w:rPr>
                <w:sz w:val="18"/>
              </w:rPr>
              <w:t>confirmResolution, reopenReport</w:t>
            </w:r>
          </w:p>
        </w:tc>
        <w:tc>
          <w:tcPr>
            <w:tcW w:type="dxa" w:w="1464"/>
          </w:tcPr>
          <w:p>
            <w:pPr>
              <w:spacing w:after="0"/>
            </w:pPr>
            <w:r>
              <w:rPr>
                <w:sz w:val="18"/>
              </w:rPr>
              <w:t>Resident</w:t>
            </w:r>
          </w:p>
        </w:tc>
        <w:tc>
          <w:tcPr>
            <w:tcW w:type="dxa" w:w="2235"/>
          </w:tcPr>
          <w:p>
            <w:pPr>
              <w:spacing w:after="0"/>
            </w:pPr>
            <w:r>
              <w:rPr>
                <w:sz w:val="18"/>
              </w:rPr>
              <w:t>Respond to resolution</w:t>
            </w:r>
          </w:p>
        </w:tc>
        <w:tc>
          <w:tcPr>
            <w:tcW w:type="dxa" w:w="2941"/>
          </w:tcPr>
          <w:p>
            <w:pPr>
              <w:spacing w:after="0"/>
            </w:pPr>
            <w:r>
              <w:rPr>
                <w:sz w:val="18"/>
              </w:rPr>
              <w:t>failed-precondition</w:t>
            </w:r>
          </w:p>
        </w:tc>
      </w:tr>
      <w:tr>
        <w:tc>
          <w:tcPr>
            <w:tcW w:type="dxa" w:w="2721"/>
          </w:tcPr>
          <w:p>
            <w:pPr>
              <w:spacing w:after="0"/>
            </w:pPr>
            <w:r>
              <w:rPr>
                <w:sz w:val="18"/>
              </w:rPr>
              <w:t>addComment</w:t>
            </w:r>
          </w:p>
        </w:tc>
        <w:tc>
          <w:tcPr>
            <w:tcW w:type="dxa" w:w="1464"/>
          </w:tcPr>
          <w:p>
            <w:pPr>
              <w:spacing w:after="0"/>
            </w:pPr>
            <w:r>
              <w:rPr>
                <w:sz w:val="18"/>
              </w:rPr>
              <w:t>Staff</w:t>
            </w:r>
          </w:p>
        </w:tc>
        <w:tc>
          <w:tcPr>
            <w:tcW w:type="dxa" w:w="2235"/>
          </w:tcPr>
          <w:p>
            <w:pPr>
              <w:spacing w:after="0"/>
            </w:pPr>
            <w:r>
              <w:rPr>
                <w:sz w:val="18"/>
              </w:rPr>
              <w:t>Internal note</w:t>
            </w:r>
          </w:p>
        </w:tc>
        <w:tc>
          <w:tcPr>
            <w:tcW w:type="dxa" w:w="2941"/>
          </w:tcPr>
          <w:p>
            <w:pPr>
              <w:spacing w:after="0"/>
            </w:pPr>
            <w:r>
              <w:rPr>
                <w:sz w:val="18"/>
              </w:rPr>
              <w:t>permission-denied</w:t>
            </w:r>
          </w:p>
        </w:tc>
      </w:tr>
      <w:tr>
        <w:tc>
          <w:tcPr>
            <w:tcW w:type="dxa" w:w="2721"/>
          </w:tcPr>
          <w:p>
            <w:pPr>
              <w:spacing w:after="0"/>
            </w:pPr>
            <w:r>
              <w:rPr>
                <w:sz w:val="18"/>
              </w:rPr>
              <w:t>broadcastAlert, deactivateAlert</w:t>
            </w:r>
          </w:p>
        </w:tc>
        <w:tc>
          <w:tcPr>
            <w:tcW w:type="dxa" w:w="1464"/>
          </w:tcPr>
          <w:p>
            <w:pPr>
              <w:spacing w:after="0"/>
            </w:pPr>
            <w:r>
              <w:rPr>
                <w:sz w:val="18"/>
              </w:rPr>
              <w:t>Official, Admin</w:t>
            </w:r>
          </w:p>
        </w:tc>
        <w:tc>
          <w:tcPr>
            <w:tcW w:type="dxa" w:w="2235"/>
          </w:tcPr>
          <w:p>
            <w:pPr>
              <w:spacing w:after="0"/>
            </w:pPr>
            <w:r>
              <w:rPr>
                <w:sz w:val="18"/>
              </w:rPr>
              <w:t>Alerts</w:t>
            </w:r>
          </w:p>
        </w:tc>
        <w:tc>
          <w:tcPr>
            <w:tcW w:type="dxa" w:w="2941"/>
          </w:tcPr>
          <w:p>
            <w:pPr>
              <w:spacing w:after="0"/>
            </w:pPr>
            <w:r>
              <w:rPr>
                <w:sz w:val="18"/>
              </w:rPr>
              <w:t>invalid-argument</w:t>
            </w:r>
          </w:p>
        </w:tc>
      </w:tr>
      <w:tr>
        <w:tc>
          <w:tcPr>
            <w:tcW w:type="dxa" w:w="2721"/>
          </w:tcPr>
          <w:p>
            <w:pPr>
              <w:spacing w:after="0"/>
            </w:pPr>
            <w:r>
              <w:rPr>
                <w:sz w:val="18"/>
              </w:rPr>
              <w:t>markAlertRead</w:t>
            </w:r>
          </w:p>
        </w:tc>
        <w:tc>
          <w:tcPr>
            <w:tcW w:type="dxa" w:w="1464"/>
          </w:tcPr>
          <w:p>
            <w:pPr>
              <w:spacing w:after="0"/>
            </w:pPr>
            <w:r>
              <w:rPr>
                <w:sz w:val="18"/>
              </w:rPr>
              <w:t>Resident</w:t>
            </w:r>
          </w:p>
        </w:tc>
        <w:tc>
          <w:tcPr>
            <w:tcW w:type="dxa" w:w="2235"/>
          </w:tcPr>
          <w:p>
            <w:pPr>
              <w:spacing w:after="0"/>
            </w:pPr>
            <w:r>
              <w:rPr>
                <w:sz w:val="18"/>
              </w:rPr>
              <w:t>Read receipt</w:t>
            </w:r>
          </w:p>
        </w:tc>
        <w:tc>
          <w:tcPr>
            <w:tcW w:type="dxa" w:w="2941"/>
          </w:tcPr>
          <w:p>
            <w:pPr>
              <w:spacing w:after="0"/>
            </w:pPr>
            <w:r>
              <w:rPr>
                <w:sz w:val="18"/>
              </w:rPr>
              <w:t>not-found</w:t>
            </w:r>
          </w:p>
        </w:tc>
      </w:tr>
      <w:tr>
        <w:tc>
          <w:tcPr>
            <w:tcW w:type="dxa" w:w="2721"/>
          </w:tcPr>
          <w:p>
            <w:pPr>
              <w:spacing w:after="0"/>
            </w:pPr>
            <w:r>
              <w:rPr>
                <w:sz w:val="18"/>
              </w:rPr>
              <w:t>createStaffUser, setUserRole, setUserActive</w:t>
            </w:r>
          </w:p>
        </w:tc>
        <w:tc>
          <w:tcPr>
            <w:tcW w:type="dxa" w:w="1464"/>
          </w:tcPr>
          <w:p>
            <w:pPr>
              <w:spacing w:after="0"/>
            </w:pPr>
            <w:r>
              <w:rPr>
                <w:sz w:val="18"/>
              </w:rPr>
              <w:t>Admin</w:t>
            </w:r>
          </w:p>
        </w:tc>
        <w:tc>
          <w:tcPr>
            <w:tcW w:type="dxa" w:w="2235"/>
          </w:tcPr>
          <w:p>
            <w:pPr>
              <w:spacing w:after="0"/>
            </w:pPr>
            <w:r>
              <w:rPr>
                <w:sz w:val="18"/>
              </w:rPr>
              <w:t>Accounts</w:t>
            </w:r>
          </w:p>
        </w:tc>
        <w:tc>
          <w:tcPr>
            <w:tcW w:type="dxa" w:w="2941"/>
          </w:tcPr>
          <w:p>
            <w:pPr>
              <w:spacing w:after="0"/>
            </w:pPr>
            <w:r>
              <w:rPr>
                <w:sz w:val="18"/>
              </w:rPr>
              <w:t>permission-denied (self)</w:t>
            </w:r>
          </w:p>
        </w:tc>
      </w:tr>
      <w:tr>
        <w:tc>
          <w:tcPr>
            <w:tcW w:type="dxa" w:w="2721"/>
          </w:tcPr>
          <w:p>
            <w:pPr>
              <w:spacing w:after="0"/>
            </w:pPr>
            <w:r>
              <w:rPr>
                <w:sz w:val="18"/>
              </w:rPr>
              <w:t>upsertDepartment, upsertCategory, updateSettings</w:t>
            </w:r>
          </w:p>
        </w:tc>
        <w:tc>
          <w:tcPr>
            <w:tcW w:type="dxa" w:w="1464"/>
          </w:tcPr>
          <w:p>
            <w:pPr>
              <w:spacing w:after="0"/>
            </w:pPr>
            <w:r>
              <w:rPr>
                <w:sz w:val="18"/>
              </w:rPr>
              <w:t>Admin</w:t>
            </w:r>
          </w:p>
        </w:tc>
        <w:tc>
          <w:tcPr>
            <w:tcW w:type="dxa" w:w="2235"/>
          </w:tcPr>
          <w:p>
            <w:pPr>
              <w:spacing w:after="0"/>
            </w:pPr>
            <w:r>
              <w:rPr>
                <w:sz w:val="18"/>
              </w:rPr>
              <w:t>Configuration, report limit</w:t>
            </w:r>
          </w:p>
        </w:tc>
        <w:tc>
          <w:tcPr>
            <w:tcW w:type="dxa" w:w="2941"/>
          </w:tcPr>
          <w:p>
            <w:pPr>
              <w:spacing w:after="0"/>
            </w:pPr>
            <w:r>
              <w:rPr>
                <w:sz w:val="18"/>
              </w:rPr>
              <w:t>invalid-argument</w:t>
            </w:r>
          </w:p>
        </w:tc>
      </w:tr>
      <w:tr>
        <w:tc>
          <w:tcPr>
            <w:tcW w:type="dxa" w:w="2721"/>
          </w:tcPr>
          <w:p>
            <w:pPr>
              <w:spacing w:after="0"/>
            </w:pPr>
            <w:r>
              <w:rPr>
                <w:sz w:val="18"/>
              </w:rPr>
              <w:t>getAnalytics</w:t>
            </w:r>
          </w:p>
        </w:tc>
        <w:tc>
          <w:tcPr>
            <w:tcW w:type="dxa" w:w="1464"/>
          </w:tcPr>
          <w:p>
            <w:pPr>
              <w:spacing w:after="0"/>
            </w:pPr>
            <w:r>
              <w:rPr>
                <w:sz w:val="18"/>
              </w:rPr>
              <w:t>Official, Admin</w:t>
            </w:r>
          </w:p>
        </w:tc>
        <w:tc>
          <w:tcPr>
            <w:tcW w:type="dxa" w:w="2235"/>
          </w:tcPr>
          <w:p>
            <w:pPr>
              <w:spacing w:after="0"/>
            </w:pPr>
            <w:r>
              <w:rPr>
                <w:sz w:val="18"/>
              </w:rPr>
              <w:t>Metrics</w:t>
            </w:r>
          </w:p>
        </w:tc>
        <w:tc>
          <w:tcPr>
            <w:tcW w:type="dxa" w:w="2941"/>
          </w:tcPr>
          <w:p>
            <w:pPr>
              <w:spacing w:after="0"/>
            </w:pPr>
            <w:r>
              <w:rPr>
                <w:sz w:val="18"/>
              </w:rPr>
              <w:t>—</w:t>
            </w:r>
          </w:p>
        </w:tc>
      </w:tr>
      <w:tr>
        <w:tc>
          <w:tcPr>
            <w:tcW w:type="dxa" w:w="2721"/>
          </w:tcPr>
          <w:p>
            <w:pPr>
              <w:spacing w:after="0"/>
            </w:pPr>
            <w:r>
              <w:rPr>
                <w:sz w:val="18"/>
              </w:rPr>
              <w:t>runMaintenance</w:t>
            </w:r>
          </w:p>
        </w:tc>
        <w:tc>
          <w:tcPr>
            <w:tcW w:type="dxa" w:w="1464"/>
          </w:tcPr>
          <w:p>
            <w:pPr>
              <w:spacing w:after="0"/>
            </w:pPr>
            <w:r>
              <w:rPr>
                <w:sz w:val="18"/>
              </w:rPr>
              <w:t>Admin</w:t>
            </w:r>
          </w:p>
        </w:tc>
        <w:tc>
          <w:tcPr>
            <w:tcW w:type="dxa" w:w="2235"/>
          </w:tcPr>
          <w:p>
            <w:pPr>
              <w:spacing w:after="0"/>
            </w:pPr>
            <w:r>
              <w:rPr>
                <w:sz w:val="18"/>
              </w:rPr>
              <w:t>Run SLA/auto-close on demand</w:t>
            </w:r>
          </w:p>
        </w:tc>
        <w:tc>
          <w:tcPr>
            <w:tcW w:type="dxa" w:w="2941"/>
          </w:tcPr>
          <w:p>
            <w:pPr>
              <w:spacing w:after="0"/>
            </w:pPr>
            <w:r>
              <w:rPr>
                <w:sz w:val="18"/>
              </w:rPr>
              <w:t>—</w:t>
            </w:r>
          </w:p>
        </w:tc>
      </w:tr>
    </w:tbl>
    <w:p/>
    <w:p>
      <w:r>
        <w:rPr>
          <w:b/>
        </w:rPr>
        <w:t>External integrations.</w:t>
      </w:r>
    </w:p>
    <w:p>
      <w:pPr>
        <w:pStyle w:val="BulletCompact"/>
        <w:numPr>
          <w:ilvl w:val="0"/>
          <w:numId w:val="8"/>
        </w:numPr>
      </w:pPr>
      <w:r>
        <w:rPr>
          <w:b/>
        </w:rPr>
        <w:t>OpenStreetMap tiles</w:t>
      </w:r>
      <w:r>
        <w:t xml:space="preserve"> are fetched by the browser over HTTPS. If tiles are unavailable, the map shows a blank background but still works: the pin, map clicks and coordinates function, and the report form, lists and timelines do not depend on tiles.</w:t>
      </w:r>
    </w:p>
    <w:p>
      <w:pPr>
        <w:pStyle w:val="BulletCompact"/>
        <w:numPr>
          <w:ilvl w:val="0"/>
          <w:numId w:val="8"/>
        </w:numPr>
      </w:pPr>
      <w:r>
        <w:rPr>
          <w:b/>
        </w:rPr>
        <w:t>Browser geolocation</w:t>
      </w:r>
      <w:r>
        <w:t xml:space="preserve"> is optional. If permission is denied, or the position is outside the municipality, the user is told to drag the pin instead.</w:t>
      </w:r>
    </w:p>
    <w:p>
      <w:r>
        <w:rPr>
          <w:b/>
        </w:rPr>
        <w:t>Two adapters, one API.</w:t>
      </w:r>
      <w:r>
        <w:t xml:space="preserve"> </w:t>
      </w:r>
      <w:r>
        <w:rPr>
          <w:rFonts w:ascii="Consolas" w:hAnsi="Consolas"/>
          <w:sz w:val="18"/>
        </w:rPr>
        <w:t>functions/src/commands.ts</w:t>
      </w:r>
      <w:r>
        <w:t xml:space="preserve"> defines all 26 commands once. </w:t>
      </w:r>
      <w:r>
        <w:rPr>
          <w:rFonts w:ascii="Consolas" w:hAnsi="Consolas"/>
          <w:sz w:val="18"/>
        </w:rPr>
        <w:t>index.ts</w:t>
      </w:r>
      <w:r>
        <w:t xml:space="preserve"> exposes them as Cloud Functions (local emulator), and </w:t>
      </w:r>
      <w:r>
        <w:rPr>
          <w:rFonts w:ascii="Consolas" w:hAnsi="Consolas"/>
          <w:sz w:val="18"/>
        </w:rPr>
        <w:t>http.ts</w:t>
      </w:r>
      <w:r>
        <w:t xml:space="preserve"> exposes them as a plain Node handler (Vercel). The Node adapter verifies the Firebase ID token (rejecting revoked sessions), limits the request size, and returns errors in the callable protocol. The client therefore uses </w:t>
      </w:r>
      <w:r>
        <w:rPr>
          <w:rFonts w:ascii="Consolas" w:hAnsi="Consolas"/>
          <w:sz w:val="18"/>
        </w:rPr>
        <w:t>httpsCallableFromURL</w:t>
      </w:r>
      <w:r>
        <w:t xml:space="preserve"> with no other changes. In the local configuration, Firebase services come from the official Emulator Suite. No integration is mocked in the application code.</w:t>
      </w:r>
    </w:p>
    <w:p>
      <w:pPr>
        <w:pStyle w:val="Heading2"/>
        <w:numPr>
          <w:ilvl w:val="1"/>
          <w:numId w:val="9"/>
        </w:numPr>
      </w:pPr>
      <w:r>
        <w:t>AI / Machine-Learning Component</w:t>
      </w:r>
    </w:p>
    <w:p>
      <w:r>
        <w:t>Not applicable. CivicLink contains no AI or machine-learning component. Duplicate detection, SLA escalation and analytics are deterministic, rule-based functions that are fully specified in Section 4.3 and unit-tested.</w:t>
      </w:r>
    </w:p>
    <w:p>
      <w:pPr>
        <w:pStyle w:val="Heading1"/>
        <w:numPr>
          <w:ilvl w:val="0"/>
          <w:numId w:val="9"/>
        </w:numPr>
      </w:pPr>
      <w:r>
        <w:t>VERIFICATION AND TESTING</w:t>
      </w:r>
    </w:p>
    <w:p>
      <w:pPr>
        <w:pStyle w:val="Heading2"/>
        <w:numPr>
          <w:ilvl w:val="1"/>
          <w:numId w:val="9"/>
        </w:numPr>
      </w:pPr>
      <w:r>
        <w:t>Test Approach</w:t>
      </w:r>
    </w:p>
    <w:p>
      <w:r>
        <w:t>Verification combines four automated levels and a set of non-functional checks. All of them run on every push in GitHub Actions (</w:t>
      </w:r>
      <w:r>
        <w:rPr>
          <w:rFonts w:ascii="Consolas" w:hAnsi="Consolas"/>
          <w:sz w:val="18"/>
        </w:rPr>
        <w:t>.github/workflows/ci.yml</w:t>
      </w:r>
      <w:r>
        <w:t xml:space="preserve">). Each test's identifier appears in its name, so every row in this section can be found in the code (for example, </w:t>
      </w:r>
      <w:r>
        <w:rPr>
          <w:rFonts w:ascii="Consolas" w:hAnsi="Consolas"/>
          <w:sz w:val="18"/>
        </w:rPr>
        <w:t>grep -r "IT-ASG-07"</w:t>
      </w:r>
      <w:r>
        <w:t>).</w:t>
      </w:r>
    </w:p>
    <w:p>
      <w:pPr>
        <w:pStyle w:val="Caption"/>
        <w:keepNext/>
      </w:pPr>
      <w:r>
        <w:t>Table 16: Test levels</w:t>
      </w:r>
    </w:p>
    <w:tbl>
      <w:tblPr>
        <w:tblStyle w:val="TableGrid"/>
        <w:tblW w:type="auto" w:w="0"/>
        <w:jc w:val="center"/>
        <w:tblLayout w:type="fixed"/>
        <w:tblLook w:firstColumn="1" w:firstRow="1" w:lastColumn="0" w:lastRow="0" w:noHBand="0" w:noVBand="1" w:val="04A0"/>
        <w:tblLayout w:type="fixed"/>
      </w:tblPr>
      <w:tblGrid>
        <w:gridCol w:w="1799"/>
        <w:gridCol w:w="2753"/>
        <w:gridCol w:w="3008"/>
        <w:gridCol w:w="1801"/>
      </w:tblGrid>
      <w:tr>
        <w:trPr>
          <w:tblHeader w:val="true"/>
        </w:trPr>
        <w:tc>
          <w:tcPr>
            <w:tcW w:type="dxa" w:w="1799"/>
            <w:shd w:val="clear" w:color="auto" w:fill="D5EBF4"/>
          </w:tcPr>
          <w:p>
            <w:pPr>
              <w:spacing w:after="0"/>
            </w:pPr>
            <w:r>
              <w:rPr>
                <w:b/>
                <w:sz w:val="18"/>
              </w:rPr>
              <w:t>Level</w:t>
            </w:r>
          </w:p>
        </w:tc>
        <w:tc>
          <w:tcPr>
            <w:tcW w:type="dxa" w:w="2753"/>
            <w:shd w:val="clear" w:color="auto" w:fill="D5EBF4"/>
          </w:tcPr>
          <w:p>
            <w:pPr>
              <w:spacing w:after="0"/>
            </w:pPr>
            <w:r>
              <w:rPr>
                <w:b/>
                <w:sz w:val="18"/>
              </w:rPr>
              <w:t>Tool</w:t>
            </w:r>
          </w:p>
        </w:tc>
        <w:tc>
          <w:tcPr>
            <w:tcW w:type="dxa" w:w="3008"/>
            <w:shd w:val="clear" w:color="auto" w:fill="D5EBF4"/>
          </w:tcPr>
          <w:p>
            <w:pPr>
              <w:spacing w:after="0"/>
            </w:pPr>
            <w:r>
              <w:rPr>
                <w:b/>
                <w:sz w:val="18"/>
              </w:rPr>
              <w:t>Scope</w:t>
            </w:r>
          </w:p>
        </w:tc>
        <w:tc>
          <w:tcPr>
            <w:tcW w:type="dxa" w:w="1801"/>
            <w:shd w:val="clear" w:color="auto" w:fill="D5EBF4"/>
          </w:tcPr>
          <w:p>
            <w:pPr>
              <w:spacing w:after="0"/>
            </w:pPr>
            <w:r>
              <w:rPr>
                <w:b/>
                <w:sz w:val="18"/>
              </w:rPr>
              <w:t>Count</w:t>
            </w:r>
          </w:p>
        </w:tc>
      </w:tr>
      <w:tr>
        <w:tc>
          <w:tcPr>
            <w:tcW w:type="dxa" w:w="1799"/>
          </w:tcPr>
          <w:p>
            <w:pPr>
              <w:spacing w:after="0"/>
            </w:pPr>
            <w:r>
              <w:rPr>
                <w:sz w:val="18"/>
              </w:rPr>
              <w:t>Unit</w:t>
            </w:r>
          </w:p>
        </w:tc>
        <w:tc>
          <w:tcPr>
            <w:tcW w:type="dxa" w:w="2753"/>
          </w:tcPr>
          <w:p>
            <w:pPr>
              <w:spacing w:after="0"/>
            </w:pPr>
            <w:r>
              <w:rPr>
                <w:sz w:val="18"/>
              </w:rPr>
              <w:t>Vitest</w:t>
            </w:r>
          </w:p>
        </w:tc>
        <w:tc>
          <w:tcPr>
            <w:tcW w:type="dxa" w:w="3008"/>
          </w:tcPr>
          <w:p>
            <w:pPr>
              <w:spacing w:after="0"/>
            </w:pPr>
            <w:r>
              <w:rPr>
                <w:sz w:val="18"/>
              </w:rPr>
              <w:t>Shared domain: schemas, state machines, duplicate/SLA/resolution policies, location helpers, image sniffing, references, analytics, CSV (≈ 98% line coverage)</w:t>
            </w:r>
          </w:p>
        </w:tc>
        <w:tc>
          <w:tcPr>
            <w:tcW w:type="dxa" w:w="1801"/>
          </w:tcPr>
          <w:p>
            <w:pPr>
              <w:spacing w:after="0"/>
            </w:pPr>
            <w:r>
              <w:rPr>
                <w:sz w:val="18"/>
              </w:rPr>
              <w:t>30</w:t>
            </w:r>
          </w:p>
        </w:tc>
      </w:tr>
      <w:tr>
        <w:tc>
          <w:tcPr>
            <w:tcW w:type="dxa" w:w="1799"/>
          </w:tcPr>
          <w:p>
            <w:pPr>
              <w:spacing w:after="0"/>
            </w:pPr>
            <w:r>
              <w:rPr>
                <w:sz w:val="18"/>
              </w:rPr>
              <w:t>Security rules</w:t>
            </w:r>
          </w:p>
        </w:tc>
        <w:tc>
          <w:tcPr>
            <w:tcW w:type="dxa" w:w="2753"/>
          </w:tcPr>
          <w:p>
            <w:pPr>
              <w:spacing w:after="0"/>
            </w:pPr>
            <w:r>
              <w:rPr>
                <w:sz w:val="18"/>
              </w:rPr>
              <w:t>@firebase/rules-unit-testing on the emulator</w:t>
            </w:r>
          </w:p>
        </w:tc>
        <w:tc>
          <w:tcPr>
            <w:tcW w:type="dxa" w:w="3008"/>
          </w:tcPr>
          <w:p>
            <w:pPr>
              <w:spacing w:after="0"/>
            </w:pPr>
            <w:r>
              <w:rPr>
                <w:sz w:val="18"/>
              </w:rPr>
              <w:t>Allow and deny case for every permission-matrix cell, including photos</w:t>
            </w:r>
          </w:p>
        </w:tc>
        <w:tc>
          <w:tcPr>
            <w:tcW w:type="dxa" w:w="1801"/>
          </w:tcPr>
          <w:p>
            <w:pPr>
              <w:spacing w:after="0"/>
            </w:pPr>
            <w:r>
              <w:rPr>
                <w:sz w:val="18"/>
              </w:rPr>
              <w:t>19</w:t>
            </w:r>
          </w:p>
        </w:tc>
      </w:tr>
      <w:tr>
        <w:tc>
          <w:tcPr>
            <w:tcW w:type="dxa" w:w="1799"/>
          </w:tcPr>
          <w:p>
            <w:pPr>
              <w:spacing w:after="0"/>
            </w:pPr>
            <w:r>
              <w:rPr>
                <w:sz w:val="18"/>
              </w:rPr>
              <w:t>API integration</w:t>
            </w:r>
          </w:p>
        </w:tc>
        <w:tc>
          <w:tcPr>
            <w:tcW w:type="dxa" w:w="2753"/>
          </w:tcPr>
          <w:p>
            <w:pPr>
              <w:spacing w:after="0"/>
            </w:pPr>
            <w:r>
              <w:rPr>
                <w:sz w:val="18"/>
              </w:rPr>
              <w:t>Vitest + Firebase client SDK against the emulators</w:t>
            </w:r>
          </w:p>
        </w:tc>
        <w:tc>
          <w:tcPr>
            <w:tcW w:type="dxa" w:w="3008"/>
          </w:tcPr>
          <w:p>
            <w:pPr>
              <w:spacing w:after="0"/>
            </w:pPr>
            <w:r>
              <w:rPr>
                <w:sz w:val="18"/>
              </w:rPr>
              <w:t>Every command: success, validation, boundary, authorisation, state conflict and concurrency; the Node HTTP adapter</w:t>
            </w:r>
          </w:p>
        </w:tc>
        <w:tc>
          <w:tcPr>
            <w:tcW w:type="dxa" w:w="1801"/>
          </w:tcPr>
          <w:p>
            <w:pPr>
              <w:spacing w:after="0"/>
            </w:pPr>
            <w:r>
              <w:rPr>
                <w:sz w:val="18"/>
              </w:rPr>
              <w:t>74</w:t>
            </w:r>
          </w:p>
        </w:tc>
      </w:tr>
      <w:tr>
        <w:tc>
          <w:tcPr>
            <w:tcW w:type="dxa" w:w="1799"/>
          </w:tcPr>
          <w:p>
            <w:pPr>
              <w:spacing w:after="0"/>
            </w:pPr>
            <w:r>
              <w:rPr>
                <w:sz w:val="18"/>
              </w:rPr>
              <w:t>End-to-end</w:t>
            </w:r>
          </w:p>
        </w:tc>
        <w:tc>
          <w:tcPr>
            <w:tcW w:type="dxa" w:w="2753"/>
          </w:tcPr>
          <w:p>
            <w:pPr>
              <w:spacing w:after="0"/>
            </w:pPr>
            <w:r>
              <w:rPr>
                <w:sz w:val="18"/>
              </w:rPr>
              <w:t>Playwright (Chromium and Firefox; 360 px mobile)</w:t>
            </w:r>
          </w:p>
        </w:tc>
        <w:tc>
          <w:tcPr>
            <w:tcW w:type="dxa" w:w="3008"/>
          </w:tcPr>
          <w:p>
            <w:pPr>
              <w:spacing w:after="0"/>
            </w:pPr>
            <w:r>
              <w:rPr>
                <w:sz w:val="18"/>
              </w:rPr>
              <w:t>Full lifecycle across three browser sessions, duplicates, alerts, access control, validation, out-of-area GPS, Google sign-in, password reset, profile and account deletion</w:t>
            </w:r>
          </w:p>
        </w:tc>
        <w:tc>
          <w:tcPr>
            <w:tcW w:type="dxa" w:w="1801"/>
          </w:tcPr>
          <w:p>
            <w:pPr>
              <w:spacing w:after="0"/>
            </w:pPr>
            <w:r>
              <w:rPr>
                <w:sz w:val="18"/>
              </w:rPr>
              <w:t>10 + 3 non-functional (run through both API adapters)</w:t>
            </w:r>
          </w:p>
        </w:tc>
      </w:tr>
      <w:tr>
        <w:tc>
          <w:tcPr>
            <w:tcW w:type="dxa" w:w="1799"/>
          </w:tcPr>
          <w:p>
            <w:pPr>
              <w:spacing w:after="0"/>
            </w:pPr>
            <w:r>
              <w:rPr>
                <w:sz w:val="18"/>
              </w:rPr>
              <w:t>Non-functional</w:t>
            </w:r>
          </w:p>
        </w:tc>
        <w:tc>
          <w:tcPr>
            <w:tcW w:type="dxa" w:w="2753"/>
          </w:tcPr>
          <w:p>
            <w:pPr>
              <w:spacing w:after="0"/>
            </w:pPr>
            <w:r>
              <w:rPr>
                <w:sz w:val="18"/>
              </w:rPr>
              <w:t>Playwright timing, axe-core, gitleaks, ESLint, TypeScript</w:t>
            </w:r>
          </w:p>
        </w:tc>
        <w:tc>
          <w:tcPr>
            <w:tcW w:type="dxa" w:w="3008"/>
          </w:tcPr>
          <w:p>
            <w:pPr>
              <w:spacing w:after="0"/>
            </w:pPr>
            <w:r>
              <w:rPr>
                <w:sz w:val="18"/>
              </w:rPr>
              <w:t>NFR-04 to NFR-09, NFR-12</w:t>
            </w:r>
          </w:p>
        </w:tc>
        <w:tc>
          <w:tcPr>
            <w:tcW w:type="dxa" w:w="1801"/>
          </w:tcPr>
          <w:p>
            <w:pPr>
              <w:spacing w:after="0"/>
            </w:pPr>
            <w:r>
              <w:rPr>
                <w:sz w:val="18"/>
              </w:rPr>
              <w:t>—</w:t>
            </w:r>
          </w:p>
        </w:tc>
      </w:tr>
    </w:tbl>
    <w:p/>
    <w:p>
      <w:r>
        <w:t xml:space="preserve">Everything except visual review was tested automatically. </w:t>
      </w:r>
      <w:r>
        <w:rPr>
          <w:b/>
        </w:rPr>
        <w:t>Manual testing</w:t>
      </w:r>
      <w:r>
        <w:t xml:space="preserve"> consisted of exploratory sessions in each role and a review of every screenshot in Section 5.5, including mobile layouts. Seeded data (</w:t>
      </w:r>
      <w:r>
        <w:rPr>
          <w:rFonts w:ascii="Consolas" w:hAnsi="Consolas"/>
          <w:sz w:val="18"/>
        </w:rPr>
        <w:t>scripts/seed.ts</w:t>
      </w:r>
      <w:r>
        <w:t>) gives every test run the same starting state.</w:t>
      </w:r>
    </w:p>
    <w:p>
      <w:pPr>
        <w:pStyle w:val="Heading2"/>
        <w:numPr>
          <w:ilvl w:val="1"/>
          <w:numId w:val="9"/>
        </w:numPr>
      </w:pPr>
      <w:r>
        <w:t>Functional and Business-Rule Verification</w:t>
      </w:r>
    </w:p>
    <w:p>
      <w:r>
        <w:t>The table below lists the principal test cases. The complete list of 136 automated tests, with their results, is produced by CI for the submitted commit (Appendix 11.3). All tests listed passed. "As expected" means the actual result matched the expected result exactly.</w:t>
      </w:r>
    </w:p>
    <w:p>
      <w:pPr>
        <w:pStyle w:val="Caption"/>
        <w:keepNext/>
      </w:pPr>
      <w:r>
        <w:t>Table 17: Functional and business-rule test results</w:t>
      </w:r>
    </w:p>
    <w:tbl>
      <w:tblPr>
        <w:tblStyle w:val="TableGrid"/>
        <w:tblW w:type="auto" w:w="0"/>
        <w:jc w:val="center"/>
        <w:tblLayout w:type="fixed"/>
        <w:tblLook w:firstColumn="1" w:firstRow="1" w:lastColumn="0" w:lastRow="0" w:noHBand="0" w:noVBand="1" w:val="04A0"/>
        <w:tblLayout w:type="fixed"/>
      </w:tblPr>
      <w:tblGrid>
        <w:gridCol w:w="1388"/>
        <w:gridCol w:w="1210"/>
        <w:gridCol w:w="1654"/>
        <w:gridCol w:w="1388"/>
        <w:gridCol w:w="2009"/>
        <w:gridCol w:w="944"/>
        <w:gridCol w:w="767"/>
      </w:tblGrid>
      <w:tr>
        <w:trPr>
          <w:tblHeader w:val="true"/>
        </w:trPr>
        <w:tc>
          <w:tcPr>
            <w:tcW w:type="dxa" w:w="1388"/>
            <w:shd w:val="clear" w:color="auto" w:fill="D5EBF4"/>
          </w:tcPr>
          <w:p>
            <w:pPr>
              <w:spacing w:after="0"/>
            </w:pPr>
            <w:r>
              <w:rPr>
                <w:b/>
                <w:sz w:val="16"/>
              </w:rPr>
              <w:t>Test ID</w:t>
            </w:r>
          </w:p>
        </w:tc>
        <w:tc>
          <w:tcPr>
            <w:tcW w:type="dxa" w:w="1210"/>
            <w:shd w:val="clear" w:color="auto" w:fill="D5EBF4"/>
          </w:tcPr>
          <w:p>
            <w:pPr>
              <w:spacing w:after="0"/>
            </w:pPr>
            <w:r>
              <w:rPr>
                <w:b/>
                <w:sz w:val="16"/>
              </w:rPr>
              <w:t>Requirement / rule</w:t>
            </w:r>
          </w:p>
        </w:tc>
        <w:tc>
          <w:tcPr>
            <w:tcW w:type="dxa" w:w="1654"/>
            <w:shd w:val="clear" w:color="auto" w:fill="D5EBF4"/>
          </w:tcPr>
          <w:p>
            <w:pPr>
              <w:spacing w:after="0"/>
            </w:pPr>
            <w:r>
              <w:rPr>
                <w:b/>
                <w:sz w:val="16"/>
              </w:rPr>
              <w:t>Test scenario</w:t>
            </w:r>
          </w:p>
        </w:tc>
        <w:tc>
          <w:tcPr>
            <w:tcW w:type="dxa" w:w="1388"/>
            <w:shd w:val="clear" w:color="auto" w:fill="D5EBF4"/>
          </w:tcPr>
          <w:p>
            <w:pPr>
              <w:spacing w:after="0"/>
            </w:pPr>
            <w:r>
              <w:rPr>
                <w:b/>
                <w:sz w:val="16"/>
              </w:rPr>
              <w:t>Type</w:t>
            </w:r>
          </w:p>
        </w:tc>
        <w:tc>
          <w:tcPr>
            <w:tcW w:type="dxa" w:w="2009"/>
            <w:shd w:val="clear" w:color="auto" w:fill="D5EBF4"/>
          </w:tcPr>
          <w:p>
            <w:pPr>
              <w:spacing w:after="0"/>
            </w:pPr>
            <w:r>
              <w:rPr>
                <w:b/>
                <w:sz w:val="16"/>
              </w:rPr>
              <w:t>Expected result</w:t>
            </w:r>
          </w:p>
        </w:tc>
        <w:tc>
          <w:tcPr>
            <w:tcW w:type="dxa" w:w="944"/>
            <w:shd w:val="clear" w:color="auto" w:fill="D5EBF4"/>
          </w:tcPr>
          <w:p>
            <w:pPr>
              <w:spacing w:after="0"/>
            </w:pPr>
            <w:r>
              <w:rPr>
                <w:b/>
                <w:sz w:val="16"/>
              </w:rPr>
              <w:t>Actual result</w:t>
            </w:r>
          </w:p>
        </w:tc>
        <w:tc>
          <w:tcPr>
            <w:tcW w:type="dxa" w:w="767"/>
            <w:shd w:val="clear" w:color="auto" w:fill="D5EBF4"/>
          </w:tcPr>
          <w:p>
            <w:pPr>
              <w:spacing w:after="0"/>
            </w:pPr>
            <w:r>
              <w:rPr>
                <w:b/>
                <w:sz w:val="16"/>
              </w:rPr>
              <w:t>Status</w:t>
            </w:r>
          </w:p>
        </w:tc>
      </w:tr>
      <w:tr>
        <w:tc>
          <w:tcPr>
            <w:tcW w:type="dxa" w:w="1388"/>
          </w:tcPr>
          <w:p>
            <w:pPr>
              <w:spacing w:after="0"/>
            </w:pPr>
            <w:r>
              <w:rPr>
                <w:sz w:val="16"/>
              </w:rPr>
              <w:t>E2E-01</w:t>
            </w:r>
          </w:p>
        </w:tc>
        <w:tc>
          <w:tcPr>
            <w:tcW w:type="dxa" w:w="1210"/>
          </w:tcPr>
          <w:p>
            <w:pPr>
              <w:spacing w:after="0"/>
            </w:pPr>
            <w:r>
              <w:rPr>
                <w:sz w:val="16"/>
              </w:rPr>
              <w:t>SC-01, FR-03–FR-14</w:t>
            </w:r>
          </w:p>
        </w:tc>
        <w:tc>
          <w:tcPr>
            <w:tcW w:type="dxa" w:w="1654"/>
          </w:tcPr>
          <w:p>
            <w:pPr>
              <w:spacing w:after="0"/>
            </w:pPr>
            <w:r>
              <w:rPr>
                <w:sz w:val="16"/>
              </w:rPr>
              <w:t>Resident submits → official triages and assigns → worker accepts, starts, completes with proof → resident sees Resolved and confirms</w:t>
            </w:r>
          </w:p>
        </w:tc>
        <w:tc>
          <w:tcPr>
            <w:tcW w:type="dxa" w:w="1388"/>
          </w:tcPr>
          <w:p>
            <w:pPr>
              <w:spacing w:after="0"/>
            </w:pPr>
            <w:r>
              <w:rPr>
                <w:sz w:val="16"/>
              </w:rPr>
              <w:t>End-to-end</w:t>
            </w:r>
          </w:p>
        </w:tc>
        <w:tc>
          <w:tcPr>
            <w:tcW w:type="dxa" w:w="2009"/>
          </w:tcPr>
          <w:p>
            <w:pPr>
              <w:spacing w:after="0"/>
            </w:pPr>
            <w:r>
              <w:rPr>
                <w:sz w:val="16"/>
              </w:rPr>
              <w:t>Report Closed; full timeline; updates live</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IT-RPT-01</w:t>
            </w:r>
          </w:p>
        </w:tc>
        <w:tc>
          <w:tcPr>
            <w:tcW w:type="dxa" w:w="1210"/>
          </w:tcPr>
          <w:p>
            <w:pPr>
              <w:spacing w:after="0"/>
            </w:pPr>
            <w:r>
              <w:rPr>
                <w:sz w:val="16"/>
              </w:rPr>
              <w:t>FR-03, FR-04</w:t>
            </w:r>
          </w:p>
        </w:tc>
        <w:tc>
          <w:tcPr>
            <w:tcW w:type="dxa" w:w="1654"/>
          </w:tcPr>
          <w:p>
            <w:pPr>
              <w:spacing w:after="0"/>
            </w:pPr>
            <w:r>
              <w:rPr>
                <w:sz w:val="16"/>
              </w:rPr>
              <w:t>Valid submission with photo</w:t>
            </w:r>
          </w:p>
        </w:tc>
        <w:tc>
          <w:tcPr>
            <w:tcW w:type="dxa" w:w="1388"/>
          </w:tcPr>
          <w:p>
            <w:pPr>
              <w:spacing w:after="0"/>
            </w:pPr>
            <w:r>
              <w:rPr>
                <w:sz w:val="16"/>
              </w:rPr>
              <w:t>Integration</w:t>
            </w:r>
          </w:p>
        </w:tc>
        <w:tc>
          <w:tcPr>
            <w:tcW w:type="dxa" w:w="2009"/>
          </w:tcPr>
          <w:p>
            <w:pPr>
              <w:spacing w:after="0"/>
            </w:pPr>
            <w:r>
              <w:rPr>
                <w:sz w:val="16"/>
              </w:rPr>
              <w:t>Submitted, CL- reference</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IT-RPT-02</w:t>
            </w:r>
          </w:p>
        </w:tc>
        <w:tc>
          <w:tcPr>
            <w:tcW w:type="dxa" w:w="1210"/>
          </w:tcPr>
          <w:p>
            <w:pPr>
              <w:spacing w:after="0"/>
            </w:pPr>
            <w:r>
              <w:rPr>
                <w:sz w:val="16"/>
              </w:rPr>
              <w:t>BR-02</w:t>
            </w:r>
          </w:p>
        </w:tc>
        <w:tc>
          <w:tcPr>
            <w:tcW w:type="dxa" w:w="1654"/>
          </w:tcPr>
          <w:p>
            <w:pPr>
              <w:spacing w:after="0"/>
            </w:pPr>
            <w:r>
              <w:rPr>
                <w:sz w:val="16"/>
              </w:rPr>
              <w:t>Short description and unknown suburb</w:t>
            </w:r>
          </w:p>
        </w:tc>
        <w:tc>
          <w:tcPr>
            <w:tcW w:type="dxa" w:w="1388"/>
          </w:tcPr>
          <w:p>
            <w:pPr>
              <w:spacing w:after="0"/>
            </w:pPr>
            <w:r>
              <w:rPr>
                <w:sz w:val="16"/>
              </w:rPr>
              <w:t>Validation</w:t>
            </w:r>
          </w:p>
        </w:tc>
        <w:tc>
          <w:tcPr>
            <w:tcW w:type="dxa" w:w="2009"/>
          </w:tcPr>
          <w:p>
            <w:pPr>
              <w:spacing w:after="0"/>
            </w:pPr>
            <w:r>
              <w:rPr>
                <w:sz w:val="16"/>
              </w:rPr>
              <w:t>invalid-argument with both field errors; nothing written</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IT-RPT-03</w:t>
            </w:r>
          </w:p>
        </w:tc>
        <w:tc>
          <w:tcPr>
            <w:tcW w:type="dxa" w:w="1210"/>
          </w:tcPr>
          <w:p>
            <w:pPr>
              <w:spacing w:after="0"/>
            </w:pPr>
            <w:r>
              <w:rPr>
                <w:sz w:val="16"/>
              </w:rPr>
              <w:t>BR-02</w:t>
            </w:r>
          </w:p>
        </w:tc>
        <w:tc>
          <w:tcPr>
            <w:tcW w:type="dxa" w:w="1654"/>
          </w:tcPr>
          <w:p>
            <w:pPr>
              <w:spacing w:after="0"/>
            </w:pPr>
            <w:r>
              <w:rPr>
                <w:sz w:val="16"/>
              </w:rPr>
              <w:t>Location in Johannesburg</w:t>
            </w:r>
          </w:p>
        </w:tc>
        <w:tc>
          <w:tcPr>
            <w:tcW w:type="dxa" w:w="1388"/>
          </w:tcPr>
          <w:p>
            <w:pPr>
              <w:spacing w:after="0"/>
            </w:pPr>
            <w:r>
              <w:rPr>
                <w:sz w:val="16"/>
              </w:rPr>
              <w:t>Boundary</w:t>
            </w:r>
          </w:p>
        </w:tc>
        <w:tc>
          <w:tcPr>
            <w:tcW w:type="dxa" w:w="2009"/>
          </w:tcPr>
          <w:p>
            <w:pPr>
              <w:spacing w:after="0"/>
            </w:pPr>
            <w:r>
              <w:rPr>
                <w:sz w:val="16"/>
              </w:rPr>
              <w:t>Refused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IT-RPT-04</w:t>
            </w:r>
          </w:p>
        </w:tc>
        <w:tc>
          <w:tcPr>
            <w:tcW w:type="dxa" w:w="1210"/>
          </w:tcPr>
          <w:p>
            <w:pPr>
              <w:spacing w:after="0"/>
            </w:pPr>
            <w:r>
              <w:rPr>
                <w:sz w:val="16"/>
              </w:rPr>
              <w:t>BR-02</w:t>
            </w:r>
          </w:p>
        </w:tc>
        <w:tc>
          <w:tcPr>
            <w:tcW w:type="dxa" w:w="1654"/>
          </w:tcPr>
          <w:p>
            <w:pPr>
              <w:spacing w:after="0"/>
            </w:pPr>
            <w:r>
              <w:rPr>
                <w:sz w:val="16"/>
              </w:rPr>
              <w:t>Photo path of another user / missing file</w:t>
            </w:r>
          </w:p>
        </w:tc>
        <w:tc>
          <w:tcPr>
            <w:tcW w:type="dxa" w:w="1388"/>
          </w:tcPr>
          <w:p>
            <w:pPr>
              <w:spacing w:after="0"/>
            </w:pPr>
            <w:r>
              <w:rPr>
                <w:sz w:val="16"/>
              </w:rPr>
              <w:t>Authorisation</w:t>
            </w:r>
          </w:p>
        </w:tc>
        <w:tc>
          <w:tcPr>
            <w:tcW w:type="dxa" w:w="2009"/>
          </w:tcPr>
          <w:p>
            <w:pPr>
              <w:spacing w:after="0"/>
            </w:pPr>
            <w:r>
              <w:rPr>
                <w:sz w:val="16"/>
              </w:rPr>
              <w:t>Refused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IT-RPT-06</w:t>
            </w:r>
          </w:p>
        </w:tc>
        <w:tc>
          <w:tcPr>
            <w:tcW w:type="dxa" w:w="1210"/>
          </w:tcPr>
          <w:p>
            <w:pPr>
              <w:spacing w:after="0"/>
            </w:pPr>
            <w:r>
              <w:rPr>
                <w:sz w:val="16"/>
              </w:rPr>
              <w:t>BR-01</w:t>
            </w:r>
          </w:p>
        </w:tc>
        <w:tc>
          <w:tcPr>
            <w:tcW w:type="dxa" w:w="1654"/>
          </w:tcPr>
          <w:p>
            <w:pPr>
              <w:spacing w:after="0"/>
            </w:pPr>
            <w:r>
              <w:rPr>
                <w:sz w:val="16"/>
              </w:rPr>
              <w:t>Official, worker and anonymous submit</w:t>
            </w:r>
          </w:p>
        </w:tc>
        <w:tc>
          <w:tcPr>
            <w:tcW w:type="dxa" w:w="1388"/>
          </w:tcPr>
          <w:p>
            <w:pPr>
              <w:spacing w:after="0"/>
            </w:pPr>
            <w:r>
              <w:rPr>
                <w:sz w:val="16"/>
              </w:rPr>
              <w:t>Authorisation</w:t>
            </w:r>
          </w:p>
        </w:tc>
        <w:tc>
          <w:tcPr>
            <w:tcW w:type="dxa" w:w="2009"/>
          </w:tcPr>
          <w:p>
            <w:pPr>
              <w:spacing w:after="0"/>
            </w:pPr>
            <w:r>
              <w:rPr>
                <w:sz w:val="16"/>
              </w:rPr>
              <w:t>permission-denied / unauthenticated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IT-RPT-08</w:t>
            </w:r>
          </w:p>
        </w:tc>
        <w:tc>
          <w:tcPr>
            <w:tcW w:type="dxa" w:w="1210"/>
          </w:tcPr>
          <w:p>
            <w:pPr>
              <w:spacing w:after="0"/>
            </w:pPr>
            <w:r>
              <w:rPr>
                <w:sz w:val="16"/>
              </w:rPr>
              <w:t>BR-04, NFR-10</w:t>
            </w:r>
          </w:p>
        </w:tc>
        <w:tc>
          <w:tcPr>
            <w:tcW w:type="dxa" w:w="1654"/>
          </w:tcPr>
          <w:p>
            <w:pPr>
              <w:spacing w:after="0"/>
            </w:pPr>
            <w:r>
              <w:rPr>
                <w:sz w:val="16"/>
              </w:rPr>
              <w:t>12 concurrent submissions</w:t>
            </w:r>
          </w:p>
        </w:tc>
        <w:tc>
          <w:tcPr>
            <w:tcW w:type="dxa" w:w="1388"/>
          </w:tcPr>
          <w:p>
            <w:pPr>
              <w:spacing w:after="0"/>
            </w:pPr>
            <w:r>
              <w:rPr>
                <w:sz w:val="16"/>
              </w:rPr>
              <w:t>Concurrency</w:t>
            </w:r>
          </w:p>
        </w:tc>
        <w:tc>
          <w:tcPr>
            <w:tcW w:type="dxa" w:w="2009"/>
          </w:tcPr>
          <w:p>
            <w:pPr>
              <w:spacing w:after="0"/>
            </w:pPr>
            <w:r>
              <w:rPr>
                <w:sz w:val="16"/>
              </w:rPr>
              <w:t>12 unique, consecutive references</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UT-DUP-01..04</w:t>
            </w:r>
          </w:p>
        </w:tc>
        <w:tc>
          <w:tcPr>
            <w:tcW w:type="dxa" w:w="1210"/>
          </w:tcPr>
          <w:p>
            <w:pPr>
              <w:spacing w:after="0"/>
            </w:pPr>
            <w:r>
              <w:rPr>
                <w:sz w:val="16"/>
              </w:rPr>
              <w:t>BR-03</w:t>
            </w:r>
          </w:p>
        </w:tc>
        <w:tc>
          <w:tcPr>
            <w:tcW w:type="dxa" w:w="1654"/>
          </w:tcPr>
          <w:p>
            <w:pPr>
              <w:spacing w:after="0"/>
            </w:pPr>
            <w:r>
              <w:rPr>
                <w:sz w:val="16"/>
              </w:rPr>
              <w:t>99/100/101 m; 71/72/73 h; other category; closed original</w:t>
            </w:r>
          </w:p>
        </w:tc>
        <w:tc>
          <w:tcPr>
            <w:tcW w:type="dxa" w:w="1388"/>
          </w:tcPr>
          <w:p>
            <w:pPr>
              <w:spacing w:after="0"/>
            </w:pPr>
            <w:r>
              <w:rPr>
                <w:sz w:val="16"/>
              </w:rPr>
              <w:t>Boundary</w:t>
            </w:r>
          </w:p>
        </w:tc>
        <w:tc>
          <w:tcPr>
            <w:tcW w:type="dxa" w:w="2009"/>
          </w:tcPr>
          <w:p>
            <w:pPr>
              <w:spacing w:after="0"/>
            </w:pPr>
            <w:r>
              <w:rPr>
                <w:sz w:val="16"/>
              </w:rPr>
              <w:t>Duplicate only within 100 m, 72 h, same category, open</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IT-RPT-09, E2E-02</w:t>
            </w:r>
          </w:p>
        </w:tc>
        <w:tc>
          <w:tcPr>
            <w:tcW w:type="dxa" w:w="1210"/>
          </w:tcPr>
          <w:p>
            <w:pPr>
              <w:spacing w:after="0"/>
            </w:pPr>
            <w:r>
              <w:rPr>
                <w:sz w:val="16"/>
              </w:rPr>
              <w:t>FR-05</w:t>
            </w:r>
          </w:p>
        </w:tc>
        <w:tc>
          <w:tcPr>
            <w:tcW w:type="dxa" w:w="1654"/>
          </w:tcPr>
          <w:p>
            <w:pPr>
              <w:spacing w:after="0"/>
            </w:pPr>
            <w:r>
              <w:rPr>
                <w:sz w:val="16"/>
              </w:rPr>
              <w:t>Second resident reports the same issue 33–60 m away</w:t>
            </w:r>
          </w:p>
        </w:tc>
        <w:tc>
          <w:tcPr>
            <w:tcW w:type="dxa" w:w="1388"/>
          </w:tcPr>
          <w:p>
            <w:pPr>
              <w:spacing w:after="0"/>
            </w:pPr>
            <w:r>
              <w:rPr>
                <w:sz w:val="16"/>
              </w:rPr>
              <w:t>Integration / E2E</w:t>
            </w:r>
          </w:p>
        </w:tc>
        <w:tc>
          <w:tcPr>
            <w:tcW w:type="dxa" w:w="2009"/>
          </w:tcPr>
          <w:p>
            <w:pPr>
              <w:spacing w:after="0"/>
            </w:pPr>
            <w:r>
              <w:rPr>
                <w:sz w:val="16"/>
              </w:rPr>
              <w:t>Linked as duplicate; original count 2; follower added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UT-RSM-01..03</w:t>
            </w:r>
          </w:p>
        </w:tc>
        <w:tc>
          <w:tcPr>
            <w:tcW w:type="dxa" w:w="1210"/>
          </w:tcPr>
          <w:p>
            <w:pPr>
              <w:spacing w:after="0"/>
            </w:pPr>
            <w:r>
              <w:rPr>
                <w:sz w:val="16"/>
              </w:rPr>
              <w:t>BR-05</w:t>
            </w:r>
          </w:p>
        </w:tc>
        <w:tc>
          <w:tcPr>
            <w:tcW w:type="dxa" w:w="1654"/>
          </w:tcPr>
          <w:p>
            <w:pPr>
              <w:spacing w:after="0"/>
            </w:pPr>
            <w:r>
              <w:rPr>
                <w:sz w:val="16"/>
              </w:rPr>
              <w:t>Every allowed and every disallowed (status, event, actor)</w:t>
            </w:r>
          </w:p>
        </w:tc>
        <w:tc>
          <w:tcPr>
            <w:tcW w:type="dxa" w:w="1388"/>
          </w:tcPr>
          <w:p>
            <w:pPr>
              <w:spacing w:after="0"/>
            </w:pPr>
            <w:r>
              <w:rPr>
                <w:sz w:val="16"/>
              </w:rPr>
              <w:t>Unit</w:t>
            </w:r>
          </w:p>
        </w:tc>
        <w:tc>
          <w:tcPr>
            <w:tcW w:type="dxa" w:w="2009"/>
          </w:tcPr>
          <w:p>
            <w:pPr>
              <w:spacing w:after="0"/>
            </w:pPr>
            <w:r>
              <w:rPr>
                <w:sz w:val="16"/>
              </w:rPr>
              <w:t>Only the transitions of Figure 7 succeed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IT-TRI-02</w:t>
            </w:r>
          </w:p>
        </w:tc>
        <w:tc>
          <w:tcPr>
            <w:tcW w:type="dxa" w:w="1210"/>
          </w:tcPr>
          <w:p>
            <w:pPr>
              <w:spacing w:after="0"/>
            </w:pPr>
            <w:r>
              <w:rPr>
                <w:sz w:val="16"/>
              </w:rPr>
              <w:t>BR-05</w:t>
            </w:r>
          </w:p>
        </w:tc>
        <w:tc>
          <w:tcPr>
            <w:tcW w:type="dxa" w:w="1654"/>
          </w:tcPr>
          <w:p>
            <w:pPr>
              <w:spacing w:after="0"/>
            </w:pPr>
            <w:r>
              <w:rPr>
                <w:sz w:val="16"/>
              </w:rPr>
              <w:t>Triage an already-reviewed report</w:t>
            </w:r>
          </w:p>
        </w:tc>
        <w:tc>
          <w:tcPr>
            <w:tcW w:type="dxa" w:w="1388"/>
          </w:tcPr>
          <w:p>
            <w:pPr>
              <w:spacing w:after="0"/>
            </w:pPr>
            <w:r>
              <w:rPr>
                <w:sz w:val="16"/>
              </w:rPr>
              <w:t>State conflict</w:t>
            </w:r>
          </w:p>
        </w:tc>
        <w:tc>
          <w:tcPr>
            <w:tcW w:type="dxa" w:w="2009"/>
          </w:tcPr>
          <w:p>
            <w:pPr>
              <w:spacing w:after="0"/>
            </w:pPr>
            <w:r>
              <w:rPr>
                <w:sz w:val="16"/>
              </w:rPr>
              <w:t>failed-precondition</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IT-TRI-03</w:t>
            </w:r>
          </w:p>
        </w:tc>
        <w:tc>
          <w:tcPr>
            <w:tcW w:type="dxa" w:w="1210"/>
          </w:tcPr>
          <w:p>
            <w:pPr>
              <w:spacing w:after="0"/>
            </w:pPr>
            <w:r>
              <w:rPr>
                <w:sz w:val="16"/>
              </w:rPr>
              <w:t>BR-12</w:t>
            </w:r>
          </w:p>
        </w:tc>
        <w:tc>
          <w:tcPr>
            <w:tcW w:type="dxa" w:w="1654"/>
          </w:tcPr>
          <w:p>
            <w:pPr>
              <w:spacing w:after="0"/>
            </w:pPr>
            <w:r>
              <w:rPr>
                <w:sz w:val="16"/>
              </w:rPr>
              <w:t>Reject with a 2-character reason</w:t>
            </w:r>
          </w:p>
        </w:tc>
        <w:tc>
          <w:tcPr>
            <w:tcW w:type="dxa" w:w="1388"/>
          </w:tcPr>
          <w:p>
            <w:pPr>
              <w:spacing w:after="0"/>
            </w:pPr>
            <w:r>
              <w:rPr>
                <w:sz w:val="16"/>
              </w:rPr>
              <w:t>Validation</w:t>
            </w:r>
          </w:p>
        </w:tc>
        <w:tc>
          <w:tcPr>
            <w:tcW w:type="dxa" w:w="2009"/>
          </w:tcPr>
          <w:p>
            <w:pPr>
              <w:spacing w:after="0"/>
            </w:pPr>
            <w:r>
              <w:rPr>
                <w:sz w:val="16"/>
              </w:rPr>
              <w:t>Refused; valid reason → Rejected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IT-TRI-04</w:t>
            </w:r>
          </w:p>
        </w:tc>
        <w:tc>
          <w:tcPr>
            <w:tcW w:type="dxa" w:w="1210"/>
          </w:tcPr>
          <w:p>
            <w:pPr>
              <w:spacing w:after="0"/>
            </w:pPr>
            <w:r>
              <w:rPr>
                <w:sz w:val="16"/>
              </w:rPr>
              <w:t>BR-20</w:t>
            </w:r>
          </w:p>
        </w:tc>
        <w:tc>
          <w:tcPr>
            <w:tcW w:type="dxa" w:w="1654"/>
          </w:tcPr>
          <w:p>
            <w:pPr>
              <w:spacing w:after="0"/>
            </w:pPr>
            <w:r>
              <w:rPr>
                <w:sz w:val="16"/>
              </w:rPr>
              <w:t>Roads official triages a water report</w:t>
            </w:r>
          </w:p>
        </w:tc>
        <w:tc>
          <w:tcPr>
            <w:tcW w:type="dxa" w:w="1388"/>
          </w:tcPr>
          <w:p>
            <w:pPr>
              <w:spacing w:after="0"/>
            </w:pPr>
            <w:r>
              <w:rPr>
                <w:sz w:val="16"/>
              </w:rPr>
              <w:t>Authorisation</w:t>
            </w:r>
          </w:p>
        </w:tc>
        <w:tc>
          <w:tcPr>
            <w:tcW w:type="dxa" w:w="2009"/>
          </w:tcPr>
          <w:p>
            <w:pPr>
              <w:spacing w:after="0"/>
            </w:pPr>
            <w:r>
              <w:rPr>
                <w:sz w:val="16"/>
              </w:rPr>
              <w:t>permission-denied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IT-ASG-02, -03</w:t>
            </w:r>
          </w:p>
        </w:tc>
        <w:tc>
          <w:tcPr>
            <w:tcW w:type="dxa" w:w="1210"/>
          </w:tcPr>
          <w:p>
            <w:pPr>
              <w:spacing w:after="0"/>
            </w:pPr>
            <w:r>
              <w:rPr>
                <w:sz w:val="16"/>
              </w:rPr>
              <w:t>BR-07</w:t>
            </w:r>
          </w:p>
        </w:tc>
        <w:tc>
          <w:tcPr>
            <w:tcW w:type="dxa" w:w="1654"/>
          </w:tcPr>
          <w:p>
            <w:pPr>
              <w:spacing w:after="0"/>
            </w:pPr>
            <w:r>
              <w:rPr>
                <w:sz w:val="16"/>
              </w:rPr>
              <w:t>Assign to a roads worker / deactivated worker</w:t>
            </w:r>
          </w:p>
        </w:tc>
        <w:tc>
          <w:tcPr>
            <w:tcW w:type="dxa" w:w="1388"/>
          </w:tcPr>
          <w:p>
            <w:pPr>
              <w:spacing w:after="0"/>
            </w:pPr>
            <w:r>
              <w:rPr>
                <w:sz w:val="16"/>
              </w:rPr>
              <w:t>Validation</w:t>
            </w:r>
          </w:p>
        </w:tc>
        <w:tc>
          <w:tcPr>
            <w:tcW w:type="dxa" w:w="2009"/>
          </w:tcPr>
          <w:p>
            <w:pPr>
              <w:spacing w:after="0"/>
            </w:pPr>
            <w:r>
              <w:rPr>
                <w:sz w:val="16"/>
              </w:rPr>
              <w:t>Refused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IT-ASG-04</w:t>
            </w:r>
          </w:p>
        </w:tc>
        <w:tc>
          <w:tcPr>
            <w:tcW w:type="dxa" w:w="1210"/>
          </w:tcPr>
          <w:p>
            <w:pPr>
              <w:spacing w:after="0"/>
            </w:pPr>
            <w:r>
              <w:rPr>
                <w:sz w:val="16"/>
              </w:rPr>
              <w:t>BR-06</w:t>
            </w:r>
          </w:p>
        </w:tc>
        <w:tc>
          <w:tcPr>
            <w:tcW w:type="dxa" w:w="1654"/>
          </w:tcPr>
          <w:p>
            <w:pPr>
              <w:spacing w:after="0"/>
            </w:pPr>
            <w:r>
              <w:rPr>
                <w:sz w:val="16"/>
              </w:rPr>
              <w:t>Assign a report with an active task</w:t>
            </w:r>
          </w:p>
        </w:tc>
        <w:tc>
          <w:tcPr>
            <w:tcW w:type="dxa" w:w="1388"/>
          </w:tcPr>
          <w:p>
            <w:pPr>
              <w:spacing w:after="0"/>
            </w:pPr>
            <w:r>
              <w:rPr>
                <w:sz w:val="16"/>
              </w:rPr>
              <w:t>State conflict</w:t>
            </w:r>
          </w:p>
        </w:tc>
        <w:tc>
          <w:tcPr>
            <w:tcW w:type="dxa" w:w="2009"/>
          </w:tcPr>
          <w:p>
            <w:pPr>
              <w:spacing w:after="0"/>
            </w:pPr>
            <w:r>
              <w:rPr>
                <w:sz w:val="16"/>
              </w:rPr>
              <w:t>failed-precondition</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IT-ASG-07</w:t>
            </w:r>
          </w:p>
        </w:tc>
        <w:tc>
          <w:tcPr>
            <w:tcW w:type="dxa" w:w="1210"/>
          </w:tcPr>
          <w:p>
            <w:pPr>
              <w:spacing w:after="0"/>
            </w:pPr>
            <w:r>
              <w:rPr>
                <w:sz w:val="16"/>
              </w:rPr>
              <w:t>NFR-10</w:t>
            </w:r>
          </w:p>
        </w:tc>
        <w:tc>
          <w:tcPr>
            <w:tcW w:type="dxa" w:w="1654"/>
          </w:tcPr>
          <w:p>
            <w:pPr>
              <w:spacing w:after="0"/>
            </w:pPr>
            <w:r>
              <w:rPr>
                <w:sz w:val="16"/>
              </w:rPr>
              <w:t>Two officials assign the same report simultaneously</w:t>
            </w:r>
          </w:p>
        </w:tc>
        <w:tc>
          <w:tcPr>
            <w:tcW w:type="dxa" w:w="1388"/>
          </w:tcPr>
          <w:p>
            <w:pPr>
              <w:spacing w:after="0"/>
            </w:pPr>
            <w:r>
              <w:rPr>
                <w:sz w:val="16"/>
              </w:rPr>
              <w:t>Concurrency</w:t>
            </w:r>
          </w:p>
        </w:tc>
        <w:tc>
          <w:tcPr>
            <w:tcW w:type="dxa" w:w="2009"/>
          </w:tcPr>
          <w:p>
            <w:pPr>
              <w:spacing w:after="0"/>
            </w:pPr>
            <w:r>
              <w:rPr>
                <w:sz w:val="16"/>
              </w:rPr>
              <w:t>Exactly one succeeds; one task exists</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IT-ASG-08</w:t>
            </w:r>
          </w:p>
        </w:tc>
        <w:tc>
          <w:tcPr>
            <w:tcW w:type="dxa" w:w="1210"/>
          </w:tcPr>
          <w:p>
            <w:pPr>
              <w:spacing w:after="0"/>
            </w:pPr>
            <w:r>
              <w:rPr>
                <w:sz w:val="16"/>
              </w:rPr>
              <w:t>FR-12</w:t>
            </w:r>
          </w:p>
        </w:tc>
        <w:tc>
          <w:tcPr>
            <w:tcW w:type="dxa" w:w="1654"/>
          </w:tcPr>
          <w:p>
            <w:pPr>
              <w:spacing w:after="0"/>
            </w:pPr>
            <w:r>
              <w:rPr>
                <w:sz w:val="16"/>
              </w:rPr>
              <w:t>Reassign</w:t>
            </w:r>
          </w:p>
        </w:tc>
        <w:tc>
          <w:tcPr>
            <w:tcW w:type="dxa" w:w="1388"/>
          </w:tcPr>
          <w:p>
            <w:pPr>
              <w:spacing w:after="0"/>
            </w:pPr>
            <w:r>
              <w:rPr>
                <w:sz w:val="16"/>
              </w:rPr>
              <w:t>Integration</w:t>
            </w:r>
          </w:p>
        </w:tc>
        <w:tc>
          <w:tcPr>
            <w:tcW w:type="dxa" w:w="2009"/>
          </w:tcPr>
          <w:p>
            <w:pPr>
              <w:spacing w:after="0"/>
            </w:pPr>
            <w:r>
              <w:rPr>
                <w:sz w:val="16"/>
              </w:rPr>
              <w:t>Old task Reassigned, new task Assigned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IT-TSK-02</w:t>
            </w:r>
          </w:p>
        </w:tc>
        <w:tc>
          <w:tcPr>
            <w:tcW w:type="dxa" w:w="1210"/>
          </w:tcPr>
          <w:p>
            <w:pPr>
              <w:spacing w:after="0"/>
            </w:pPr>
            <w:r>
              <w:rPr>
                <w:sz w:val="16"/>
              </w:rPr>
              <w:t>BR-08</w:t>
            </w:r>
          </w:p>
        </w:tc>
        <w:tc>
          <w:tcPr>
            <w:tcW w:type="dxa" w:w="1654"/>
          </w:tcPr>
          <w:p>
            <w:pPr>
              <w:spacing w:after="0"/>
            </w:pPr>
            <w:r>
              <w:rPr>
                <w:sz w:val="16"/>
              </w:rPr>
              <w:t>Another worker accepts the task</w:t>
            </w:r>
          </w:p>
        </w:tc>
        <w:tc>
          <w:tcPr>
            <w:tcW w:type="dxa" w:w="1388"/>
          </w:tcPr>
          <w:p>
            <w:pPr>
              <w:spacing w:after="0"/>
            </w:pPr>
            <w:r>
              <w:rPr>
                <w:sz w:val="16"/>
              </w:rPr>
              <w:t>Authorisation</w:t>
            </w:r>
          </w:p>
        </w:tc>
        <w:tc>
          <w:tcPr>
            <w:tcW w:type="dxa" w:w="2009"/>
          </w:tcPr>
          <w:p>
            <w:pPr>
              <w:spacing w:after="0"/>
            </w:pPr>
            <w:r>
              <w:rPr>
                <w:sz w:val="16"/>
              </w:rPr>
              <w:t>permission-denied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IT-TSK-03</w:t>
            </w:r>
          </w:p>
        </w:tc>
        <w:tc>
          <w:tcPr>
            <w:tcW w:type="dxa" w:w="1210"/>
          </w:tcPr>
          <w:p>
            <w:pPr>
              <w:spacing w:after="0"/>
            </w:pPr>
            <w:r>
              <w:rPr>
                <w:sz w:val="16"/>
              </w:rPr>
              <w:t>BR-08</w:t>
            </w:r>
          </w:p>
        </w:tc>
        <w:tc>
          <w:tcPr>
            <w:tcW w:type="dxa" w:w="1654"/>
          </w:tcPr>
          <w:p>
            <w:pPr>
              <w:spacing w:after="0"/>
            </w:pPr>
            <w:r>
              <w:rPr>
                <w:sz w:val="16"/>
              </w:rPr>
              <w:t>Start before accept; complete before start</w:t>
            </w:r>
          </w:p>
        </w:tc>
        <w:tc>
          <w:tcPr>
            <w:tcW w:type="dxa" w:w="1388"/>
          </w:tcPr>
          <w:p>
            <w:pPr>
              <w:spacing w:after="0"/>
            </w:pPr>
            <w:r>
              <w:rPr>
                <w:sz w:val="16"/>
              </w:rPr>
              <w:t>State conflict</w:t>
            </w:r>
          </w:p>
        </w:tc>
        <w:tc>
          <w:tcPr>
            <w:tcW w:type="dxa" w:w="2009"/>
          </w:tcPr>
          <w:p>
            <w:pPr>
              <w:spacing w:after="0"/>
            </w:pPr>
            <w:r>
              <w:rPr>
                <w:sz w:val="16"/>
              </w:rPr>
              <w:t>failed-precondition</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IT-TSK-04</w:t>
            </w:r>
          </w:p>
        </w:tc>
        <w:tc>
          <w:tcPr>
            <w:tcW w:type="dxa" w:w="1210"/>
          </w:tcPr>
          <w:p>
            <w:pPr>
              <w:spacing w:after="0"/>
            </w:pPr>
            <w:r>
              <w:rPr>
                <w:sz w:val="16"/>
              </w:rPr>
              <w:t>BR-09</w:t>
            </w:r>
          </w:p>
        </w:tc>
        <w:tc>
          <w:tcPr>
            <w:tcW w:type="dxa" w:w="1654"/>
          </w:tcPr>
          <w:p>
            <w:pPr>
              <w:spacing w:after="0"/>
            </w:pPr>
            <w:r>
              <w:rPr>
                <w:sz w:val="16"/>
              </w:rPr>
              <w:t>Complete with 2-character notes and no photo</w:t>
            </w:r>
          </w:p>
        </w:tc>
        <w:tc>
          <w:tcPr>
            <w:tcW w:type="dxa" w:w="1388"/>
          </w:tcPr>
          <w:p>
            <w:pPr>
              <w:spacing w:after="0"/>
            </w:pPr>
            <w:r>
              <w:rPr>
                <w:sz w:val="16"/>
              </w:rPr>
              <w:t>Validation</w:t>
            </w:r>
          </w:p>
        </w:tc>
        <w:tc>
          <w:tcPr>
            <w:tcW w:type="dxa" w:w="2009"/>
          </w:tcPr>
          <w:p>
            <w:pPr>
              <w:spacing w:after="0"/>
            </w:pPr>
            <w:r>
              <w:rPr>
                <w:sz w:val="16"/>
              </w:rPr>
              <w:t>invalid-argument</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IT-TSK-06</w:t>
            </w:r>
          </w:p>
        </w:tc>
        <w:tc>
          <w:tcPr>
            <w:tcW w:type="dxa" w:w="1210"/>
          </w:tcPr>
          <w:p>
            <w:pPr>
              <w:spacing w:after="0"/>
            </w:pPr>
            <w:r>
              <w:rPr>
                <w:sz w:val="16"/>
              </w:rPr>
              <w:t>BR-09, NFR-10</w:t>
            </w:r>
          </w:p>
        </w:tc>
        <w:tc>
          <w:tcPr>
            <w:tcW w:type="dxa" w:w="1654"/>
          </w:tcPr>
          <w:p>
            <w:pPr>
              <w:spacing w:after="0"/>
            </w:pPr>
            <w:r>
              <w:rPr>
                <w:sz w:val="16"/>
              </w:rPr>
              <w:t>Complete a task reassigned while on site</w:t>
            </w:r>
          </w:p>
        </w:tc>
        <w:tc>
          <w:tcPr>
            <w:tcW w:type="dxa" w:w="1388"/>
          </w:tcPr>
          <w:p>
            <w:pPr>
              <w:spacing w:after="0"/>
            </w:pPr>
            <w:r>
              <w:rPr>
                <w:sz w:val="16"/>
              </w:rPr>
              <w:t>Failure</w:t>
            </w:r>
          </w:p>
        </w:tc>
        <w:tc>
          <w:tcPr>
            <w:tcW w:type="dxa" w:w="2009"/>
          </w:tcPr>
          <w:p>
            <w:pPr>
              <w:spacing w:after="0"/>
            </w:pPr>
            <w:r>
              <w:rPr>
                <w:sz w:val="16"/>
              </w:rPr>
              <w:t>Refused; report unchanged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IT-ESC-01</w:t>
            </w:r>
          </w:p>
        </w:tc>
        <w:tc>
          <w:tcPr>
            <w:tcW w:type="dxa" w:w="1210"/>
          </w:tcPr>
          <w:p>
            <w:pPr>
              <w:spacing w:after="0"/>
            </w:pPr>
            <w:r>
              <w:rPr>
                <w:sz w:val="16"/>
              </w:rPr>
              <w:t>BR-10</w:t>
            </w:r>
          </w:p>
        </w:tc>
        <w:tc>
          <w:tcPr>
            <w:tcW w:type="dxa" w:w="1654"/>
          </w:tcPr>
          <w:p>
            <w:pPr>
              <w:spacing w:after="0"/>
            </w:pPr>
            <w:r>
              <w:rPr>
                <w:sz w:val="16"/>
              </w:rPr>
              <w:t>Run schedule with clock 49 h after creation (SLA 48 h); run again</w:t>
            </w:r>
          </w:p>
        </w:tc>
        <w:tc>
          <w:tcPr>
            <w:tcW w:type="dxa" w:w="1388"/>
          </w:tcPr>
          <w:p>
            <w:pPr>
              <w:spacing w:after="0"/>
            </w:pPr>
            <w:r>
              <w:rPr>
                <w:sz w:val="16"/>
              </w:rPr>
              <w:t>Boundary</w:t>
            </w:r>
          </w:p>
        </w:tc>
        <w:tc>
          <w:tcPr>
            <w:tcW w:type="dxa" w:w="2009"/>
          </w:tcPr>
          <w:p>
            <w:pPr>
              <w:spacing w:after="0"/>
            </w:pPr>
            <w:r>
              <w:rPr>
                <w:sz w:val="16"/>
              </w:rPr>
              <w:t>Escalated once; second run no change</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IT-RES-02</w:t>
            </w:r>
          </w:p>
        </w:tc>
        <w:tc>
          <w:tcPr>
            <w:tcW w:type="dxa" w:w="1210"/>
          </w:tcPr>
          <w:p>
            <w:pPr>
              <w:spacing w:after="0"/>
            </w:pPr>
            <w:r>
              <w:rPr>
                <w:sz w:val="16"/>
              </w:rPr>
              <w:t>FR-14</w:t>
            </w:r>
          </w:p>
        </w:tc>
        <w:tc>
          <w:tcPr>
            <w:tcW w:type="dxa" w:w="1654"/>
          </w:tcPr>
          <w:p>
            <w:pPr>
              <w:spacing w:after="0"/>
            </w:pPr>
            <w:r>
              <w:rPr>
                <w:sz w:val="16"/>
              </w:rPr>
              <w:t>Reporter reopens with a reason</w:t>
            </w:r>
          </w:p>
        </w:tc>
        <w:tc>
          <w:tcPr>
            <w:tcW w:type="dxa" w:w="1388"/>
          </w:tcPr>
          <w:p>
            <w:pPr>
              <w:spacing w:after="0"/>
            </w:pPr>
            <w:r>
              <w:rPr>
                <w:sz w:val="16"/>
              </w:rPr>
              <w:t>Integration</w:t>
            </w:r>
          </w:p>
        </w:tc>
        <w:tc>
          <w:tcPr>
            <w:tcW w:type="dxa" w:w="2009"/>
          </w:tcPr>
          <w:p>
            <w:pPr>
              <w:spacing w:after="0"/>
            </w:pPr>
            <w:r>
              <w:rPr>
                <w:sz w:val="16"/>
              </w:rPr>
              <w:t>Under Review; officials notified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IT-RES-03</w:t>
            </w:r>
          </w:p>
        </w:tc>
        <w:tc>
          <w:tcPr>
            <w:tcW w:type="dxa" w:w="1210"/>
          </w:tcPr>
          <w:p>
            <w:pPr>
              <w:spacing w:after="0"/>
            </w:pPr>
            <w:r>
              <w:rPr>
                <w:sz w:val="16"/>
              </w:rPr>
              <w:t>BR-11</w:t>
            </w:r>
          </w:p>
        </w:tc>
        <w:tc>
          <w:tcPr>
            <w:tcW w:type="dxa" w:w="1654"/>
          </w:tcPr>
          <w:p>
            <w:pPr>
              <w:spacing w:after="0"/>
            </w:pPr>
            <w:r>
              <w:rPr>
                <w:sz w:val="16"/>
              </w:rPr>
              <w:t>Respond 8 days after resolution; run schedule</w:t>
            </w:r>
          </w:p>
        </w:tc>
        <w:tc>
          <w:tcPr>
            <w:tcW w:type="dxa" w:w="1388"/>
          </w:tcPr>
          <w:p>
            <w:pPr>
              <w:spacing w:after="0"/>
            </w:pPr>
            <w:r>
              <w:rPr>
                <w:sz w:val="16"/>
              </w:rPr>
              <w:t>Boundary</w:t>
            </w:r>
          </w:p>
        </w:tc>
        <w:tc>
          <w:tcPr>
            <w:tcW w:type="dxa" w:w="2009"/>
          </w:tcPr>
          <w:p>
            <w:pPr>
              <w:spacing w:after="0"/>
            </w:pPr>
            <w:r>
              <w:rPr>
                <w:sz w:val="16"/>
              </w:rPr>
              <w:t>Refused; report auto-closed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IT-RES-04</w:t>
            </w:r>
          </w:p>
        </w:tc>
        <w:tc>
          <w:tcPr>
            <w:tcW w:type="dxa" w:w="1210"/>
          </w:tcPr>
          <w:p>
            <w:pPr>
              <w:spacing w:after="0"/>
            </w:pPr>
            <w:r>
              <w:rPr>
                <w:sz w:val="16"/>
              </w:rPr>
              <w:t>BR-11</w:t>
            </w:r>
          </w:p>
        </w:tc>
        <w:tc>
          <w:tcPr>
            <w:tcW w:type="dxa" w:w="1654"/>
          </w:tcPr>
          <w:p>
            <w:pPr>
              <w:spacing w:after="0"/>
            </w:pPr>
            <w:r>
              <w:rPr>
                <w:sz w:val="16"/>
              </w:rPr>
              <w:t>Another resident confirms</w:t>
            </w:r>
          </w:p>
        </w:tc>
        <w:tc>
          <w:tcPr>
            <w:tcW w:type="dxa" w:w="1388"/>
          </w:tcPr>
          <w:p>
            <w:pPr>
              <w:spacing w:after="0"/>
            </w:pPr>
            <w:r>
              <w:rPr>
                <w:sz w:val="16"/>
              </w:rPr>
              <w:t>Authorisation</w:t>
            </w:r>
          </w:p>
        </w:tc>
        <w:tc>
          <w:tcPr>
            <w:tcW w:type="dxa" w:w="2009"/>
          </w:tcPr>
          <w:p>
            <w:pPr>
              <w:spacing w:after="0"/>
            </w:pPr>
            <w:r>
              <w:rPr>
                <w:sz w:val="16"/>
              </w:rPr>
              <w:t>permission-denied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IT-ALR-01</w:t>
            </w:r>
          </w:p>
        </w:tc>
        <w:tc>
          <w:tcPr>
            <w:tcW w:type="dxa" w:w="1210"/>
          </w:tcPr>
          <w:p>
            <w:pPr>
              <w:spacing w:after="0"/>
            </w:pPr>
            <w:r>
              <w:rPr>
                <w:sz w:val="16"/>
              </w:rPr>
              <w:t>FR-16, BR-14</w:t>
            </w:r>
          </w:p>
        </w:tc>
        <w:tc>
          <w:tcPr>
            <w:tcW w:type="dxa" w:w="1654"/>
          </w:tcPr>
          <w:p>
            <w:pPr>
              <w:spacing w:after="0"/>
            </w:pPr>
            <w:r>
              <w:rPr>
                <w:sz w:val="16"/>
              </w:rPr>
              <w:t>Broadcast to Galeshewe</w:t>
            </w:r>
          </w:p>
        </w:tc>
        <w:tc>
          <w:tcPr>
            <w:tcW w:type="dxa" w:w="1388"/>
          </w:tcPr>
          <w:p>
            <w:pPr>
              <w:spacing w:after="0"/>
            </w:pPr>
            <w:r>
              <w:rPr>
                <w:sz w:val="16"/>
              </w:rPr>
              <w:t>Integration</w:t>
            </w:r>
          </w:p>
        </w:tc>
        <w:tc>
          <w:tcPr>
            <w:tcW w:type="dxa" w:w="2009"/>
          </w:tcPr>
          <w:p>
            <w:pPr>
              <w:spacing w:after="0"/>
            </w:pPr>
            <w:r>
              <w:rPr>
                <w:sz w:val="16"/>
              </w:rPr>
              <w:t>Delivery record only for the active Galeshewe resident</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IT-ALR-03</w:t>
            </w:r>
          </w:p>
        </w:tc>
        <w:tc>
          <w:tcPr>
            <w:tcW w:type="dxa" w:w="1210"/>
          </w:tcPr>
          <w:p>
            <w:pPr>
              <w:spacing w:after="0"/>
            </w:pPr>
            <w:r>
              <w:rPr>
                <w:sz w:val="16"/>
              </w:rPr>
              <w:t>BR-13</w:t>
            </w:r>
          </w:p>
        </w:tc>
        <w:tc>
          <w:tcPr>
            <w:tcW w:type="dxa" w:w="1654"/>
          </w:tcPr>
          <w:p>
            <w:pPr>
              <w:spacing w:after="0"/>
            </w:pPr>
            <w:r>
              <w:rPr>
                <w:sz w:val="16"/>
              </w:rPr>
              <w:t>Title 101 chars; no suburbs; past expiry; expiry 31 days</w:t>
            </w:r>
          </w:p>
        </w:tc>
        <w:tc>
          <w:tcPr>
            <w:tcW w:type="dxa" w:w="1388"/>
          </w:tcPr>
          <w:p>
            <w:pPr>
              <w:spacing w:after="0"/>
            </w:pPr>
            <w:r>
              <w:rPr>
                <w:sz w:val="16"/>
              </w:rPr>
              <w:t>Boundary</w:t>
            </w:r>
          </w:p>
        </w:tc>
        <w:tc>
          <w:tcPr>
            <w:tcW w:type="dxa" w:w="2009"/>
          </w:tcPr>
          <w:p>
            <w:pPr>
              <w:spacing w:after="0"/>
            </w:pPr>
            <w:r>
              <w:rPr>
                <w:sz w:val="16"/>
              </w:rPr>
              <w:t>All refused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E2E-03</w:t>
            </w:r>
          </w:p>
        </w:tc>
        <w:tc>
          <w:tcPr>
            <w:tcW w:type="dxa" w:w="1210"/>
          </w:tcPr>
          <w:p>
            <w:pPr>
              <w:spacing w:after="0"/>
            </w:pPr>
            <w:r>
              <w:rPr>
                <w:sz w:val="16"/>
              </w:rPr>
              <w:t>FR-17, BR-14</w:t>
            </w:r>
          </w:p>
        </w:tc>
        <w:tc>
          <w:tcPr>
            <w:tcW w:type="dxa" w:w="1654"/>
          </w:tcPr>
          <w:p>
            <w:pPr>
              <w:spacing w:after="0"/>
            </w:pPr>
            <w:r>
              <w:rPr>
                <w:sz w:val="16"/>
              </w:rPr>
              <w:t>Galeshewe and Roodepan residents open alerts</w:t>
            </w:r>
          </w:p>
        </w:tc>
        <w:tc>
          <w:tcPr>
            <w:tcW w:type="dxa" w:w="1388"/>
          </w:tcPr>
          <w:p>
            <w:pPr>
              <w:spacing w:after="0"/>
            </w:pPr>
            <w:r>
              <w:rPr>
                <w:sz w:val="16"/>
              </w:rPr>
              <w:t>End-to-end</w:t>
            </w:r>
          </w:p>
        </w:tc>
        <w:tc>
          <w:tcPr>
            <w:tcW w:type="dxa" w:w="2009"/>
          </w:tcPr>
          <w:p>
            <w:pPr>
              <w:spacing w:after="0"/>
            </w:pPr>
            <w:r>
              <w:rPr>
                <w:sz w:val="16"/>
              </w:rPr>
              <w:t>Visible to Galeshewe only</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IT-AUTH-02</w:t>
            </w:r>
          </w:p>
        </w:tc>
        <w:tc>
          <w:tcPr>
            <w:tcW w:type="dxa" w:w="1210"/>
          </w:tcPr>
          <w:p>
            <w:pPr>
              <w:spacing w:after="0"/>
            </w:pPr>
            <w:r>
              <w:rPr>
                <w:sz w:val="16"/>
              </w:rPr>
              <w:t>FR-01</w:t>
            </w:r>
          </w:p>
        </w:tc>
        <w:tc>
          <w:tcPr>
            <w:tcW w:type="dxa" w:w="1654"/>
          </w:tcPr>
          <w:p>
            <w:pPr>
              <w:spacing w:after="0"/>
            </w:pPr>
            <w:r>
              <w:rPr>
                <w:sz w:val="16"/>
              </w:rPr>
              <w:t>Duplicate email; 5-character password</w:t>
            </w:r>
          </w:p>
        </w:tc>
        <w:tc>
          <w:tcPr>
            <w:tcW w:type="dxa" w:w="1388"/>
          </w:tcPr>
          <w:p>
            <w:pPr>
              <w:spacing w:after="0"/>
            </w:pPr>
            <w:r>
              <w:rPr>
                <w:sz w:val="16"/>
              </w:rPr>
              <w:t>Validation</w:t>
            </w:r>
          </w:p>
        </w:tc>
        <w:tc>
          <w:tcPr>
            <w:tcW w:type="dxa" w:w="2009"/>
          </w:tcPr>
          <w:p>
            <w:pPr>
              <w:spacing w:after="0"/>
            </w:pPr>
            <w:r>
              <w:rPr>
                <w:sz w:val="16"/>
              </w:rPr>
              <w:t>already-exists / invalid-argument</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IT-AUTH-03</w:t>
            </w:r>
          </w:p>
        </w:tc>
        <w:tc>
          <w:tcPr>
            <w:tcW w:type="dxa" w:w="1210"/>
          </w:tcPr>
          <w:p>
            <w:pPr>
              <w:spacing w:after="0"/>
            </w:pPr>
            <w:r>
              <w:rPr>
                <w:sz w:val="16"/>
              </w:rPr>
              <w:t>BR-16</w:t>
            </w:r>
          </w:p>
        </w:tc>
        <w:tc>
          <w:tcPr>
            <w:tcW w:type="dxa" w:w="1654"/>
          </w:tcPr>
          <w:p>
            <w:pPr>
              <w:spacing w:after="0"/>
            </w:pPr>
            <w:r>
              <w:rPr>
                <w:sz w:val="16"/>
              </w:rPr>
              <w:t>Admin deactivates a signed-in resident who then submits / signs in</w:t>
            </w:r>
          </w:p>
        </w:tc>
        <w:tc>
          <w:tcPr>
            <w:tcW w:type="dxa" w:w="1388"/>
          </w:tcPr>
          <w:p>
            <w:pPr>
              <w:spacing w:after="0"/>
            </w:pPr>
            <w:r>
              <w:rPr>
                <w:sz w:val="16"/>
              </w:rPr>
              <w:t>Authorisation</w:t>
            </w:r>
          </w:p>
        </w:tc>
        <w:tc>
          <w:tcPr>
            <w:tcW w:type="dxa" w:w="2009"/>
          </w:tcPr>
          <w:p>
            <w:pPr>
              <w:spacing w:after="0"/>
            </w:pPr>
            <w:r>
              <w:rPr>
                <w:sz w:val="16"/>
              </w:rPr>
              <w:t>Command refused; sign-in refused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IT-ADM-04</w:t>
            </w:r>
          </w:p>
        </w:tc>
        <w:tc>
          <w:tcPr>
            <w:tcW w:type="dxa" w:w="1210"/>
          </w:tcPr>
          <w:p>
            <w:pPr>
              <w:spacing w:after="0"/>
            </w:pPr>
            <w:r>
              <w:rPr>
                <w:sz w:val="16"/>
              </w:rPr>
              <w:t>BR-15</w:t>
            </w:r>
          </w:p>
        </w:tc>
        <w:tc>
          <w:tcPr>
            <w:tcW w:type="dxa" w:w="1654"/>
          </w:tcPr>
          <w:p>
            <w:pPr>
              <w:spacing w:after="0"/>
            </w:pPr>
            <w:r>
              <w:rPr>
                <w:sz w:val="16"/>
              </w:rPr>
              <w:t>Admin demotes or deactivates own account</w:t>
            </w:r>
          </w:p>
        </w:tc>
        <w:tc>
          <w:tcPr>
            <w:tcW w:type="dxa" w:w="1388"/>
          </w:tcPr>
          <w:p>
            <w:pPr>
              <w:spacing w:after="0"/>
            </w:pPr>
            <w:r>
              <w:rPr>
                <w:sz w:val="16"/>
              </w:rPr>
              <w:t>Authorisation</w:t>
            </w:r>
          </w:p>
        </w:tc>
        <w:tc>
          <w:tcPr>
            <w:tcW w:type="dxa" w:w="2009"/>
          </w:tcPr>
          <w:p>
            <w:pPr>
              <w:spacing w:after="0"/>
            </w:pPr>
            <w:r>
              <w:rPr>
                <w:sz w:val="16"/>
              </w:rPr>
              <w:t>permission-denied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IT-CFG-01</w:t>
            </w:r>
          </w:p>
        </w:tc>
        <w:tc>
          <w:tcPr>
            <w:tcW w:type="dxa" w:w="1210"/>
          </w:tcPr>
          <w:p>
            <w:pPr>
              <w:spacing w:after="0"/>
            </w:pPr>
            <w:r>
              <w:rPr>
                <w:sz w:val="16"/>
              </w:rPr>
              <w:t>FR-21</w:t>
            </w:r>
          </w:p>
        </w:tc>
        <w:tc>
          <w:tcPr>
            <w:tcW w:type="dxa" w:w="1654"/>
          </w:tcPr>
          <w:p>
            <w:pPr>
              <w:spacing w:after="0"/>
            </w:pPr>
            <w:r>
              <w:rPr>
                <w:sz w:val="16"/>
              </w:rPr>
              <w:t>SLA hours 0 / 721 / 96</w:t>
            </w:r>
          </w:p>
        </w:tc>
        <w:tc>
          <w:tcPr>
            <w:tcW w:type="dxa" w:w="1388"/>
          </w:tcPr>
          <w:p>
            <w:pPr>
              <w:spacing w:after="0"/>
            </w:pPr>
            <w:r>
              <w:rPr>
                <w:sz w:val="16"/>
              </w:rPr>
              <w:t>Boundary</w:t>
            </w:r>
          </w:p>
        </w:tc>
        <w:tc>
          <w:tcPr>
            <w:tcW w:type="dxa" w:w="2009"/>
          </w:tcPr>
          <w:p>
            <w:pPr>
              <w:spacing w:after="0"/>
            </w:pPr>
            <w:r>
              <w:rPr>
                <w:sz w:val="16"/>
              </w:rPr>
              <w:t>0 and 721 refused; 96 saved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IT-CFG-03</w:t>
            </w:r>
          </w:p>
        </w:tc>
        <w:tc>
          <w:tcPr>
            <w:tcW w:type="dxa" w:w="1210"/>
          </w:tcPr>
          <w:p>
            <w:pPr>
              <w:spacing w:after="0"/>
            </w:pPr>
            <w:r>
              <w:rPr>
                <w:sz w:val="16"/>
              </w:rPr>
              <w:t>BR-19</w:t>
            </w:r>
          </w:p>
        </w:tc>
        <w:tc>
          <w:tcPr>
            <w:tcW w:type="dxa" w:w="1654"/>
          </w:tcPr>
          <w:p>
            <w:pPr>
              <w:spacing w:after="0"/>
            </w:pPr>
            <w:r>
              <w:rPr>
                <w:sz w:val="16"/>
              </w:rPr>
              <w:t>Deactivate category, then submit with it</w:t>
            </w:r>
          </w:p>
        </w:tc>
        <w:tc>
          <w:tcPr>
            <w:tcW w:type="dxa" w:w="1388"/>
          </w:tcPr>
          <w:p>
            <w:pPr>
              <w:spacing w:after="0"/>
            </w:pPr>
            <w:r>
              <w:rPr>
                <w:sz w:val="16"/>
              </w:rPr>
              <w:t>Integration</w:t>
            </w:r>
          </w:p>
        </w:tc>
        <w:tc>
          <w:tcPr>
            <w:tcW w:type="dxa" w:w="2009"/>
          </w:tcPr>
          <w:p>
            <w:pPr>
              <w:spacing w:after="0"/>
            </w:pPr>
            <w:r>
              <w:rPr>
                <w:sz w:val="16"/>
              </w:rPr>
              <w:t>Refused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IT-ANL-01, UT-ANL-01</w:t>
            </w:r>
          </w:p>
        </w:tc>
        <w:tc>
          <w:tcPr>
            <w:tcW w:type="dxa" w:w="1210"/>
          </w:tcPr>
          <w:p>
            <w:pPr>
              <w:spacing w:after="0"/>
            </w:pPr>
            <w:r>
              <w:rPr>
                <w:sz w:val="16"/>
              </w:rPr>
              <w:t>FR-19, SC-05</w:t>
            </w:r>
          </w:p>
        </w:tc>
        <w:tc>
          <w:tcPr>
            <w:tcW w:type="dxa" w:w="1654"/>
          </w:tcPr>
          <w:p>
            <w:pPr>
              <w:spacing w:after="0"/>
            </w:pPr>
            <w:r>
              <w:rPr>
                <w:sz w:val="16"/>
              </w:rPr>
              <w:t>Metrics on fixture and after a new report</w:t>
            </w:r>
          </w:p>
        </w:tc>
        <w:tc>
          <w:tcPr>
            <w:tcW w:type="dxa" w:w="1388"/>
          </w:tcPr>
          <w:p>
            <w:pPr>
              <w:spacing w:after="0"/>
            </w:pPr>
            <w:r>
              <w:rPr>
                <w:sz w:val="16"/>
              </w:rPr>
              <w:t>Integration</w:t>
            </w:r>
          </w:p>
        </w:tc>
        <w:tc>
          <w:tcPr>
            <w:tcW w:type="dxa" w:w="2009"/>
          </w:tcPr>
          <w:p>
            <w:pPr>
              <w:spacing w:after="0"/>
            </w:pPr>
            <w:r>
              <w:rPr>
                <w:sz w:val="16"/>
              </w:rPr>
              <w:t>Counts, averages and SLA % exact; no NaN on empty data</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E2E-04</w:t>
            </w:r>
          </w:p>
        </w:tc>
        <w:tc>
          <w:tcPr>
            <w:tcW w:type="dxa" w:w="1210"/>
          </w:tcPr>
          <w:p>
            <w:pPr>
              <w:spacing w:after="0"/>
            </w:pPr>
            <w:r>
              <w:rPr>
                <w:sz w:val="16"/>
              </w:rPr>
              <w:t>NFR-01</w:t>
            </w:r>
          </w:p>
        </w:tc>
        <w:tc>
          <w:tcPr>
            <w:tcW w:type="dxa" w:w="1654"/>
          </w:tcPr>
          <w:p>
            <w:pPr>
              <w:spacing w:after="0"/>
            </w:pPr>
            <w:r>
              <w:rPr>
                <w:sz w:val="16"/>
              </w:rPr>
              <w:t>Each role opens other roles' pages</w:t>
            </w:r>
          </w:p>
        </w:tc>
        <w:tc>
          <w:tcPr>
            <w:tcW w:type="dxa" w:w="1388"/>
          </w:tcPr>
          <w:p>
            <w:pPr>
              <w:spacing w:after="0"/>
            </w:pPr>
            <w:r>
              <w:rPr>
                <w:sz w:val="16"/>
              </w:rPr>
              <w:t>End-to-end</w:t>
            </w:r>
          </w:p>
        </w:tc>
        <w:tc>
          <w:tcPr>
            <w:tcW w:type="dxa" w:w="2009"/>
          </w:tcPr>
          <w:p>
            <w:pPr>
              <w:spacing w:after="0"/>
            </w:pPr>
            <w:r>
              <w:rPr>
                <w:sz w:val="16"/>
              </w:rPr>
              <w:t>Access-denied page; anonymous → login</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E2E-05</w:t>
            </w:r>
          </w:p>
        </w:tc>
        <w:tc>
          <w:tcPr>
            <w:tcW w:type="dxa" w:w="1210"/>
          </w:tcPr>
          <w:p>
            <w:pPr>
              <w:spacing w:after="0"/>
            </w:pPr>
            <w:r>
              <w:rPr>
                <w:sz w:val="16"/>
              </w:rPr>
              <w:t>BR-02</w:t>
            </w:r>
          </w:p>
        </w:tc>
        <w:tc>
          <w:tcPr>
            <w:tcW w:type="dxa" w:w="1654"/>
          </w:tcPr>
          <w:p>
            <w:pPr>
              <w:spacing w:after="0"/>
            </w:pPr>
            <w:r>
              <w:rPr>
                <w:sz w:val="16"/>
              </w:rPr>
              <w:t>Submit report with short text, no location and no severity</w:t>
            </w:r>
          </w:p>
        </w:tc>
        <w:tc>
          <w:tcPr>
            <w:tcW w:type="dxa" w:w="1388"/>
          </w:tcPr>
          <w:p>
            <w:pPr>
              <w:spacing w:after="0"/>
            </w:pPr>
            <w:r>
              <w:rPr>
                <w:sz w:val="16"/>
              </w:rPr>
              <w:t>Validation</w:t>
            </w:r>
          </w:p>
        </w:tc>
        <w:tc>
          <w:tcPr>
            <w:tcW w:type="dxa" w:w="2009"/>
          </w:tcPr>
          <w:p>
            <w:pPr>
              <w:spacing w:after="0"/>
            </w:pPr>
            <w:r>
              <w:rPr>
                <w:sz w:val="16"/>
              </w:rPr>
              <w:t>Three field messages; cannot proceed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E2E-07</w:t>
            </w:r>
          </w:p>
        </w:tc>
        <w:tc>
          <w:tcPr>
            <w:tcW w:type="dxa" w:w="1210"/>
          </w:tcPr>
          <w:p>
            <w:pPr>
              <w:spacing w:after="0"/>
            </w:pPr>
            <w:r>
              <w:rPr>
                <w:sz w:val="16"/>
              </w:rPr>
              <w:t>FR-03, BR-02</w:t>
            </w:r>
          </w:p>
        </w:tc>
        <w:tc>
          <w:tcPr>
            <w:tcW w:type="dxa" w:w="1654"/>
          </w:tcPr>
          <w:p>
            <w:pPr>
              <w:spacing w:after="0"/>
            </w:pPr>
            <w:r>
              <w:rPr>
                <w:sz w:val="16"/>
              </w:rPr>
              <w:t>Device GPS reports Johannesburg</w:t>
            </w:r>
          </w:p>
        </w:tc>
        <w:tc>
          <w:tcPr>
            <w:tcW w:type="dxa" w:w="1388"/>
          </w:tcPr>
          <w:p>
            <w:pPr>
              <w:spacing w:after="0"/>
            </w:pPr>
            <w:r>
              <w:rPr>
                <w:sz w:val="16"/>
              </w:rPr>
              <w:t>Boundary</w:t>
            </w:r>
          </w:p>
        </w:tc>
        <w:tc>
          <w:tcPr>
            <w:tcW w:type="dxa" w:w="2009"/>
          </w:tcPr>
          <w:p>
            <w:pPr>
              <w:spacing w:after="0"/>
            </w:pPr>
            <w:r>
              <w:rPr>
                <w:sz w:val="16"/>
              </w:rPr>
              <w:t>Distance explained; no location set; tapping the map sets the pin and suburb</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IT-RPT-11</w:t>
            </w:r>
          </w:p>
        </w:tc>
        <w:tc>
          <w:tcPr>
            <w:tcW w:type="dxa" w:w="1210"/>
          </w:tcPr>
          <w:p>
            <w:pPr>
              <w:spacing w:after="0"/>
            </w:pPr>
            <w:r>
              <w:rPr>
                <w:sz w:val="16"/>
              </w:rPr>
              <w:t>BR-21</w:t>
            </w:r>
          </w:p>
        </w:tc>
        <w:tc>
          <w:tcPr>
            <w:tcW w:type="dxa" w:w="1654"/>
          </w:tcPr>
          <w:p>
            <w:pPr>
              <w:spacing w:after="0"/>
            </w:pPr>
            <w:r>
              <w:rPr>
                <w:sz w:val="16"/>
              </w:rPr>
              <w:t>Limit set to 2; resident submits 3 reports</w:t>
            </w:r>
          </w:p>
        </w:tc>
        <w:tc>
          <w:tcPr>
            <w:tcW w:type="dxa" w:w="1388"/>
          </w:tcPr>
          <w:p>
            <w:pPr>
              <w:spacing w:after="0"/>
            </w:pPr>
            <w:r>
              <w:rPr>
                <w:sz w:val="16"/>
              </w:rPr>
              <w:t>Boundary</w:t>
            </w:r>
          </w:p>
        </w:tc>
        <w:tc>
          <w:tcPr>
            <w:tcW w:type="dxa" w:w="2009"/>
          </w:tcPr>
          <w:p>
            <w:pPr>
              <w:spacing w:after="0"/>
            </w:pPr>
            <w:r>
              <w:rPr>
                <w:sz w:val="16"/>
              </w:rPr>
              <w:t>Third refused (resource-exhausted)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IT-AUTH-04, E2E-08</w:t>
            </w:r>
          </w:p>
        </w:tc>
        <w:tc>
          <w:tcPr>
            <w:tcW w:type="dxa" w:w="1210"/>
          </w:tcPr>
          <w:p>
            <w:pPr>
              <w:spacing w:after="0"/>
            </w:pPr>
            <w:r>
              <w:rPr>
                <w:sz w:val="16"/>
              </w:rPr>
              <w:t>FR-29, BR-16</w:t>
            </w:r>
          </w:p>
        </w:tc>
        <w:tc>
          <w:tcPr>
            <w:tcW w:type="dxa" w:w="1654"/>
          </w:tcPr>
          <w:p>
            <w:pPr>
              <w:spacing w:after="0"/>
            </w:pPr>
            <w:r>
              <w:rPr>
                <w:sz w:val="16"/>
              </w:rPr>
              <w:t>First Google sign-in; client sends role ADMIN</w:t>
            </w:r>
          </w:p>
        </w:tc>
        <w:tc>
          <w:tcPr>
            <w:tcW w:type="dxa" w:w="1388"/>
          </w:tcPr>
          <w:p>
            <w:pPr>
              <w:spacing w:after="0"/>
            </w:pPr>
            <w:r>
              <w:rPr>
                <w:sz w:val="16"/>
              </w:rPr>
              <w:t>Authorisation</w:t>
            </w:r>
          </w:p>
        </w:tc>
        <w:tc>
          <w:tcPr>
            <w:tcW w:type="dxa" w:w="2009"/>
          </w:tcPr>
          <w:p>
            <w:pPr>
              <w:spacing w:after="0"/>
            </w:pPr>
            <w:r>
              <w:rPr>
                <w:sz w:val="16"/>
              </w:rPr>
              <w:t>Profile step required; account is a Resident; second completion refused</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E2E-09</w:t>
            </w:r>
          </w:p>
        </w:tc>
        <w:tc>
          <w:tcPr>
            <w:tcW w:type="dxa" w:w="1210"/>
          </w:tcPr>
          <w:p>
            <w:pPr>
              <w:spacing w:after="0"/>
            </w:pPr>
            <w:r>
              <w:rPr>
                <w:sz w:val="16"/>
              </w:rPr>
              <w:t>FR-30</w:t>
            </w:r>
          </w:p>
        </w:tc>
        <w:tc>
          <w:tcPr>
            <w:tcW w:type="dxa" w:w="1654"/>
          </w:tcPr>
          <w:p>
            <w:pPr>
              <w:spacing w:after="0"/>
            </w:pPr>
            <w:r>
              <w:rPr>
                <w:sz w:val="16"/>
              </w:rPr>
              <w:t>Reset for a registered and an unregistered email</w:t>
            </w:r>
          </w:p>
        </w:tc>
        <w:tc>
          <w:tcPr>
            <w:tcW w:type="dxa" w:w="1388"/>
          </w:tcPr>
          <w:p>
            <w:pPr>
              <w:spacing w:after="0"/>
            </w:pPr>
            <w:r>
              <w:rPr>
                <w:sz w:val="16"/>
              </w:rPr>
              <w:t>Security</w:t>
            </w:r>
          </w:p>
        </w:tc>
        <w:tc>
          <w:tcPr>
            <w:tcW w:type="dxa" w:w="2009"/>
          </w:tcPr>
          <w:p>
            <w:pPr>
              <w:spacing w:after="0"/>
            </w:pPr>
            <w:r>
              <w:rPr>
                <w:sz w:val="16"/>
              </w:rPr>
              <w:t>Identical confirmation for both</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IT-DEL-01, E2E-10</w:t>
            </w:r>
          </w:p>
        </w:tc>
        <w:tc>
          <w:tcPr>
            <w:tcW w:type="dxa" w:w="1210"/>
          </w:tcPr>
          <w:p>
            <w:pPr>
              <w:spacing w:after="0"/>
            </w:pPr>
            <w:r>
              <w:rPr>
                <w:sz w:val="16"/>
              </w:rPr>
              <w:t>FR-32, BR-22</w:t>
            </w:r>
          </w:p>
        </w:tc>
        <w:tc>
          <w:tcPr>
            <w:tcW w:type="dxa" w:w="1654"/>
          </w:tcPr>
          <w:p>
            <w:pPr>
              <w:spacing w:after="0"/>
            </w:pPr>
            <w:r>
              <w:rPr>
                <w:sz w:val="16"/>
              </w:rPr>
              <w:t>Resident deletes account (wrong confirmation, then DELETE)</w:t>
            </w:r>
          </w:p>
        </w:tc>
        <w:tc>
          <w:tcPr>
            <w:tcW w:type="dxa" w:w="1388"/>
          </w:tcPr>
          <w:p>
            <w:pPr>
              <w:spacing w:after="0"/>
            </w:pPr>
            <w:r>
              <w:rPr>
                <w:sz w:val="16"/>
              </w:rPr>
              <w:t>Integration</w:t>
            </w:r>
          </w:p>
        </w:tc>
        <w:tc>
          <w:tcPr>
            <w:tcW w:type="dxa" w:w="2009"/>
          </w:tcPr>
          <w:p>
            <w:pPr>
              <w:spacing w:after="0"/>
            </w:pPr>
            <w:r>
              <w:rPr>
                <w:sz w:val="16"/>
              </w:rPr>
              <w:t>Refused, then reports anonymised; photos, profile, receipts and Auth account removed; sign-in fails</w:t>
            </w:r>
          </w:p>
        </w:tc>
        <w:tc>
          <w:tcPr>
            <w:tcW w:type="dxa" w:w="944"/>
          </w:tcPr>
          <w:p>
            <w:pPr>
              <w:spacing w:after="0"/>
            </w:pPr>
            <w:r>
              <w:rPr>
                <w:sz w:val="16"/>
              </w:rPr>
              <w:t>As expected</w:t>
            </w:r>
          </w:p>
        </w:tc>
        <w:tc>
          <w:tcPr>
            <w:tcW w:type="dxa" w:w="767"/>
          </w:tcPr>
          <w:p>
            <w:pPr>
              <w:spacing w:after="0"/>
            </w:pPr>
            <w:r>
              <w:rPr>
                <w:sz w:val="16"/>
              </w:rPr>
              <w:t>Pass</w:t>
            </w:r>
          </w:p>
        </w:tc>
      </w:tr>
      <w:tr>
        <w:tc>
          <w:tcPr>
            <w:tcW w:type="dxa" w:w="1388"/>
          </w:tcPr>
          <w:p>
            <w:pPr>
              <w:spacing w:after="0"/>
            </w:pPr>
            <w:r>
              <w:rPr>
                <w:sz w:val="16"/>
              </w:rPr>
              <w:t>IT-DEL-02</w:t>
            </w:r>
          </w:p>
        </w:tc>
        <w:tc>
          <w:tcPr>
            <w:tcW w:type="dxa" w:w="1210"/>
          </w:tcPr>
          <w:p>
            <w:pPr>
              <w:spacing w:after="0"/>
            </w:pPr>
            <w:r>
              <w:rPr>
                <w:sz w:val="16"/>
              </w:rPr>
              <w:t>BR-22</w:t>
            </w:r>
          </w:p>
        </w:tc>
        <w:tc>
          <w:tcPr>
            <w:tcW w:type="dxa" w:w="1654"/>
          </w:tcPr>
          <w:p>
            <w:pPr>
              <w:spacing w:after="0"/>
            </w:pPr>
            <w:r>
              <w:rPr>
                <w:sz w:val="16"/>
              </w:rPr>
              <w:t>Staff self-delete; triage an anonymised report</w:t>
            </w:r>
          </w:p>
        </w:tc>
        <w:tc>
          <w:tcPr>
            <w:tcW w:type="dxa" w:w="1388"/>
          </w:tcPr>
          <w:p>
            <w:pPr>
              <w:spacing w:after="0"/>
            </w:pPr>
            <w:r>
              <w:rPr>
                <w:sz w:val="16"/>
              </w:rPr>
              <w:t>Authorisation</w:t>
            </w:r>
          </w:p>
        </w:tc>
        <w:tc>
          <w:tcPr>
            <w:tcW w:type="dxa" w:w="2009"/>
          </w:tcPr>
          <w:p>
            <w:pPr>
              <w:spacing w:after="0"/>
            </w:pPr>
            <w:r>
              <w:rPr>
                <w:sz w:val="16"/>
              </w:rPr>
              <w:t>Refused; anonymised report progresses without notifications</w:t>
            </w:r>
          </w:p>
        </w:tc>
        <w:tc>
          <w:tcPr>
            <w:tcW w:type="dxa" w:w="944"/>
          </w:tcPr>
          <w:p>
            <w:pPr>
              <w:spacing w:after="0"/>
            </w:pPr>
            <w:r>
              <w:rPr>
                <w:sz w:val="16"/>
              </w:rPr>
              <w:t>As expected</w:t>
            </w:r>
          </w:p>
        </w:tc>
        <w:tc>
          <w:tcPr>
            <w:tcW w:type="dxa" w:w="767"/>
          </w:tcPr>
          <w:p>
            <w:pPr>
              <w:spacing w:after="0"/>
            </w:pPr>
            <w:r>
              <w:rPr>
                <w:sz w:val="16"/>
              </w:rPr>
              <w:t>Pass</w:t>
            </w:r>
          </w:p>
        </w:tc>
      </w:tr>
    </w:tbl>
    <w:p/>
    <w:p>
      <w:pPr>
        <w:pStyle w:val="Heading2"/>
        <w:numPr>
          <w:ilvl w:val="1"/>
          <w:numId w:val="9"/>
        </w:numPr>
      </w:pPr>
      <w:r>
        <w:t>Non-Functional and Security Verification</w:t>
      </w:r>
    </w:p>
    <w:p>
      <w:pPr>
        <w:pStyle w:val="Caption"/>
        <w:keepNext/>
      </w:pPr>
      <w:r>
        <w:t>Table 18: Non-functional verification results</w:t>
      </w:r>
    </w:p>
    <w:tbl>
      <w:tblPr>
        <w:tblStyle w:val="TableGrid"/>
        <w:tblW w:type="auto" w:w="0"/>
        <w:jc w:val="center"/>
        <w:tblLayout w:type="fixed"/>
        <w:tblLook w:firstColumn="1" w:firstRow="1" w:lastColumn="0" w:lastRow="0" w:noHBand="0" w:noVBand="1" w:val="04A0"/>
        <w:tblLayout w:type="fixed"/>
      </w:tblPr>
      <w:tblGrid>
        <w:gridCol w:w="2216"/>
        <w:gridCol w:w="3859"/>
        <w:gridCol w:w="2298"/>
        <w:gridCol w:w="987"/>
      </w:tblGrid>
      <w:tr>
        <w:trPr>
          <w:tblHeader w:val="true"/>
        </w:trPr>
        <w:tc>
          <w:tcPr>
            <w:tcW w:type="dxa" w:w="2216"/>
            <w:shd w:val="clear" w:color="auto" w:fill="D5EBF4"/>
          </w:tcPr>
          <w:p>
            <w:pPr>
              <w:spacing w:after="0"/>
            </w:pPr>
            <w:r>
              <w:rPr>
                <w:b/>
                <w:sz w:val="18"/>
              </w:rPr>
              <w:t>NFR</w:t>
            </w:r>
          </w:p>
        </w:tc>
        <w:tc>
          <w:tcPr>
            <w:tcW w:type="dxa" w:w="3859"/>
            <w:shd w:val="clear" w:color="auto" w:fill="D5EBF4"/>
          </w:tcPr>
          <w:p>
            <w:pPr>
              <w:spacing w:after="0"/>
            </w:pPr>
            <w:r>
              <w:rPr>
                <w:b/>
                <w:sz w:val="18"/>
              </w:rPr>
              <w:t>Test</w:t>
            </w:r>
          </w:p>
        </w:tc>
        <w:tc>
          <w:tcPr>
            <w:tcW w:type="dxa" w:w="2298"/>
            <w:shd w:val="clear" w:color="auto" w:fill="D5EBF4"/>
          </w:tcPr>
          <w:p>
            <w:pPr>
              <w:spacing w:after="0"/>
            </w:pPr>
            <w:r>
              <w:rPr>
                <w:b/>
                <w:sz w:val="18"/>
              </w:rPr>
              <w:t>Result</w:t>
            </w:r>
          </w:p>
        </w:tc>
        <w:tc>
          <w:tcPr>
            <w:tcW w:type="dxa" w:w="987"/>
            <w:shd w:val="clear" w:color="auto" w:fill="D5EBF4"/>
          </w:tcPr>
          <w:p>
            <w:pPr>
              <w:spacing w:after="0"/>
            </w:pPr>
            <w:r>
              <w:rPr>
                <w:b/>
                <w:sz w:val="18"/>
              </w:rPr>
              <w:t>Status</w:t>
            </w:r>
          </w:p>
        </w:tc>
      </w:tr>
      <w:tr>
        <w:tc>
          <w:tcPr>
            <w:tcW w:type="dxa" w:w="2216"/>
          </w:tcPr>
          <w:p>
            <w:pPr>
              <w:spacing w:after="0"/>
            </w:pPr>
            <w:r>
              <w:rPr>
                <w:sz w:val="18"/>
              </w:rPr>
              <w:t>NFR-01 Authorisation</w:t>
            </w:r>
          </w:p>
        </w:tc>
        <w:tc>
          <w:tcPr>
            <w:tcW w:type="dxa" w:w="3859"/>
          </w:tcPr>
          <w:p>
            <w:pPr>
              <w:spacing w:after="0"/>
            </w:pPr>
            <w:r>
              <w:rPr>
                <w:sz w:val="18"/>
              </w:rPr>
              <w:t>RT-* (20 tests: every matrix cell, e.g. a resident cannot read another's report or list all reports, a roads official cannot read water reports, no client can write reports/tasks/history) and API authorisation tests</w:t>
            </w:r>
          </w:p>
        </w:tc>
        <w:tc>
          <w:tcPr>
            <w:tcW w:type="dxa" w:w="2298"/>
          </w:tcPr>
          <w:p>
            <w:pPr>
              <w:spacing w:after="0"/>
            </w:pPr>
            <w:r>
              <w:rPr>
                <w:sz w:val="18"/>
              </w:rPr>
              <w:t>All denied cases denied; all allowed cases allowed</w:t>
            </w:r>
          </w:p>
        </w:tc>
        <w:tc>
          <w:tcPr>
            <w:tcW w:type="dxa" w:w="987"/>
          </w:tcPr>
          <w:p>
            <w:pPr>
              <w:spacing w:after="0"/>
            </w:pPr>
            <w:r>
              <w:rPr>
                <w:sz w:val="18"/>
              </w:rPr>
              <w:t>Pass</w:t>
            </w:r>
          </w:p>
        </w:tc>
      </w:tr>
      <w:tr>
        <w:tc>
          <w:tcPr>
            <w:tcW w:type="dxa" w:w="2216"/>
          </w:tcPr>
          <w:p>
            <w:pPr>
              <w:spacing w:after="0"/>
            </w:pPr>
            <w:r>
              <w:rPr>
                <w:sz w:val="18"/>
              </w:rPr>
              <w:t>NFR-02 Authentication</w:t>
            </w:r>
          </w:p>
        </w:tc>
        <w:tc>
          <w:tcPr>
            <w:tcW w:type="dxa" w:w="3859"/>
          </w:tcPr>
          <w:p>
            <w:pPr>
              <w:spacing w:after="0"/>
            </w:pPr>
            <w:r>
              <w:rPr>
                <w:sz w:val="18"/>
              </w:rPr>
              <w:t>RT-USR-02 (users cannot change their own role, department or active flag); review: no password fields in Firestore</w:t>
            </w:r>
          </w:p>
        </w:tc>
        <w:tc>
          <w:tcPr>
            <w:tcW w:type="dxa" w:w="2298"/>
          </w:tcPr>
          <w:p>
            <w:pPr>
              <w:spacing w:after="0"/>
            </w:pPr>
            <w:r>
              <w:rPr>
                <w:sz w:val="18"/>
              </w:rPr>
              <w:t>Pass</w:t>
            </w:r>
          </w:p>
        </w:tc>
        <w:tc>
          <w:tcPr>
            <w:tcW w:type="dxa" w:w="987"/>
          </w:tcPr>
          <w:p>
            <w:pPr>
              <w:spacing w:after="0"/>
            </w:pPr>
            <w:r>
              <w:rPr>
                <w:sz w:val="18"/>
              </w:rPr>
              <w:t>Pass</w:t>
            </w:r>
          </w:p>
        </w:tc>
      </w:tr>
      <w:tr>
        <w:tc>
          <w:tcPr>
            <w:tcW w:type="dxa" w:w="2216"/>
          </w:tcPr>
          <w:p>
            <w:pPr>
              <w:spacing w:after="0"/>
            </w:pPr>
            <w:r>
              <w:rPr>
                <w:sz w:val="18"/>
              </w:rPr>
              <w:t>NFR-03 Validation</w:t>
            </w:r>
          </w:p>
        </w:tc>
        <w:tc>
          <w:tcPr>
            <w:tcW w:type="dxa" w:w="3859"/>
          </w:tcPr>
          <w:p>
            <w:pPr>
              <w:spacing w:after="0"/>
            </w:pPr>
            <w:r>
              <w:rPr>
                <w:sz w:val="18"/>
              </w:rPr>
              <w:t>IT-RPT-02, IT-TRI-03, IT-ALR-03, IT-CFG-01, E2E-05</w:t>
            </w:r>
          </w:p>
        </w:tc>
        <w:tc>
          <w:tcPr>
            <w:tcW w:type="dxa" w:w="2298"/>
          </w:tcPr>
          <w:p>
            <w:pPr>
              <w:spacing w:after="0"/>
            </w:pPr>
            <w:r>
              <w:rPr>
                <w:sz w:val="18"/>
              </w:rPr>
              <w:t>Field-level errors, no data written</w:t>
            </w:r>
          </w:p>
        </w:tc>
        <w:tc>
          <w:tcPr>
            <w:tcW w:type="dxa" w:w="987"/>
          </w:tcPr>
          <w:p>
            <w:pPr>
              <w:spacing w:after="0"/>
            </w:pPr>
            <w:r>
              <w:rPr>
                <w:sz w:val="18"/>
              </w:rPr>
              <w:t>Pass</w:t>
            </w:r>
          </w:p>
        </w:tc>
      </w:tr>
      <w:tr>
        <w:tc>
          <w:tcPr>
            <w:tcW w:type="dxa" w:w="2216"/>
          </w:tcPr>
          <w:p>
            <w:pPr>
              <w:spacing w:after="0"/>
            </w:pPr>
            <w:r>
              <w:rPr>
                <w:sz w:val="18"/>
              </w:rPr>
              <w:t>NFR-04 Secrets</w:t>
            </w:r>
          </w:p>
        </w:tc>
        <w:tc>
          <w:tcPr>
            <w:tcW w:type="dxa" w:w="3859"/>
          </w:tcPr>
          <w:p>
            <w:pPr>
              <w:spacing w:after="0"/>
            </w:pPr>
            <w:r>
              <w:rPr>
                <w:sz w:val="18"/>
              </w:rPr>
              <w:t>gitleaks over the full git history in CI</w:t>
            </w:r>
          </w:p>
        </w:tc>
        <w:tc>
          <w:tcPr>
            <w:tcW w:type="dxa" w:w="2298"/>
          </w:tcPr>
          <w:p>
            <w:pPr>
              <w:spacing w:after="0"/>
            </w:pPr>
            <w:r>
              <w:rPr>
                <w:sz w:val="18"/>
              </w:rPr>
              <w:t>0 findings</w:t>
            </w:r>
          </w:p>
        </w:tc>
        <w:tc>
          <w:tcPr>
            <w:tcW w:type="dxa" w:w="987"/>
          </w:tcPr>
          <w:p>
            <w:pPr>
              <w:spacing w:after="0"/>
            </w:pPr>
            <w:r>
              <w:rPr>
                <w:sz w:val="18"/>
              </w:rPr>
              <w:t>Pass</w:t>
            </w:r>
          </w:p>
        </w:tc>
      </w:tr>
      <w:tr>
        <w:tc>
          <w:tcPr>
            <w:tcW w:type="dxa" w:w="2216"/>
          </w:tcPr>
          <w:p>
            <w:pPr>
              <w:spacing w:after="0"/>
            </w:pPr>
            <w:r>
              <w:rPr>
                <w:sz w:val="18"/>
              </w:rPr>
              <w:t>NFR-05 Propagation</w:t>
            </w:r>
          </w:p>
        </w:tc>
        <w:tc>
          <w:tcPr>
            <w:tcW w:type="dxa" w:w="3859"/>
          </w:tcPr>
          <w:p>
            <w:pPr>
              <w:spacing w:after="0"/>
            </w:pPr>
            <w:r>
              <w:rPr>
                <w:sz w:val="18"/>
              </w:rPr>
              <w:t>NFT-05 inside E2E-01</w:t>
            </w:r>
          </w:p>
        </w:tc>
        <w:tc>
          <w:tcPr>
            <w:tcW w:type="dxa" w:w="2298"/>
          </w:tcPr>
          <w:p>
            <w:pPr>
              <w:spacing w:after="0"/>
            </w:pPr>
            <w:r>
              <w:rPr>
                <w:sz w:val="18"/>
              </w:rPr>
              <w:t>Submit → official queue 0.09 s; completion → resident screen 2.47 s (target 5 s)</w:t>
            </w:r>
          </w:p>
        </w:tc>
        <w:tc>
          <w:tcPr>
            <w:tcW w:type="dxa" w:w="987"/>
          </w:tcPr>
          <w:p>
            <w:pPr>
              <w:spacing w:after="0"/>
            </w:pPr>
            <w:r>
              <w:rPr>
                <w:sz w:val="18"/>
              </w:rPr>
              <w:t>Pass</w:t>
            </w:r>
          </w:p>
        </w:tc>
      </w:tr>
      <w:tr>
        <w:tc>
          <w:tcPr>
            <w:tcW w:type="dxa" w:w="2216"/>
          </w:tcPr>
          <w:p>
            <w:pPr>
              <w:spacing w:after="0"/>
            </w:pPr>
            <w:r>
              <w:rPr>
                <w:sz w:val="18"/>
              </w:rPr>
              <w:t>NFR-06 Responsiveness</w:t>
            </w:r>
          </w:p>
        </w:tc>
        <w:tc>
          <w:tcPr>
            <w:tcW w:type="dxa" w:w="3859"/>
          </w:tcPr>
          <w:p>
            <w:pPr>
              <w:spacing w:after="0"/>
            </w:pPr>
            <w:r>
              <w:rPr>
                <w:sz w:val="18"/>
              </w:rPr>
              <w:t>NFT-06</w:t>
            </w:r>
          </w:p>
        </w:tc>
        <w:tc>
          <w:tcPr>
            <w:tcW w:type="dxa" w:w="2298"/>
          </w:tcPr>
          <w:p>
            <w:pPr>
              <w:spacing w:after="0"/>
            </w:pPr>
            <w:r>
              <w:rPr>
                <w:sz w:val="18"/>
              </w:rPr>
              <w:t>Dashboard 1.10 s, queue 0.92 s, alerts 0.92 s (target 3 s); p95 of 50 commands 28 ms (target 2 s)</w:t>
            </w:r>
          </w:p>
        </w:tc>
        <w:tc>
          <w:tcPr>
            <w:tcW w:type="dxa" w:w="987"/>
          </w:tcPr>
          <w:p>
            <w:pPr>
              <w:spacing w:after="0"/>
            </w:pPr>
            <w:r>
              <w:rPr>
                <w:sz w:val="18"/>
              </w:rPr>
              <w:t>Pass</w:t>
            </w:r>
          </w:p>
        </w:tc>
      </w:tr>
      <w:tr>
        <w:tc>
          <w:tcPr>
            <w:tcW w:type="dxa" w:w="2216"/>
          </w:tcPr>
          <w:p>
            <w:pPr>
              <w:spacing w:after="0"/>
            </w:pPr>
            <w:r>
              <w:rPr>
                <w:sz w:val="18"/>
              </w:rPr>
              <w:t>NFR-07 Mobile</w:t>
            </w:r>
          </w:p>
        </w:tc>
        <w:tc>
          <w:tcPr>
            <w:tcW w:type="dxa" w:w="3859"/>
          </w:tcPr>
          <w:p>
            <w:pPr>
              <w:spacing w:after="0"/>
            </w:pPr>
            <w:r>
              <w:rPr>
                <w:sz w:val="18"/>
              </w:rPr>
              <w:t>NFT-07 at 360×640 on resident and worker screens; report form has 3 steps</w:t>
            </w:r>
          </w:p>
        </w:tc>
        <w:tc>
          <w:tcPr>
            <w:tcW w:type="dxa" w:w="2298"/>
          </w:tcPr>
          <w:p>
            <w:pPr>
              <w:spacing w:after="0"/>
            </w:pPr>
            <w:r>
              <w:rPr>
                <w:sz w:val="18"/>
              </w:rPr>
              <w:t>No horizontal overflow</w:t>
            </w:r>
          </w:p>
        </w:tc>
        <w:tc>
          <w:tcPr>
            <w:tcW w:type="dxa" w:w="987"/>
          </w:tcPr>
          <w:p>
            <w:pPr>
              <w:spacing w:after="0"/>
            </w:pPr>
            <w:r>
              <w:rPr>
                <w:sz w:val="18"/>
              </w:rPr>
              <w:t>Pass</w:t>
            </w:r>
          </w:p>
        </w:tc>
      </w:tr>
      <w:tr>
        <w:tc>
          <w:tcPr>
            <w:tcW w:type="dxa" w:w="2216"/>
          </w:tcPr>
          <w:p>
            <w:pPr>
              <w:spacing w:after="0"/>
            </w:pPr>
            <w:r>
              <w:rPr>
                <w:sz w:val="18"/>
              </w:rPr>
              <w:t>NFR-08 Accessibility</w:t>
            </w:r>
          </w:p>
        </w:tc>
        <w:tc>
          <w:tcPr>
            <w:tcW w:type="dxa" w:w="3859"/>
          </w:tcPr>
          <w:p>
            <w:pPr>
              <w:spacing w:after="0"/>
            </w:pPr>
            <w:r>
              <w:rPr>
                <w:sz w:val="18"/>
              </w:rPr>
              <w:t>NFT-08 axe-core WCAG 2.1 A/AA on login, report form, my reports, queue</w:t>
            </w:r>
          </w:p>
        </w:tc>
        <w:tc>
          <w:tcPr>
            <w:tcW w:type="dxa" w:w="2298"/>
          </w:tcPr>
          <w:p>
            <w:pPr>
              <w:spacing w:after="0"/>
            </w:pPr>
            <w:r>
              <w:rPr>
                <w:sz w:val="18"/>
              </w:rPr>
              <w:t>0 violations (after DEF-03)</w:t>
            </w:r>
          </w:p>
        </w:tc>
        <w:tc>
          <w:tcPr>
            <w:tcW w:type="dxa" w:w="987"/>
          </w:tcPr>
          <w:p>
            <w:pPr>
              <w:spacing w:after="0"/>
            </w:pPr>
            <w:r>
              <w:rPr>
                <w:sz w:val="18"/>
              </w:rPr>
              <w:t>Pass</w:t>
            </w:r>
          </w:p>
        </w:tc>
      </w:tr>
      <w:tr>
        <w:tc>
          <w:tcPr>
            <w:tcW w:type="dxa" w:w="2216"/>
          </w:tcPr>
          <w:p>
            <w:pPr>
              <w:spacing w:after="0"/>
            </w:pPr>
            <w:r>
              <w:rPr>
                <w:sz w:val="18"/>
              </w:rPr>
              <w:t>NFR-09 Compatibility</w:t>
            </w:r>
          </w:p>
        </w:tc>
        <w:tc>
          <w:tcPr>
            <w:tcW w:type="dxa" w:w="3859"/>
          </w:tcPr>
          <w:p>
            <w:pPr>
              <w:spacing w:after="0"/>
            </w:pPr>
            <w:r>
              <w:rPr>
                <w:sz w:val="18"/>
              </w:rPr>
              <w:t>E2E suite on Chromium and Firefox in CI</w:t>
            </w:r>
          </w:p>
        </w:tc>
        <w:tc>
          <w:tcPr>
            <w:tcW w:type="dxa" w:w="2298"/>
          </w:tcPr>
          <w:p>
            <w:pPr>
              <w:spacing w:after="0"/>
            </w:pPr>
            <w:r>
              <w:rPr>
                <w:sz w:val="18"/>
              </w:rPr>
              <w:t>All pass</w:t>
            </w:r>
          </w:p>
        </w:tc>
        <w:tc>
          <w:tcPr>
            <w:tcW w:type="dxa" w:w="987"/>
          </w:tcPr>
          <w:p>
            <w:pPr>
              <w:spacing w:after="0"/>
            </w:pPr>
            <w:r>
              <w:rPr>
                <w:sz w:val="18"/>
              </w:rPr>
              <w:t>Pass</w:t>
            </w:r>
          </w:p>
        </w:tc>
      </w:tr>
      <w:tr>
        <w:tc>
          <w:tcPr>
            <w:tcW w:type="dxa" w:w="2216"/>
          </w:tcPr>
          <w:p>
            <w:pPr>
              <w:spacing w:after="0"/>
            </w:pPr>
            <w:r>
              <w:rPr>
                <w:sz w:val="18"/>
              </w:rPr>
              <w:t>NFR-10 Integrity</w:t>
            </w:r>
          </w:p>
        </w:tc>
        <w:tc>
          <w:tcPr>
            <w:tcW w:type="dxa" w:w="3859"/>
          </w:tcPr>
          <w:p>
            <w:pPr>
              <w:spacing w:after="0"/>
            </w:pPr>
            <w:r>
              <w:rPr>
                <w:sz w:val="18"/>
              </w:rPr>
              <w:t>IT-RPT-08, IT-ASG-07, IT-TSK-06</w:t>
            </w:r>
          </w:p>
        </w:tc>
        <w:tc>
          <w:tcPr>
            <w:tcW w:type="dxa" w:w="2298"/>
          </w:tcPr>
          <w:p>
            <w:pPr>
              <w:spacing w:after="0"/>
            </w:pPr>
            <w:r>
              <w:rPr>
                <w:sz w:val="18"/>
              </w:rPr>
              <w:t>Atomic, exactly-once outcomes</w:t>
            </w:r>
          </w:p>
        </w:tc>
        <w:tc>
          <w:tcPr>
            <w:tcW w:type="dxa" w:w="987"/>
          </w:tcPr>
          <w:p>
            <w:pPr>
              <w:spacing w:after="0"/>
            </w:pPr>
            <w:r>
              <w:rPr>
                <w:sz w:val="18"/>
              </w:rPr>
              <w:t>Pass</w:t>
            </w:r>
          </w:p>
        </w:tc>
      </w:tr>
      <w:tr>
        <w:tc>
          <w:tcPr>
            <w:tcW w:type="dxa" w:w="2216"/>
          </w:tcPr>
          <w:p>
            <w:pPr>
              <w:spacing w:after="0"/>
            </w:pPr>
            <w:r>
              <w:rPr>
                <w:sz w:val="18"/>
              </w:rPr>
              <w:t>NFR-11 Privacy</w:t>
            </w:r>
          </w:p>
        </w:tc>
        <w:tc>
          <w:tcPr>
            <w:tcW w:type="dxa" w:w="3859"/>
          </w:tcPr>
          <w:p>
            <w:pPr>
              <w:spacing w:after="0"/>
            </w:pPr>
            <w:r>
              <w:rPr>
                <w:sz w:val="18"/>
              </w:rPr>
              <w:t>RT-RPT-03, RT-PUB-01, RT-PHO-01, RT-PHO-02, UT-PRV-01, IT-RPT-07</w:t>
            </w:r>
          </w:p>
        </w:tc>
        <w:tc>
          <w:tcPr>
            <w:tcW w:type="dxa" w:w="2298"/>
          </w:tcPr>
          <w:p>
            <w:pPr>
              <w:spacing w:after="0"/>
            </w:pPr>
            <w:r>
              <w:rPr>
                <w:sz w:val="18"/>
              </w:rPr>
              <w:t>No PII in public data; photos restricted</w:t>
            </w:r>
          </w:p>
        </w:tc>
        <w:tc>
          <w:tcPr>
            <w:tcW w:type="dxa" w:w="987"/>
          </w:tcPr>
          <w:p>
            <w:pPr>
              <w:spacing w:after="0"/>
            </w:pPr>
            <w:r>
              <w:rPr>
                <w:sz w:val="18"/>
              </w:rPr>
              <w:t>Pass</w:t>
            </w:r>
          </w:p>
        </w:tc>
      </w:tr>
      <w:tr>
        <w:tc>
          <w:tcPr>
            <w:tcW w:type="dxa" w:w="2216"/>
          </w:tcPr>
          <w:p>
            <w:pPr>
              <w:spacing w:after="0"/>
            </w:pPr>
            <w:r>
              <w:rPr>
                <w:sz w:val="18"/>
              </w:rPr>
              <w:t>NFR-12 Maintainability</w:t>
            </w:r>
          </w:p>
        </w:tc>
        <w:tc>
          <w:tcPr>
            <w:tcW w:type="dxa" w:w="3859"/>
          </w:tcPr>
          <w:p>
            <w:pPr>
              <w:spacing w:after="0"/>
            </w:pPr>
            <w:r>
              <w:rPr>
                <w:sz w:val="18"/>
              </w:rPr>
              <w:t>CI: ESLint, TypeScript strict, coverage threshold</w:t>
            </w:r>
          </w:p>
        </w:tc>
        <w:tc>
          <w:tcPr>
            <w:tcW w:type="dxa" w:w="2298"/>
          </w:tcPr>
          <w:p>
            <w:pPr>
              <w:spacing w:after="0"/>
            </w:pPr>
            <w:r>
              <w:rPr>
                <w:sz w:val="18"/>
              </w:rPr>
              <w:t>0 lint errors; 97.9% line coverage of the domain package</w:t>
            </w:r>
          </w:p>
        </w:tc>
        <w:tc>
          <w:tcPr>
            <w:tcW w:type="dxa" w:w="987"/>
          </w:tcPr>
          <w:p>
            <w:pPr>
              <w:spacing w:after="0"/>
            </w:pPr>
            <w:r>
              <w:rPr>
                <w:sz w:val="18"/>
              </w:rPr>
              <w:t>Pass</w:t>
            </w:r>
          </w:p>
        </w:tc>
      </w:tr>
    </w:tbl>
    <w:p/>
    <w:p>
      <w:r>
        <w:t>Timings were measured on the development laptop running the emulators, Vite and the browsers at the same time, which is the assessed configuration.</w:t>
      </w:r>
    </w:p>
    <w:p>
      <w:pPr>
        <w:pStyle w:val="Heading2"/>
        <w:numPr>
          <w:ilvl w:val="1"/>
          <w:numId w:val="9"/>
        </w:numPr>
      </w:pPr>
      <w:r>
        <w:t>Defects and Known Issues</w:t>
      </w:r>
    </w:p>
    <w:p>
      <w:pPr>
        <w:pStyle w:val="Caption"/>
        <w:keepNext/>
      </w:pPr>
      <w:r>
        <w:t>Table 19: Significant defects found and resolved</w:t>
      </w:r>
    </w:p>
    <w:tbl>
      <w:tblPr>
        <w:tblStyle w:val="TableGrid"/>
        <w:tblW w:type="auto" w:w="0"/>
        <w:jc w:val="center"/>
        <w:tblLayout w:type="fixed"/>
        <w:tblLook w:firstColumn="1" w:firstRow="1" w:lastColumn="0" w:lastRow="0" w:noHBand="0" w:noVBand="1" w:val="04A0"/>
        <w:tblLayout w:type="fixed"/>
      </w:tblPr>
      <w:tblGrid>
        <w:gridCol w:w="1058"/>
        <w:gridCol w:w="1503"/>
        <w:gridCol w:w="3656"/>
        <w:gridCol w:w="3144"/>
      </w:tblGrid>
      <w:tr>
        <w:trPr>
          <w:tblHeader w:val="true"/>
        </w:trPr>
        <w:tc>
          <w:tcPr>
            <w:tcW w:type="dxa" w:w="1058"/>
            <w:shd w:val="clear" w:color="auto" w:fill="D5EBF4"/>
          </w:tcPr>
          <w:p>
            <w:pPr>
              <w:spacing w:after="0"/>
            </w:pPr>
            <w:r>
              <w:rPr>
                <w:b/>
                <w:sz w:val="18"/>
              </w:rPr>
              <w:t>ID</w:t>
            </w:r>
          </w:p>
        </w:tc>
        <w:tc>
          <w:tcPr>
            <w:tcW w:type="dxa" w:w="1503"/>
            <w:shd w:val="clear" w:color="auto" w:fill="D5EBF4"/>
          </w:tcPr>
          <w:p>
            <w:pPr>
              <w:spacing w:after="0"/>
            </w:pPr>
            <w:r>
              <w:rPr>
                <w:b/>
                <w:sz w:val="18"/>
              </w:rPr>
              <w:t>Found by</w:t>
            </w:r>
          </w:p>
        </w:tc>
        <w:tc>
          <w:tcPr>
            <w:tcW w:type="dxa" w:w="3656"/>
            <w:shd w:val="clear" w:color="auto" w:fill="D5EBF4"/>
          </w:tcPr>
          <w:p>
            <w:pPr>
              <w:spacing w:after="0"/>
            </w:pPr>
            <w:r>
              <w:rPr>
                <w:b/>
                <w:sz w:val="18"/>
              </w:rPr>
              <w:t>Description</w:t>
            </w:r>
          </w:p>
        </w:tc>
        <w:tc>
          <w:tcPr>
            <w:tcW w:type="dxa" w:w="3144"/>
            <w:shd w:val="clear" w:color="auto" w:fill="D5EBF4"/>
          </w:tcPr>
          <w:p>
            <w:pPr>
              <w:spacing w:after="0"/>
            </w:pPr>
            <w:r>
              <w:rPr>
                <w:b/>
                <w:sz w:val="18"/>
              </w:rPr>
              <w:t>Resolution</w:t>
            </w:r>
          </w:p>
        </w:tc>
      </w:tr>
      <w:tr>
        <w:tc>
          <w:tcPr>
            <w:tcW w:type="dxa" w:w="1058"/>
          </w:tcPr>
          <w:p>
            <w:pPr>
              <w:spacing w:after="0"/>
            </w:pPr>
            <w:r>
              <w:rPr>
                <w:sz w:val="18"/>
              </w:rPr>
              <w:t>DEF-01</w:t>
            </w:r>
          </w:p>
        </w:tc>
        <w:tc>
          <w:tcPr>
            <w:tcW w:type="dxa" w:w="1503"/>
          </w:tcPr>
          <w:p>
            <w:pPr>
              <w:spacing w:after="0"/>
            </w:pPr>
            <w:r>
              <w:rPr>
                <w:sz w:val="18"/>
              </w:rPr>
              <w:t>IT-CFG-02</w:t>
            </w:r>
          </w:p>
        </w:tc>
        <w:tc>
          <w:tcPr>
            <w:tcW w:type="dxa" w:w="3656"/>
          </w:tcPr>
          <w:p>
            <w:pPr>
              <w:spacing w:after="0"/>
            </w:pPr>
            <w:r>
              <w:rPr>
                <w:sz w:val="18"/>
              </w:rPr>
              <w:t>Creating a department whose name produced an existing identifier silently overwrote that department</w:t>
            </w:r>
          </w:p>
        </w:tc>
        <w:tc>
          <w:tcPr>
            <w:tcW w:type="dxa" w:w="3144"/>
          </w:tcPr>
          <w:p>
            <w:pPr>
              <w:spacing w:after="0"/>
            </w:pPr>
            <w:r>
              <w:rPr>
                <w:sz w:val="18"/>
              </w:rPr>
              <w:t>Creation now refuses existing identifiers; updates require an existing record</w:t>
            </w:r>
          </w:p>
        </w:tc>
      </w:tr>
      <w:tr>
        <w:tc>
          <w:tcPr>
            <w:tcW w:type="dxa" w:w="1058"/>
          </w:tcPr>
          <w:p>
            <w:pPr>
              <w:spacing w:after="0"/>
            </w:pPr>
            <w:r>
              <w:rPr>
                <w:sz w:val="18"/>
              </w:rPr>
              <w:t>DEF-02</w:t>
            </w:r>
          </w:p>
        </w:tc>
        <w:tc>
          <w:tcPr>
            <w:tcW w:type="dxa" w:w="1503"/>
          </w:tcPr>
          <w:p>
            <w:pPr>
              <w:spacing w:after="0"/>
            </w:pPr>
            <w:r>
              <w:rPr>
                <w:sz w:val="18"/>
              </w:rPr>
              <w:t>E2E-01</w:t>
            </w:r>
          </w:p>
        </w:tc>
        <w:tc>
          <w:tcPr>
            <w:tcW w:type="dxa" w:w="3656"/>
          </w:tcPr>
          <w:p>
            <w:pPr>
              <w:spacing w:after="0"/>
            </w:pPr>
            <w:r>
              <w:rPr>
                <w:sz w:val="18"/>
              </w:rPr>
              <w:t xml:space="preserve">Submissions with an empty optional field were rejected, because the callable protocol sends </w:t>
            </w:r>
            <w:r>
              <w:rPr>
                <w:rFonts w:ascii="Consolas" w:hAnsi="Consolas"/>
                <w:sz w:val="18"/>
              </w:rPr>
              <w:t>undefined</w:t>
            </w:r>
            <w:r>
              <w:rPr>
                <w:sz w:val="18"/>
              </w:rPr>
              <w:t xml:space="preserve"> as </w:t>
            </w:r>
            <w:r>
              <w:rPr>
                <w:rFonts w:ascii="Consolas" w:hAnsi="Consolas"/>
                <w:sz w:val="18"/>
              </w:rPr>
              <w:t>null</w:t>
            </w:r>
          </w:p>
        </w:tc>
        <w:tc>
          <w:tcPr>
            <w:tcW w:type="dxa" w:w="3144"/>
          </w:tcPr>
          <w:p>
            <w:pPr>
              <w:spacing w:after="0"/>
            </w:pPr>
            <w:r>
              <w:rPr>
                <w:sz w:val="18"/>
              </w:rPr>
              <w:t>The command wrapper treats top-level nulls as absent; regression test IT-RPT-10</w:t>
            </w:r>
          </w:p>
        </w:tc>
      </w:tr>
      <w:tr>
        <w:tc>
          <w:tcPr>
            <w:tcW w:type="dxa" w:w="1058"/>
          </w:tcPr>
          <w:p>
            <w:pPr>
              <w:spacing w:after="0"/>
            </w:pPr>
            <w:r>
              <w:rPr>
                <w:sz w:val="18"/>
              </w:rPr>
              <w:t>DEF-03</w:t>
            </w:r>
          </w:p>
        </w:tc>
        <w:tc>
          <w:tcPr>
            <w:tcW w:type="dxa" w:w="1503"/>
          </w:tcPr>
          <w:p>
            <w:pPr>
              <w:spacing w:after="0"/>
            </w:pPr>
            <w:r>
              <w:rPr>
                <w:sz w:val="18"/>
              </w:rPr>
              <w:t>NFT-08</w:t>
            </w:r>
          </w:p>
        </w:tc>
        <w:tc>
          <w:tcPr>
            <w:tcW w:type="dxa" w:w="3656"/>
          </w:tcPr>
          <w:p>
            <w:pPr>
              <w:spacing w:after="0"/>
            </w:pPr>
            <w:r>
              <w:rPr>
                <w:sz w:val="18"/>
              </w:rPr>
              <w:t>Three text styles were below the WCAG AA contrast ratio</w:t>
            </w:r>
          </w:p>
        </w:tc>
        <w:tc>
          <w:tcPr>
            <w:tcW w:type="dxa" w:w="3144"/>
          </w:tcPr>
          <w:p>
            <w:pPr>
              <w:spacing w:after="0"/>
            </w:pPr>
            <w:r>
              <w:rPr>
                <w:sz w:val="18"/>
              </w:rPr>
              <w:t>Darker text colours</w:t>
            </w:r>
          </w:p>
        </w:tc>
      </w:tr>
      <w:tr>
        <w:tc>
          <w:tcPr>
            <w:tcW w:type="dxa" w:w="1058"/>
          </w:tcPr>
          <w:p>
            <w:pPr>
              <w:spacing w:after="0"/>
            </w:pPr>
            <w:r>
              <w:rPr>
                <w:sz w:val="18"/>
              </w:rPr>
              <w:t>DEF-05</w:t>
            </w:r>
          </w:p>
        </w:tc>
        <w:tc>
          <w:tcPr>
            <w:tcW w:type="dxa" w:w="1503"/>
          </w:tcPr>
          <w:p>
            <w:pPr>
              <w:spacing w:after="0"/>
            </w:pPr>
            <w:r>
              <w:rPr>
                <w:sz w:val="18"/>
              </w:rPr>
              <w:t>E2E-10</w:t>
            </w:r>
          </w:p>
        </w:tc>
        <w:tc>
          <w:tcPr>
            <w:tcW w:type="dxa" w:w="3656"/>
          </w:tcPr>
          <w:p>
            <w:pPr>
              <w:spacing w:after="0"/>
            </w:pPr>
            <w:r>
              <w:rPr>
                <w:sz w:val="18"/>
              </w:rPr>
              <w:t>The profile form opened with an empty name, because it read the profile before it had loaded</w:t>
            </w:r>
          </w:p>
        </w:tc>
        <w:tc>
          <w:tcPr>
            <w:tcW w:type="dxa" w:w="3144"/>
          </w:tcPr>
          <w:p>
            <w:pPr>
              <w:spacing w:after="0"/>
            </w:pPr>
            <w:r>
              <w:rPr>
                <w:sz w:val="18"/>
              </w:rPr>
              <w:t>The form is rendered only after the profile loads</w:t>
            </w:r>
          </w:p>
        </w:tc>
      </w:tr>
      <w:tr>
        <w:tc>
          <w:tcPr>
            <w:tcW w:type="dxa" w:w="1058"/>
          </w:tcPr>
          <w:p>
            <w:pPr>
              <w:spacing w:after="0"/>
            </w:pPr>
            <w:r>
              <w:rPr>
                <w:sz w:val="18"/>
              </w:rPr>
              <w:t>DEF-04</w:t>
            </w:r>
          </w:p>
        </w:tc>
        <w:tc>
          <w:tcPr>
            <w:tcW w:type="dxa" w:w="1503"/>
          </w:tcPr>
          <w:p>
            <w:pPr>
              <w:spacing w:after="0"/>
            </w:pPr>
            <w:r>
              <w:rPr>
                <w:sz w:val="18"/>
              </w:rPr>
              <w:t>CI on a clean checkout</w:t>
            </w:r>
          </w:p>
        </w:tc>
        <w:tc>
          <w:tcPr>
            <w:tcW w:type="dxa" w:w="3656"/>
          </w:tcPr>
          <w:p>
            <w:pPr>
              <w:spacing w:after="0"/>
            </w:pPr>
            <w:r>
              <w:rPr>
                <w:sz w:val="18"/>
              </w:rPr>
              <w:t xml:space="preserve">An over-broad </w:t>
            </w:r>
            <w:r>
              <w:rPr>
                <w:rFonts w:ascii="Consolas" w:hAnsi="Consolas"/>
                <w:sz w:val="18"/>
              </w:rPr>
              <w:t>lib/</w:t>
            </w:r>
            <w:r>
              <w:rPr>
                <w:sz w:val="18"/>
              </w:rPr>
              <w:t xml:space="preserve"> ignore rule had kept two source folders out of the repository</w:t>
            </w:r>
          </w:p>
        </w:tc>
        <w:tc>
          <w:tcPr>
            <w:tcW w:type="dxa" w:w="3144"/>
          </w:tcPr>
          <w:p>
            <w:pPr>
              <w:spacing w:after="0"/>
            </w:pPr>
            <w:r>
              <w:rPr>
                <w:sz w:val="18"/>
              </w:rPr>
              <w:t>Ignore rule narrowed to the build output; CI now builds from a clean clone on every push</w:t>
            </w:r>
          </w:p>
        </w:tc>
      </w:tr>
    </w:tbl>
    <w:p/>
    <w:p>
      <w:r>
        <w:t>There are no unresolved defects. The limitations of included functionality are listed in Section 3.4.</w:t>
      </w:r>
    </w:p>
    <w:p>
      <w:pPr>
        <w:pStyle w:val="Heading1"/>
        <w:numPr>
          <w:ilvl w:val="0"/>
          <w:numId w:val="9"/>
        </w:numPr>
      </w:pPr>
      <w:r>
        <w:t>SYSTEM SETUP AND OPERATION</w:t>
      </w:r>
    </w:p>
    <w:p>
      <w:r>
        <w:rPr>
          <w:b/>
        </w:rPr>
        <w:t>Prerequisites.</w:t>
      </w:r>
      <w:r>
        <w:t xml:space="preserve"> Node.js 22, Java 21 or later (required by the Firebase emulators) and Git. No Firebase account, API keys or </w:t>
      </w:r>
      <w:r>
        <w:rPr>
          <w:rFonts w:ascii="Consolas" w:hAnsi="Consolas"/>
          <w:sz w:val="18"/>
        </w:rPr>
        <w:t>.env</w:t>
      </w:r>
      <w:r>
        <w:t xml:space="preserve"> file are needed: by default the application connects to the local emulators with a demonstration project ID (</w:t>
      </w:r>
      <w:r>
        <w:rPr>
          <w:rFonts w:ascii="Consolas" w:hAnsi="Consolas"/>
          <w:sz w:val="18"/>
        </w:rPr>
        <w:t>demo-civiclink</w:t>
      </w:r>
      <w:r>
        <w:t>).</w:t>
      </w:r>
    </w:p>
    <w:p>
      <w:r>
        <w:rPr>
          <w:b/>
        </w:rPr>
        <w:t>Install and run.</w:t>
      </w:r>
    </w:p>
    <w:p>
      <w:r>
        <w:rPr>
          <w:rFonts w:ascii="Consolas" w:hAnsi="Consolas"/>
          <w:sz w:val="18"/>
        </w:rPr>
        <w:t>git clone https://github.com/altechemist/civiclink.git</w:t>
        <w:br/>
        <w:t>cd civiclink</w:t>
        <w:br/>
        <w:t>git checkout v1.0.0</w:t>
        <w:br/>
        <w:t>npx -y npm@11.6.2 ci</w:t>
        <w:br/>
        <w:t>npm run dev</w:t>
      </w:r>
    </w:p>
    <w:p>
      <w:r>
        <w:rPr>
          <w:rFonts w:ascii="Consolas" w:hAnsi="Consolas"/>
          <w:sz w:val="18"/>
        </w:rPr>
        <w:t>npm run dev</w:t>
      </w:r>
      <w:r>
        <w:t xml:space="preserve"> builds the Cloud Functions, starts the Auth, Firestore and Functions emulators, initialises the database with the deterministic seed (departments, categories, 15 accounts, 150 reports with valid histories, and alerts), and starts the web application. Open </w:t>
      </w:r>
      <w:r>
        <w:rPr>
          <w:b/>
        </w:rPr>
        <w:t>http://127.0.0.1:5173</w:t>
      </w:r>
      <w:r>
        <w:t>. The emulator data browser is at http://127.0.0.1:4000. Restarting the command resets the database to the same seed. npm 11 is used because npm 10 has a known workspace-resolution defect.</w:t>
      </w:r>
    </w:p>
    <w:p>
      <w:r>
        <w:rPr>
          <w:b/>
        </w:rPr>
        <w:t>Demo accounts.</w:t>
      </w:r>
      <w:r>
        <w:t xml:space="preserve"> All accounts use the password </w:t>
      </w:r>
      <w:r>
        <w:rPr>
          <w:rFonts w:ascii="Consolas" w:hAnsi="Consolas"/>
          <w:sz w:val="18"/>
        </w:rPr>
        <w:t>CivicLink#2026</w:t>
      </w:r>
      <w:r>
        <w:t>. The login page offers one-click shortcuts for the main four.</w:t>
      </w:r>
    </w:p>
    <w:p>
      <w:pPr>
        <w:pStyle w:val="Caption"/>
        <w:keepNext/>
      </w:pPr>
      <w:r>
        <w:t>Table 20: Demo accounts</w:t>
      </w:r>
    </w:p>
    <w:tbl>
      <w:tblPr>
        <w:tblStyle w:val="TableGrid"/>
        <w:tblW w:type="auto" w:w="0"/>
        <w:jc w:val="center"/>
        <w:tblLayout w:type="fixed"/>
        <w:tblLook w:firstColumn="1" w:firstRow="1" w:lastColumn="0" w:lastRow="0" w:noHBand="0" w:noVBand="1" w:val="04A0"/>
        <w:tblLayout w:type="fixed"/>
      </w:tblPr>
      <w:tblGrid>
        <w:gridCol w:w="2148"/>
        <w:gridCol w:w="3523"/>
        <w:gridCol w:w="3689"/>
      </w:tblGrid>
      <w:tr>
        <w:trPr>
          <w:tblHeader w:val="true"/>
        </w:trPr>
        <w:tc>
          <w:tcPr>
            <w:tcW w:type="dxa" w:w="2148"/>
            <w:shd w:val="clear" w:color="auto" w:fill="D5EBF4"/>
          </w:tcPr>
          <w:p>
            <w:pPr>
              <w:spacing w:after="0"/>
            </w:pPr>
            <w:r>
              <w:rPr>
                <w:b/>
                <w:sz w:val="18"/>
              </w:rPr>
              <w:t>Role</w:t>
            </w:r>
          </w:p>
        </w:tc>
        <w:tc>
          <w:tcPr>
            <w:tcW w:type="dxa" w:w="3523"/>
            <w:shd w:val="clear" w:color="auto" w:fill="D5EBF4"/>
          </w:tcPr>
          <w:p>
            <w:pPr>
              <w:spacing w:after="0"/>
            </w:pPr>
            <w:r>
              <w:rPr>
                <w:b/>
                <w:sz w:val="18"/>
              </w:rPr>
              <w:t>Email</w:t>
            </w:r>
          </w:p>
        </w:tc>
        <w:tc>
          <w:tcPr>
            <w:tcW w:type="dxa" w:w="3689"/>
            <w:shd w:val="clear" w:color="auto" w:fill="D5EBF4"/>
          </w:tcPr>
          <w:p>
            <w:pPr>
              <w:spacing w:after="0"/>
            </w:pPr>
            <w:r>
              <w:rPr>
                <w:b/>
                <w:sz w:val="18"/>
              </w:rPr>
              <w:t>Notes</w:t>
            </w:r>
          </w:p>
        </w:tc>
      </w:tr>
      <w:tr>
        <w:tc>
          <w:tcPr>
            <w:tcW w:type="dxa" w:w="2148"/>
          </w:tcPr>
          <w:p>
            <w:pPr>
              <w:spacing w:after="0"/>
            </w:pPr>
            <w:r>
              <w:rPr>
                <w:sz w:val="18"/>
              </w:rPr>
              <w:t>Resident</w:t>
            </w:r>
          </w:p>
        </w:tc>
        <w:tc>
          <w:tcPr>
            <w:tcW w:type="dxa" w:w="3523"/>
          </w:tcPr>
          <w:p>
            <w:pPr>
              <w:spacing w:after="0"/>
            </w:pPr>
            <w:r>
              <w:rPr>
                <w:sz w:val="18"/>
              </w:rPr>
              <w:t>thandi@civiclink.demo</w:t>
            </w:r>
          </w:p>
        </w:tc>
        <w:tc>
          <w:tcPr>
            <w:tcW w:type="dxa" w:w="3689"/>
          </w:tcPr>
          <w:p>
            <w:pPr>
              <w:spacing w:after="0"/>
            </w:pPr>
            <w:r>
              <w:rPr>
                <w:sz w:val="18"/>
              </w:rPr>
              <w:t>Galeshewe; reports in every state</w:t>
            </w:r>
          </w:p>
        </w:tc>
      </w:tr>
      <w:tr>
        <w:tc>
          <w:tcPr>
            <w:tcW w:type="dxa" w:w="2148"/>
          </w:tcPr>
          <w:p>
            <w:pPr>
              <w:spacing w:after="0"/>
            </w:pPr>
            <w:r>
              <w:rPr>
                <w:sz w:val="18"/>
              </w:rPr>
              <w:t>Resident</w:t>
            </w:r>
          </w:p>
        </w:tc>
        <w:tc>
          <w:tcPr>
            <w:tcW w:type="dxa" w:w="3523"/>
          </w:tcPr>
          <w:p>
            <w:pPr>
              <w:spacing w:after="0"/>
            </w:pPr>
            <w:r>
              <w:rPr>
                <w:sz w:val="18"/>
              </w:rPr>
              <w:t>pieter@civiclink.demo</w:t>
            </w:r>
          </w:p>
        </w:tc>
        <w:tc>
          <w:tcPr>
            <w:tcW w:type="dxa" w:w="3689"/>
          </w:tcPr>
          <w:p>
            <w:pPr>
              <w:spacing w:after="0"/>
            </w:pPr>
            <w:r>
              <w:rPr>
                <w:sz w:val="18"/>
              </w:rPr>
              <w:t>Roodepan</w:t>
            </w:r>
          </w:p>
        </w:tc>
      </w:tr>
      <w:tr>
        <w:tc>
          <w:tcPr>
            <w:tcW w:type="dxa" w:w="2148"/>
          </w:tcPr>
          <w:p>
            <w:pPr>
              <w:spacing w:after="0"/>
            </w:pPr>
            <w:r>
              <w:rPr>
                <w:sz w:val="18"/>
              </w:rPr>
              <w:t>Official</w:t>
            </w:r>
          </w:p>
        </w:tc>
        <w:tc>
          <w:tcPr>
            <w:tcW w:type="dxa" w:w="3523"/>
          </w:tcPr>
          <w:p>
            <w:pPr>
              <w:spacing w:after="0"/>
            </w:pPr>
            <w:r>
              <w:rPr>
                <w:sz w:val="18"/>
              </w:rPr>
              <w:t>naledi@civiclink.demo</w:t>
            </w:r>
          </w:p>
        </w:tc>
        <w:tc>
          <w:tcPr>
            <w:tcW w:type="dxa" w:w="3689"/>
          </w:tcPr>
          <w:p>
            <w:pPr>
              <w:spacing w:after="0"/>
            </w:pPr>
            <w:r>
              <w:rPr>
                <w:sz w:val="18"/>
              </w:rPr>
              <w:t>Water &amp; Sanitation (also thabo@ Electricity, johan@ Roads)</w:t>
            </w:r>
          </w:p>
        </w:tc>
      </w:tr>
      <w:tr>
        <w:tc>
          <w:tcPr>
            <w:tcW w:type="dxa" w:w="2148"/>
          </w:tcPr>
          <w:p>
            <w:pPr>
              <w:spacing w:after="0"/>
            </w:pPr>
            <w:r>
              <w:rPr>
                <w:sz w:val="18"/>
              </w:rPr>
              <w:t>Field worker</w:t>
            </w:r>
          </w:p>
        </w:tc>
        <w:tc>
          <w:tcPr>
            <w:tcW w:type="dxa" w:w="3523"/>
          </w:tcPr>
          <w:p>
            <w:pPr>
              <w:spacing w:after="0"/>
            </w:pPr>
            <w:r>
              <w:rPr>
                <w:sz w:val="18"/>
              </w:rPr>
              <w:t>sipho@civiclink.demo</w:t>
            </w:r>
          </w:p>
        </w:tc>
        <w:tc>
          <w:tcPr>
            <w:tcW w:type="dxa" w:w="3689"/>
          </w:tcPr>
          <w:p>
            <w:pPr>
              <w:spacing w:after="0"/>
            </w:pPr>
            <w:r>
              <w:rPr>
                <w:sz w:val="18"/>
              </w:rPr>
              <w:t>Water &amp; Sanitation (also bongani@ Electricity, mpho@ Roads)</w:t>
            </w:r>
          </w:p>
        </w:tc>
      </w:tr>
      <w:tr>
        <w:tc>
          <w:tcPr>
            <w:tcW w:type="dxa" w:w="2148"/>
          </w:tcPr>
          <w:p>
            <w:pPr>
              <w:spacing w:after="0"/>
            </w:pPr>
            <w:r>
              <w:rPr>
                <w:sz w:val="18"/>
              </w:rPr>
              <w:t>Administrator</w:t>
            </w:r>
          </w:p>
        </w:tc>
        <w:tc>
          <w:tcPr>
            <w:tcW w:type="dxa" w:w="3523"/>
          </w:tcPr>
          <w:p>
            <w:pPr>
              <w:spacing w:after="0"/>
            </w:pPr>
            <w:r>
              <w:rPr>
                <w:sz w:val="18"/>
              </w:rPr>
              <w:t>admin@civiclink.demo</w:t>
            </w:r>
          </w:p>
        </w:tc>
        <w:tc>
          <w:tcPr>
            <w:tcW w:type="dxa" w:w="3689"/>
          </w:tcPr>
          <w:p>
            <w:pPr>
              <w:spacing w:after="0"/>
            </w:pPr>
            <w:r>
              <w:rPr>
                <w:sz w:val="18"/>
              </w:rPr>
              <w:t>All official and administrative functions</w:t>
            </w:r>
          </w:p>
        </w:tc>
      </w:tr>
    </w:tbl>
    <w:p/>
    <w:p>
      <w:r>
        <w:rPr>
          <w:b/>
        </w:rPr>
        <w:t>Tests.</w:t>
      </w:r>
      <w:r>
        <w:t xml:space="preserve"> </w:t>
      </w:r>
      <w:r>
        <w:rPr>
          <w:rFonts w:ascii="Consolas" w:hAnsi="Consolas"/>
          <w:sz w:val="18"/>
        </w:rPr>
        <w:t>npm run test:unit</w:t>
      </w:r>
      <w:r>
        <w:t xml:space="preserve">, </w:t>
      </w:r>
      <w:r>
        <w:rPr>
          <w:rFonts w:ascii="Consolas" w:hAnsi="Consolas"/>
          <w:sz w:val="18"/>
        </w:rPr>
        <w:t>npm run test:emulator</w:t>
      </w:r>
      <w:r>
        <w:t xml:space="preserve"> (rules and API integration), and </w:t>
      </w:r>
      <w:r>
        <w:rPr>
          <w:rFonts w:ascii="Consolas" w:hAnsi="Consolas"/>
          <w:sz w:val="18"/>
        </w:rPr>
        <w:t>npm run test:e2e</w:t>
      </w:r>
      <w:r>
        <w:t xml:space="preserve"> (run </w:t>
      </w:r>
      <w:r>
        <w:rPr>
          <w:rFonts w:ascii="Consolas" w:hAnsi="Consolas"/>
          <w:sz w:val="18"/>
        </w:rPr>
        <w:t>npx playwright install chromium</w:t>
      </w:r>
      <w:r>
        <w:t xml:space="preserve"> once beforehand).</w:t>
      </w:r>
    </w:p>
    <w:p>
      <w:r>
        <w:rPr>
          <w:b/>
        </w:rPr>
        <w:t>Deployed configuration (free tier).</w:t>
      </w:r>
      <w:r>
        <w:t xml:space="preserve"> The full runbook is in </w:t>
      </w:r>
      <w:r>
        <w:rPr>
          <w:rFonts w:ascii="Consolas" w:hAnsi="Consolas"/>
          <w:sz w:val="18"/>
        </w:rPr>
        <w:t>docs/deploy.md</w:t>
      </w:r>
      <w:r>
        <w:t>. In summary:</w:t>
      </w:r>
    </w:p>
    <w:p>
      <w:pPr>
        <w:pStyle w:val="ListNumber"/>
      </w:pPr>
      <w:r>
        <w:t>In the Firebase console, enable Email/Password and Google sign-in and create the Firestore database (location africa-south1).</w:t>
      </w:r>
    </w:p>
    <w:p>
      <w:pPr>
        <w:pStyle w:val="ListNumber"/>
      </w:pPr>
      <w:r>
        <w:t xml:space="preserve">Deploy the rules and indexes with </w:t>
      </w:r>
      <w:r>
        <w:rPr>
          <w:rFonts w:ascii="Consolas" w:hAnsi="Consolas"/>
          <w:sz w:val="18"/>
        </w:rPr>
        <w:t>npx firebase deploy --only firestore --project prod</w:t>
      </w:r>
      <w:r>
        <w:t>.</w:t>
      </w:r>
    </w:p>
    <w:p>
      <w:pPr>
        <w:pStyle w:val="ListNumber"/>
      </w:pPr>
      <w:r>
        <w:t xml:space="preserve">Import the GitHub repository into Vercel, which reads the build settings from </w:t>
      </w:r>
      <w:r>
        <w:rPr>
          <w:rFonts w:ascii="Consolas" w:hAnsi="Consolas"/>
          <w:sz w:val="18"/>
        </w:rPr>
        <w:t>vercel.json</w:t>
      </w:r>
      <w:r>
        <w:t>.</w:t>
      </w:r>
    </w:p>
    <w:p>
      <w:pPr>
        <w:pStyle w:val="ListNumber"/>
      </w:pPr>
      <w:r>
        <w:t xml:space="preserve">Set the environment variables listed in </w:t>
      </w:r>
      <w:r>
        <w:rPr>
          <w:rFonts w:ascii="Consolas" w:hAnsi="Consolas"/>
          <w:sz w:val="18"/>
        </w:rPr>
        <w:t>.env.example</w:t>
      </w:r>
      <w:r>
        <w:t xml:space="preserve">: Firebase web config, </w:t>
      </w:r>
      <w:r>
        <w:rPr>
          <w:rFonts w:ascii="Consolas" w:hAnsi="Consolas"/>
          <w:sz w:val="18"/>
        </w:rPr>
        <w:t>VITE_API_BASE=/api</w:t>
      </w:r>
      <w:r>
        <w:t xml:space="preserve">, </w:t>
      </w:r>
      <w:r>
        <w:rPr>
          <w:rFonts w:ascii="Consolas" w:hAnsi="Consolas"/>
          <w:sz w:val="18"/>
        </w:rPr>
        <w:t>VITE_USE_EMULATORS=false</w:t>
      </w:r>
      <w:r>
        <w:t xml:space="preserve">, </w:t>
      </w:r>
      <w:r>
        <w:rPr>
          <w:rFonts w:ascii="Consolas" w:hAnsi="Consolas"/>
          <w:sz w:val="18"/>
        </w:rPr>
        <w:t>FIREBASE_SERVICE_ACCOUNT</w:t>
      </w:r>
      <w:r>
        <w:t xml:space="preserve"> and </w:t>
      </w:r>
      <w:r>
        <w:rPr>
          <w:rFonts w:ascii="Consolas" w:hAnsi="Consolas"/>
          <w:sz w:val="18"/>
        </w:rPr>
        <w:t>CRON_SECRET</w:t>
      </w:r>
      <w:r>
        <w:t>.</w:t>
      </w:r>
    </w:p>
    <w:p>
      <w:pPr>
        <w:pStyle w:val="ListNumber"/>
      </w:pPr>
      <w:r>
        <w:t xml:space="preserve">Set the same </w:t>
      </w:r>
      <w:r>
        <w:rPr>
          <w:rFonts w:ascii="Consolas" w:hAnsi="Consolas"/>
          <w:sz w:val="18"/>
        </w:rPr>
        <w:t>CRON_SECRET</w:t>
      </w:r>
      <w:r>
        <w:t xml:space="preserve"> and the </w:t>
      </w:r>
      <w:r>
        <w:rPr>
          <w:rFonts w:ascii="Consolas" w:hAnsi="Consolas"/>
          <w:sz w:val="18"/>
        </w:rPr>
        <w:t>APP_URL</w:t>
      </w:r>
      <w:r>
        <w:t xml:space="preserve"> in the GitHub repository for the hourly schedule.</w:t>
      </w:r>
    </w:p>
    <w:p>
      <w:pPr>
        <w:pStyle w:val="ListNumber"/>
      </w:pPr>
      <w:r>
        <w:t xml:space="preserve">Seed the deployed project with </w:t>
      </w:r>
      <w:r>
        <w:rPr>
          <w:rFonts w:ascii="Consolas" w:hAnsi="Consolas"/>
          <w:sz w:val="18"/>
        </w:rPr>
        <w:t>npm run seed:prod</w:t>
      </w:r>
      <w:r>
        <w:t>.</w:t>
      </w:r>
    </w:p>
    <w:p>
      <w:r>
        <w:rPr>
          <w:b/>
        </w:rPr>
        <w:t>Alternative cloud deployment (Blaze plan).</w:t>
      </w:r>
    </w:p>
    <w:p>
      <w:pPr>
        <w:pStyle w:val="ListNumber"/>
      </w:pPr>
      <w:r>
        <w:t xml:space="preserve">Copy </w:t>
      </w:r>
      <w:r>
        <w:rPr>
          <w:rFonts w:ascii="Consolas" w:hAnsi="Consolas"/>
          <w:sz w:val="18"/>
        </w:rPr>
        <w:t>.env.example</w:t>
      </w:r>
      <w:r>
        <w:t xml:space="preserve"> to </w:t>
      </w:r>
      <w:r>
        <w:rPr>
          <w:rFonts w:ascii="Consolas" w:hAnsi="Consolas"/>
          <w:sz w:val="18"/>
        </w:rPr>
        <w:t>apps/web/.env.local</w:t>
      </w:r>
      <w:r>
        <w:t xml:space="preserve"> and enter the web configuration of a Firebase project on the Blaze plan.</w:t>
      </w:r>
    </w:p>
    <w:p>
      <w:pPr>
        <w:pStyle w:val="ListNumber"/>
      </w:pPr>
      <w:r>
        <w:t xml:space="preserve">Set </w:t>
      </w:r>
      <w:r>
        <w:rPr>
          <w:rFonts w:ascii="Consolas" w:hAnsi="Consolas"/>
          <w:sz w:val="18"/>
        </w:rPr>
        <w:t>VITE_USE_EMULATORS=false</w:t>
      </w:r>
      <w:r>
        <w:t xml:space="preserve"> and leave </w:t>
      </w:r>
      <w:r>
        <w:rPr>
          <w:rFonts w:ascii="Consolas" w:hAnsi="Consolas"/>
          <w:sz w:val="18"/>
        </w:rPr>
        <w:t>VITE_API_BASE</w:t>
      </w:r>
      <w:r>
        <w:t xml:space="preserve"> empty.</w:t>
      </w:r>
    </w:p>
    <w:p>
      <w:pPr>
        <w:pStyle w:val="ListNumber"/>
      </w:pPr>
      <w:r>
        <w:t xml:space="preserve">Run </w:t>
      </w:r>
      <w:r>
        <w:rPr>
          <w:rFonts w:ascii="Consolas" w:hAnsi="Consolas"/>
          <w:sz w:val="18"/>
        </w:rPr>
        <w:t>npm run build</w:t>
      </w:r>
      <w:r>
        <w:t xml:space="preserve"> followed by </w:t>
      </w:r>
      <w:r>
        <w:rPr>
          <w:rFonts w:ascii="Consolas" w:hAnsi="Consolas"/>
          <w:sz w:val="18"/>
        </w:rPr>
        <w:t>npx firebase deploy --project prod</w:t>
      </w:r>
      <w:r>
        <w:t>.</w:t>
      </w:r>
    </w:p>
    <w:p>
      <w:r>
        <w:t>The same code also runs entirely on Firebase.</w:t>
      </w:r>
    </w:p>
    <w:p>
      <w:pPr>
        <w:pStyle w:val="Heading1"/>
        <w:numPr>
          <w:ilvl w:val="0"/>
          <w:numId w:val="9"/>
        </w:numPr>
      </w:pPr>
      <w:r>
        <w:t>SOLUTION EVALUATION</w:t>
      </w:r>
    </w:p>
    <w:p>
      <w:pPr>
        <w:pStyle w:val="Caption"/>
        <w:keepNext/>
      </w:pPr>
      <w:r>
        <w:t>Table 21: Evaluation against the success criteria</w:t>
      </w:r>
    </w:p>
    <w:tbl>
      <w:tblPr>
        <w:tblStyle w:val="TableGrid"/>
        <w:tblW w:type="auto" w:w="0"/>
        <w:jc w:val="center"/>
        <w:tblLayout w:type="fixed"/>
        <w:tblLook w:firstColumn="1" w:firstRow="1" w:lastColumn="0" w:lastRow="0" w:noHBand="0" w:noVBand="1" w:val="04A0"/>
        <w:tblLayout w:type="fixed"/>
      </w:tblPr>
      <w:tblGrid>
        <w:gridCol w:w="2859"/>
        <w:gridCol w:w="1359"/>
        <w:gridCol w:w="5142"/>
      </w:tblGrid>
      <w:tr>
        <w:trPr>
          <w:tblHeader w:val="true"/>
        </w:trPr>
        <w:tc>
          <w:tcPr>
            <w:tcW w:type="dxa" w:w="2859"/>
            <w:shd w:val="clear" w:color="auto" w:fill="D5EBF4"/>
          </w:tcPr>
          <w:p>
            <w:pPr>
              <w:spacing w:after="0"/>
            </w:pPr>
            <w:r>
              <w:rPr>
                <w:b/>
                <w:sz w:val="18"/>
              </w:rPr>
              <w:t>Success criterion</w:t>
            </w:r>
          </w:p>
        </w:tc>
        <w:tc>
          <w:tcPr>
            <w:tcW w:type="dxa" w:w="1359"/>
            <w:shd w:val="clear" w:color="auto" w:fill="D5EBF4"/>
          </w:tcPr>
          <w:p>
            <w:pPr>
              <w:spacing w:after="0"/>
            </w:pPr>
            <w:r>
              <w:rPr>
                <w:b/>
                <w:sz w:val="18"/>
              </w:rPr>
              <w:t>Outcome</w:t>
            </w:r>
          </w:p>
        </w:tc>
        <w:tc>
          <w:tcPr>
            <w:tcW w:type="dxa" w:w="5142"/>
            <w:shd w:val="clear" w:color="auto" w:fill="D5EBF4"/>
          </w:tcPr>
          <w:p>
            <w:pPr>
              <w:spacing w:after="0"/>
            </w:pPr>
            <w:r>
              <w:rPr>
                <w:b/>
                <w:sz w:val="18"/>
              </w:rPr>
              <w:t>Evidence</w:t>
            </w:r>
          </w:p>
        </w:tc>
      </w:tr>
      <w:tr>
        <w:tc>
          <w:tcPr>
            <w:tcW w:type="dxa" w:w="2859"/>
          </w:tcPr>
          <w:p>
            <w:pPr>
              <w:spacing w:after="0"/>
            </w:pPr>
            <w:r>
              <w:rPr>
                <w:sz w:val="18"/>
              </w:rPr>
              <w:t>SC-01: The complete incident lifecycle runs end to end</w:t>
            </w:r>
          </w:p>
        </w:tc>
        <w:tc>
          <w:tcPr>
            <w:tcW w:type="dxa" w:w="1359"/>
          </w:tcPr>
          <w:p>
            <w:pPr>
              <w:spacing w:after="0"/>
            </w:pPr>
            <w:r>
              <w:rPr>
                <w:sz w:val="18"/>
              </w:rPr>
              <w:t>Achieved</w:t>
            </w:r>
          </w:p>
        </w:tc>
        <w:tc>
          <w:tcPr>
            <w:tcW w:type="dxa" w:w="5142"/>
          </w:tcPr>
          <w:p>
            <w:pPr>
              <w:spacing w:after="0"/>
            </w:pPr>
            <w:r>
              <w:rPr>
                <w:sz w:val="18"/>
              </w:rPr>
              <w:t>E2E-01 passes in Chromium and Firefox across three independent browser sessions (resident, official, field worker); Figures 12–18</w:t>
            </w:r>
          </w:p>
        </w:tc>
      </w:tr>
      <w:tr>
        <w:tc>
          <w:tcPr>
            <w:tcW w:type="dxa" w:w="2859"/>
          </w:tcPr>
          <w:p>
            <w:pPr>
              <w:spacing w:after="0"/>
            </w:pPr>
            <w:r>
              <w:rPr>
                <w:sz w:val="18"/>
              </w:rPr>
              <w:t>SC-02: Key business rules are enforced server-side</w:t>
            </w:r>
          </w:p>
        </w:tc>
        <w:tc>
          <w:tcPr>
            <w:tcW w:type="dxa" w:w="1359"/>
          </w:tcPr>
          <w:p>
            <w:pPr>
              <w:spacing w:after="0"/>
            </w:pPr>
            <w:r>
              <w:rPr>
                <w:sz w:val="18"/>
              </w:rPr>
              <w:t>Achieved</w:t>
            </w:r>
          </w:p>
        </w:tc>
        <w:tc>
          <w:tcPr>
            <w:tcW w:type="dxa" w:w="5142"/>
          </w:tcPr>
          <w:p>
            <w:pPr>
              <w:spacing w:after="0"/>
            </w:pPr>
            <w:r>
              <w:rPr>
                <w:sz w:val="18"/>
              </w:rPr>
              <w:t>BR-03 to BR-11 each have unit and integration tests that bypass the user interface and call the API directly (UT-DUP, UT-RSM, IT-ASG-04/07, IT-TSK-03/06, IT-ESC-01, IT-RES-03); all pass</w:t>
            </w:r>
          </w:p>
        </w:tc>
      </w:tr>
      <w:tr>
        <w:tc>
          <w:tcPr>
            <w:tcW w:type="dxa" w:w="2859"/>
          </w:tcPr>
          <w:p>
            <w:pPr>
              <w:spacing w:after="0"/>
            </w:pPr>
            <w:r>
              <w:rPr>
                <w:sz w:val="18"/>
              </w:rPr>
              <w:t>SC-03: Role-based access control holds</w:t>
            </w:r>
          </w:p>
        </w:tc>
        <w:tc>
          <w:tcPr>
            <w:tcW w:type="dxa" w:w="1359"/>
          </w:tcPr>
          <w:p>
            <w:pPr>
              <w:spacing w:after="0"/>
            </w:pPr>
            <w:r>
              <w:rPr>
                <w:sz w:val="18"/>
              </w:rPr>
              <w:t>Achieved</w:t>
            </w:r>
          </w:p>
        </w:tc>
        <w:tc>
          <w:tcPr>
            <w:tcW w:type="dxa" w:w="5142"/>
          </w:tcPr>
          <w:p>
            <w:pPr>
              <w:spacing w:after="0"/>
            </w:pPr>
            <w:r>
              <w:rPr>
                <w:sz w:val="18"/>
              </w:rPr>
              <w:t>20 Security Rule tests covering every cell of the permission matrix, plus authorisation cases for every command and E2E-04; all pass</w:t>
            </w:r>
          </w:p>
        </w:tc>
      </w:tr>
      <w:tr>
        <w:tc>
          <w:tcPr>
            <w:tcW w:type="dxa" w:w="2859"/>
          </w:tcPr>
          <w:p>
            <w:pPr>
              <w:spacing w:after="0"/>
            </w:pPr>
            <w:r>
              <w:rPr>
                <w:sz w:val="18"/>
              </w:rPr>
              <w:t>SC-04: Residents receive timely, targeted information</w:t>
            </w:r>
          </w:p>
        </w:tc>
        <w:tc>
          <w:tcPr>
            <w:tcW w:type="dxa" w:w="1359"/>
          </w:tcPr>
          <w:p>
            <w:pPr>
              <w:spacing w:after="0"/>
            </w:pPr>
            <w:r>
              <w:rPr>
                <w:sz w:val="18"/>
              </w:rPr>
              <w:t>Achieved</w:t>
            </w:r>
          </w:p>
        </w:tc>
        <w:tc>
          <w:tcPr>
            <w:tcW w:type="dxa" w:w="5142"/>
          </w:tcPr>
          <w:p>
            <w:pPr>
              <w:spacing w:after="0"/>
            </w:pPr>
            <w:r>
              <w:rPr>
                <w:sz w:val="18"/>
              </w:rPr>
              <w:t>NFT-05: report visible to the official in 0.09 s and the resolution visible to the resident in 2.47 s (target 5 s); E2E-03 shows suburb targeting</w:t>
            </w:r>
          </w:p>
        </w:tc>
      </w:tr>
      <w:tr>
        <w:tc>
          <w:tcPr>
            <w:tcW w:type="dxa" w:w="2859"/>
          </w:tcPr>
          <w:p>
            <w:pPr>
              <w:spacing w:after="0"/>
            </w:pPr>
            <w:r>
              <w:rPr>
                <w:sz w:val="18"/>
              </w:rPr>
              <w:t>SC-05: Officials have operational visibility from live data</w:t>
            </w:r>
          </w:p>
        </w:tc>
        <w:tc>
          <w:tcPr>
            <w:tcW w:type="dxa" w:w="1359"/>
          </w:tcPr>
          <w:p>
            <w:pPr>
              <w:spacing w:after="0"/>
            </w:pPr>
            <w:r>
              <w:rPr>
                <w:sz w:val="18"/>
              </w:rPr>
              <w:t>Achieved</w:t>
            </w:r>
          </w:p>
        </w:tc>
        <w:tc>
          <w:tcPr>
            <w:tcW w:type="dxa" w:w="5142"/>
          </w:tcPr>
          <w:p>
            <w:pPr>
              <w:spacing w:after="0"/>
            </w:pPr>
            <w:r>
              <w:rPr>
                <w:sz w:val="18"/>
              </w:rPr>
              <w:t>UT-ANL-01 and IT-ANL-01 reproduce the expected metrics; Figure 21</w:t>
            </w:r>
          </w:p>
        </w:tc>
      </w:tr>
    </w:tbl>
    <w:p/>
    <w:p>
      <w:r>
        <w:t>The final system meets its purpose for the scope that was set. A smaller set of capabilities was delivered completely, rather than the large and partly simulated scope of the Phase 3 prototype. Every included requirement is implemented on a real backend and verified automatically.</w:t>
      </w:r>
    </w:p>
    <w:p>
      <w:r>
        <w:t>The main remaining gap for a production rollout is reaching residents who do not open the app. Push notifications and SMS (FR-24, FR-25) are the most valuable next step, followed by offline drafting (FR-27) for areas with poor coverage, and a pilot with one department to validate the SLA targets.</w:t>
      </w:r>
    </w:p>
    <w:p>
      <w:pPr>
        <w:pStyle w:val="Heading1"/>
        <w:numPr>
          <w:ilvl w:val="0"/>
          <w:numId w:val="9"/>
        </w:numPr>
      </w:pPr>
      <w:r>
        <w:t>REFERENCES</w:t>
      </w:r>
    </w:p>
    <w:p>
      <w:r>
        <w:rPr>
          <w:b/>
          <w:highlight w:val="yellow"/>
        </w:rPr>
        <w:t>TO VERIFY BEFORE SUBMISSION: Confirm each URL, edition and access date below before submission, and add any further sources you cite in Section 2.</w:t>
      </w:r>
    </w:p>
    <w:p>
      <w:r>
        <w:t xml:space="preserve">Auditor-General South Africa. (2024). </w:t>
      </w:r>
      <w:r>
        <w:rPr>
          <w:i/>
        </w:rPr>
        <w:t>Consolidated general report on local government audit outcomes: MFMA 2022-23</w:t>
      </w:r>
      <w:r>
        <w:t>. https://www.agsa.co.za</w:t>
      </w:r>
    </w:p>
    <w:p>
      <w:r>
        <w:t xml:space="preserve">Firebase. (2026). </w:t>
      </w:r>
      <w:r>
        <w:rPr>
          <w:i/>
        </w:rPr>
        <w:t>Cloud Firestore documentation</w:t>
      </w:r>
      <w:r>
        <w:t>. Google. https://firebase.google.com/docs/firestore</w:t>
      </w:r>
    </w:p>
    <w:p>
      <w:r>
        <w:t xml:space="preserve">Firebase. (2026). </w:t>
      </w:r>
      <w:r>
        <w:rPr>
          <w:i/>
        </w:rPr>
        <w:t>Cloud Functions for Firebase documentation</w:t>
      </w:r>
      <w:r>
        <w:t>. Google. https://firebase.google.com/docs/functions</w:t>
      </w:r>
    </w:p>
    <w:p>
      <w:r>
        <w:t xml:space="preserve">Firebase. (2026). </w:t>
      </w:r>
      <w:r>
        <w:rPr>
          <w:i/>
        </w:rPr>
        <w:t>Firebase Security Rules documentation</w:t>
      </w:r>
      <w:r>
        <w:t>. Google. https://firebase.google.com/docs/rules</w:t>
      </w:r>
    </w:p>
    <w:p>
      <w:r>
        <w:t xml:space="preserve">Firebase. (2026). </w:t>
      </w:r>
      <w:r>
        <w:rPr>
          <w:i/>
        </w:rPr>
        <w:t>Firebase Local Emulator Suite</w:t>
      </w:r>
      <w:r>
        <w:t>. Google. https://firebase.google.com/docs/emulator-suite</w:t>
      </w:r>
    </w:p>
    <w:p>
      <w:r>
        <w:t xml:space="preserve">Leaflet. (2023). </w:t>
      </w:r>
      <w:r>
        <w:rPr>
          <w:i/>
        </w:rPr>
        <w:t>Leaflet: An open-source JavaScript library for interactive maps</w:t>
      </w:r>
      <w:r>
        <w:t xml:space="preserve"> (Version 1.9.4) [Computer software]. https://leafletjs.com</w:t>
      </w:r>
    </w:p>
    <w:p>
      <w:r>
        <w:t xml:space="preserve">Meta Platforms. (2026). </w:t>
      </w:r>
      <w:r>
        <w:rPr>
          <w:i/>
        </w:rPr>
        <w:t>React</w:t>
      </w:r>
      <w:r>
        <w:t xml:space="preserve"> (Version 19) [Computer software]. https://react.dev</w:t>
      </w:r>
    </w:p>
    <w:p>
      <w:r>
        <w:t xml:space="preserve">Microsoft. (2026). </w:t>
      </w:r>
      <w:r>
        <w:rPr>
          <w:i/>
        </w:rPr>
        <w:t>Playwright</w:t>
      </w:r>
      <w:r>
        <w:t xml:space="preserve"> (Version 1.63) [Computer software]. https://playwright.dev</w:t>
      </w:r>
    </w:p>
    <w:p>
      <w:r>
        <w:t xml:space="preserve">OpenStreetMap contributors. (2026). </w:t>
      </w:r>
      <w:r>
        <w:rPr>
          <w:i/>
        </w:rPr>
        <w:t>OpenStreetMap</w:t>
      </w:r>
      <w:r>
        <w:t xml:space="preserve"> [Data set]. OpenStreetMap Foundation. https://www.openstreetmap.org</w:t>
      </w:r>
    </w:p>
    <w:p>
      <w:r>
        <w:t xml:space="preserve">Protection of Personal Information Act 4 of 2013. (2013). </w:t>
      </w:r>
      <w:r>
        <w:rPr>
          <w:i/>
        </w:rPr>
        <w:t>Government Gazette, 581</w:t>
      </w:r>
      <w:r>
        <w:t>(37067). Republic of South Africa.</w:t>
      </w:r>
    </w:p>
    <w:p>
      <w:r>
        <w:t xml:space="preserve">Sol Plaatje Local Municipality. (2022). </w:t>
      </w:r>
      <w:r>
        <w:rPr>
          <w:i/>
        </w:rPr>
        <w:t>Integrated development plan 2022–2027</w:t>
      </w:r>
      <w:r>
        <w:t>. Sol Plaatje Local Municipality.</w:t>
      </w:r>
    </w:p>
    <w:p>
      <w:r>
        <w:t xml:space="preserve">Statistics South Africa. (2023). </w:t>
      </w:r>
      <w:r>
        <w:rPr>
          <w:i/>
        </w:rPr>
        <w:t>Census 2022: Municipal fact sheet</w:t>
      </w:r>
      <w:r>
        <w:t>. Statistics South Africa. https://census.statssa.gov.za</w:t>
      </w:r>
    </w:p>
    <w:p>
      <w:r>
        <w:t xml:space="preserve">W3C. (2018). </w:t>
      </w:r>
      <w:r>
        <w:rPr>
          <w:i/>
        </w:rPr>
        <w:t>Web Content Accessibility Guidelines (WCAG) 2.1</w:t>
      </w:r>
      <w:r>
        <w:t>. World Wide Web Consortium. https://www.w3.org/TR/WCAG21/</w:t>
      </w:r>
    </w:p>
    <w:p>
      <w:r>
        <w:t xml:space="preserve">Zod. (2026). </w:t>
      </w:r>
      <w:r>
        <w:rPr>
          <w:i/>
        </w:rPr>
        <w:t>Zod: TypeScript-first schema validation</w:t>
      </w:r>
      <w:r>
        <w:t xml:space="preserve"> (Version 4) [Computer software]. https://zod.dev</w:t>
      </w:r>
    </w:p>
    <w:p>
      <w:pPr>
        <w:pStyle w:val="Heading1"/>
        <w:numPr>
          <w:ilvl w:val="0"/>
          <w:numId w:val="9"/>
        </w:numPr>
      </w:pPr>
      <w:r>
        <w:t>APPENDICES</w:t>
      </w:r>
    </w:p>
    <w:p>
      <w:pPr>
        <w:pStyle w:val="Heading2"/>
        <w:numPr>
          <w:ilvl w:val="1"/>
          <w:numId w:val="9"/>
        </w:numPr>
      </w:pPr>
      <w:r>
        <w:t>GitHub Repository</w:t>
      </w:r>
    </w:p>
    <w:p>
      <w:r>
        <w:t xml:space="preserve">Repository: </w:t>
      </w:r>
      <w:r>
        <w:rPr>
          <w:b/>
        </w:rPr>
        <w:t>https://github.com/altechemist/civiclink</w:t>
      </w:r>
      <w:r>
        <w:t xml:space="preserve"> (private; access granted to the lecturer).</w:t>
      </w:r>
    </w:p>
    <w:p>
      <w:r>
        <w:t xml:space="preserve">Submitted version: tag </w:t>
      </w:r>
      <w:r>
        <w:rPr>
          <w:b/>
        </w:rPr>
        <w:t>v1.0.0</w:t>
      </w:r>
      <w:r>
        <w:t xml:space="preserve">, commit </w:t>
      </w:r>
      <w:r>
        <w:rPr>
          <w:b/>
        </w:rPr>
        <w:t>bb32d75a137417a9fb6437cad15cd95094fdedcf</w:t>
      </w:r>
      <w:r>
        <w:t>.</w:t>
      </w:r>
    </w:p>
    <w:p>
      <w:pPr>
        <w:pStyle w:val="Heading2"/>
        <w:numPr>
          <w:ilvl w:val="1"/>
          <w:numId w:val="9"/>
        </w:numPr>
      </w:pPr>
      <w:r>
        <w:t>Deployed System</w:t>
      </w:r>
    </w:p>
    <w:p>
      <w:r>
        <w:t xml:space="preserve">URL: </w:t>
      </w:r>
      <w:r>
        <w:rPr>
          <w:b/>
        </w:rPr>
        <w:t>(deployed URL pending)</w:t>
      </w:r>
      <w:r>
        <w:t xml:space="preserve"> (Vercel + Firebase Spark, decision D3). Demo accounts are listed in Section 8. The local emulator configuration in Section 8 reproduces the same system offline.</w:t>
      </w:r>
    </w:p>
    <w:p>
      <w:r>
        <w:rPr>
          <w:b/>
          <w:highlight w:val="yellow"/>
        </w:rPr>
        <w:t>TO VERIFY BEFORE SUBMISSION: Confirm the deployed URL works and the demo accounts exist in the deployed project before submission.</w:t>
      </w:r>
    </w:p>
    <w:p>
      <w:pPr>
        <w:pStyle w:val="Heading2"/>
        <w:numPr>
          <w:ilvl w:val="1"/>
          <w:numId w:val="9"/>
        </w:numPr>
      </w:pPr>
      <w:r>
        <w:t>Additional Supporting Material</w:t>
      </w:r>
    </w:p>
    <w:p>
      <w:pPr>
        <w:pStyle w:val="BulletCompact"/>
        <w:numPr>
          <w:ilvl w:val="0"/>
          <w:numId w:val="8"/>
        </w:numPr>
      </w:pPr>
      <w:r>
        <w:rPr>
          <w:b/>
        </w:rPr>
        <w:t>Complete automated test results:</w:t>
      </w:r>
      <w:r>
        <w:t xml:space="preserve"> the GitHub Actions run for commit bb32d75a137417a9fb6437cad15cd95094fdedcf (tab "Actions"). It includes the Playwright HTML report and the coverage report as downloadable artefacts.</w:t>
      </w:r>
    </w:p>
    <w:p>
      <w:pPr>
        <w:pStyle w:val="BulletCompact"/>
        <w:numPr>
          <w:ilvl w:val="0"/>
          <w:numId w:val="8"/>
        </w:numPr>
      </w:pPr>
      <w:r>
        <w:rPr>
          <w:b/>
        </w:rPr>
        <w:t>Traceability matrix</w:t>
      </w:r>
      <w:r>
        <w:t xml:space="preserve"> (requirement → rule → screen → code → data → test): </w:t>
      </w:r>
      <w:r>
        <w:rPr>
          <w:rFonts w:ascii="Consolas" w:hAnsi="Consolas"/>
          <w:sz w:val="18"/>
        </w:rPr>
        <w:t>docs/trackers/traceability-matrix.md</w:t>
      </w:r>
      <w:r>
        <w:t>.</w:t>
      </w:r>
    </w:p>
    <w:p>
      <w:pPr>
        <w:pStyle w:val="BulletCompact"/>
        <w:numPr>
          <w:ilvl w:val="0"/>
          <w:numId w:val="8"/>
        </w:numPr>
      </w:pPr>
      <w:r>
        <w:rPr>
          <w:b/>
        </w:rPr>
        <w:t>Full test catalogue:</w:t>
      </w:r>
      <w:r>
        <w:t xml:space="preserve"> </w:t>
      </w:r>
      <w:r>
        <w:rPr>
          <w:rFonts w:ascii="Consolas" w:hAnsi="Consolas"/>
          <w:sz w:val="18"/>
        </w:rPr>
        <w:t>docs/trackers/test-catalog.md</w:t>
      </w:r>
      <w:r>
        <w:t xml:space="preserve">; </w:t>
      </w:r>
      <w:r>
        <w:rPr>
          <w:b/>
        </w:rPr>
        <w:t>defect log:</w:t>
      </w:r>
      <w:r>
        <w:t xml:space="preserve"> </w:t>
      </w:r>
      <w:r>
        <w:rPr>
          <w:rFonts w:ascii="Consolas" w:hAnsi="Consolas"/>
          <w:sz w:val="18"/>
        </w:rPr>
        <w:t>docs/trackers/defect-log.md</w:t>
      </w:r>
      <w:r>
        <w:t>.</w:t>
      </w:r>
    </w:p>
    <w:p>
      <w:pPr>
        <w:pStyle w:val="BulletCompact"/>
        <w:numPr>
          <w:ilvl w:val="0"/>
          <w:numId w:val="8"/>
        </w:numPr>
      </w:pPr>
      <w:r>
        <w:rPr>
          <w:b/>
        </w:rPr>
        <w:t>Baseline change log</w:t>
      </w:r>
      <w:r>
        <w:t xml:space="preserve"> reconciling Phases 1–3 (CR-01 to CR-28): </w:t>
      </w:r>
      <w:r>
        <w:rPr>
          <w:rFonts w:ascii="Consolas" w:hAnsi="Consolas"/>
          <w:sz w:val="18"/>
        </w:rPr>
        <w:t>docs/baseline/change-log.md</w:t>
      </w:r>
      <w:r>
        <w:t>.</w:t>
      </w:r>
    </w:p>
    <w:p>
      <w:pPr>
        <w:pStyle w:val="BulletCompact"/>
        <w:numPr>
          <w:ilvl w:val="0"/>
          <w:numId w:val="8"/>
        </w:numPr>
      </w:pPr>
      <w:r>
        <w:rPr>
          <w:b/>
        </w:rPr>
        <w:t>Architecture decision records:</w:t>
      </w:r>
      <w:r>
        <w:t xml:space="preserve"> </w:t>
      </w:r>
      <w:r>
        <w:rPr>
          <w:rFonts w:ascii="Consolas" w:hAnsi="Consolas"/>
          <w:sz w:val="18"/>
        </w:rPr>
        <w:t>docs/adr/README.md</w:t>
      </w:r>
      <w:r>
        <w:t>.</w:t>
      </w:r>
    </w:p>
    <w:p>
      <w:pPr>
        <w:pStyle w:val="BulletCompact"/>
        <w:numPr>
          <w:ilvl w:val="0"/>
          <w:numId w:val="8"/>
        </w:numPr>
      </w:pPr>
      <w:r>
        <w:rPr>
          <w:b/>
        </w:rPr>
        <w:t>Diagram sources</w:t>
      </w:r>
      <w:r>
        <w:t xml:space="preserve"> (PlantUML): </w:t>
      </w:r>
      <w:r>
        <w:rPr>
          <w:rFonts w:ascii="Consolas" w:hAnsi="Consolas"/>
          <w:sz w:val="18"/>
        </w:rPr>
        <w:t>docs/diagrams/src/</w:t>
      </w:r>
      <w:r>
        <w:t xml:space="preserve">; </w:t>
      </w:r>
      <w:r>
        <w:rPr>
          <w:b/>
        </w:rPr>
        <w:t>all 31 UI screenshots:</w:t>
      </w:r>
      <w:r>
        <w:t xml:space="preserve"> </w:t>
      </w:r>
      <w:r>
        <w:rPr>
          <w:rFonts w:ascii="Consolas" w:hAnsi="Consolas"/>
          <w:sz w:val="18"/>
        </w:rPr>
        <w:t>docs/evidence/</w:t>
      </w:r>
      <w:r>
        <w:t>.</w:t>
      </w:r>
    </w:p>
    <w:sectPr w:rsidR="00CC2AB7"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49A0" w14:textId="77777777" w:rsidR="0042416A" w:rsidRDefault="0042416A">
      <w:pPr>
        <w:spacing w:after="0" w:line="240" w:lineRule="auto"/>
      </w:pPr>
      <w:r>
        <w:separator/>
      </w:r>
    </w:p>
  </w:endnote>
  <w:endnote w:type="continuationSeparator" w:id="0">
    <w:p w14:paraId="56FCE761" w14:textId="77777777" w:rsidR="0042416A" w:rsidRDefault="00424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0F59" w14:textId="77777777" w:rsidR="00C9066D" w:rsidRDefault="00000000">
    <w:pPr>
      <w:pStyle w:val="Footer"/>
      <w:jc w:val="center"/>
    </w:pPr>
    <w:r>
      <w:fldChar w:fldCharType="begin"/>
    </w:r>
    <w:r>
      <w:instrText>PAGE</w:instrText>
    </w:r>
    <w:r w:rsidR="00F83794">
      <w:fldChar w:fldCharType="separate"/>
    </w:r>
    <w:r w:rsidR="00F837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1D2A" w14:textId="77777777" w:rsidR="0042416A" w:rsidRDefault="0042416A">
      <w:pPr>
        <w:spacing w:after="0" w:line="240" w:lineRule="auto"/>
      </w:pPr>
      <w:r>
        <w:separator/>
      </w:r>
    </w:p>
  </w:footnote>
  <w:footnote w:type="continuationSeparator" w:id="0">
    <w:p w14:paraId="3F81C5AA" w14:textId="77777777" w:rsidR="0042416A" w:rsidRDefault="00424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D5DFA"/>
    <w:multiLevelType w:val="hybridMultilevel"/>
    <w:tmpl w:val="1DF6A680"/>
    <w:lvl w:ilvl="0" w:tplc="1C090005">
      <w:start w:val="1"/>
      <w:numFmt w:val="bullet"/>
      <w:lvlText w:val=""/>
      <w:lvlJc w:val="left"/>
      <w:pPr>
        <w:ind w:left="850" w:hanging="360"/>
      </w:pPr>
      <w:rPr>
        <w:rFonts w:ascii="Wingdings" w:hAnsi="Wingdings"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7" w15:restartNumberingAfterBreak="0">
    <w:nsid w:val="00E87095"/>
    <w:multiLevelType w:val="hybridMultilevel"/>
    <w:tmpl w:val="8CB0A392"/>
    <w:lvl w:ilvl="0" w:tplc="1C090005">
      <w:start w:val="1"/>
      <w:numFmt w:val="bullet"/>
      <w:lvlText w:val=""/>
      <w:lvlJc w:val="left"/>
      <w:pPr>
        <w:ind w:left="785" w:hanging="360"/>
      </w:pPr>
      <w:rPr>
        <w:rFonts w:ascii="Wingdings" w:hAnsi="Wingdings"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8" w15:restartNumberingAfterBreak="0">
    <w:nsid w:val="09CF6A22"/>
    <w:multiLevelType w:val="hybridMultilevel"/>
    <w:tmpl w:val="AB86AFCE"/>
    <w:lvl w:ilvl="0" w:tplc="1C090005">
      <w:start w:val="1"/>
      <w:numFmt w:val="bullet"/>
      <w:lvlText w:val=""/>
      <w:lvlJc w:val="left"/>
      <w:pPr>
        <w:ind w:left="850" w:hanging="360"/>
      </w:pPr>
      <w:rPr>
        <w:rFonts w:ascii="Wingdings" w:hAnsi="Wingdings"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9" w15:restartNumberingAfterBreak="0">
    <w:nsid w:val="0CB11575"/>
    <w:multiLevelType w:val="hybridMultilevel"/>
    <w:tmpl w:val="9A58C03E"/>
    <w:lvl w:ilvl="0" w:tplc="1C090005">
      <w:start w:val="1"/>
      <w:numFmt w:val="bullet"/>
      <w:lvlText w:val=""/>
      <w:lvlJc w:val="left"/>
      <w:pPr>
        <w:ind w:left="850" w:hanging="360"/>
      </w:pPr>
      <w:rPr>
        <w:rFonts w:ascii="Wingdings" w:hAnsi="Wingdings"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0" w15:restartNumberingAfterBreak="0">
    <w:nsid w:val="126D243F"/>
    <w:multiLevelType w:val="hybridMultilevel"/>
    <w:tmpl w:val="02CA373E"/>
    <w:lvl w:ilvl="0" w:tplc="1C090005">
      <w:start w:val="1"/>
      <w:numFmt w:val="bullet"/>
      <w:lvlText w:val=""/>
      <w:lvlJc w:val="left"/>
      <w:pPr>
        <w:ind w:left="850" w:hanging="360"/>
      </w:pPr>
      <w:rPr>
        <w:rFonts w:ascii="Wingdings" w:hAnsi="Wingdings" w:hint="default"/>
      </w:rPr>
    </w:lvl>
    <w:lvl w:ilvl="1" w:tplc="1C090005">
      <w:start w:val="1"/>
      <w:numFmt w:val="bullet"/>
      <w:lvlText w:val=""/>
      <w:lvlJc w:val="left"/>
      <w:pPr>
        <w:ind w:left="850" w:hanging="360"/>
      </w:pPr>
      <w:rPr>
        <w:rFonts w:ascii="Wingdings" w:hAnsi="Wingdings"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1" w15:restartNumberingAfterBreak="0">
    <w:nsid w:val="13945B75"/>
    <w:multiLevelType w:val="hybridMultilevel"/>
    <w:tmpl w:val="AD0632AE"/>
    <w:lvl w:ilvl="0" w:tplc="1C090005">
      <w:start w:val="1"/>
      <w:numFmt w:val="bullet"/>
      <w:lvlText w:val=""/>
      <w:lvlJc w:val="left"/>
      <w:pPr>
        <w:ind w:left="850" w:hanging="360"/>
      </w:pPr>
      <w:rPr>
        <w:rFonts w:ascii="Wingdings" w:hAnsi="Wingdings" w:hint="default"/>
      </w:rPr>
    </w:lvl>
    <w:lvl w:ilvl="1" w:tplc="1C090003">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2" w15:restartNumberingAfterBreak="0">
    <w:nsid w:val="16FF6EA1"/>
    <w:multiLevelType w:val="hybridMultilevel"/>
    <w:tmpl w:val="AD1804F2"/>
    <w:lvl w:ilvl="0" w:tplc="1C090005">
      <w:start w:val="1"/>
      <w:numFmt w:val="bullet"/>
      <w:lvlText w:val=""/>
      <w:lvlJc w:val="left"/>
      <w:pPr>
        <w:ind w:left="850" w:hanging="360"/>
      </w:pPr>
      <w:rPr>
        <w:rFonts w:ascii="Wingdings" w:hAnsi="Wingdings" w:hint="default"/>
      </w:rPr>
    </w:lvl>
    <w:lvl w:ilvl="1" w:tplc="1C090003">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3" w15:restartNumberingAfterBreak="0">
    <w:nsid w:val="176944D3"/>
    <w:multiLevelType w:val="hybridMultilevel"/>
    <w:tmpl w:val="0CD238C4"/>
    <w:lvl w:ilvl="0" w:tplc="1C090005">
      <w:start w:val="1"/>
      <w:numFmt w:val="bullet"/>
      <w:lvlText w:val=""/>
      <w:lvlJc w:val="left"/>
      <w:pPr>
        <w:ind w:left="1092" w:hanging="360"/>
      </w:pPr>
      <w:rPr>
        <w:rFonts w:ascii="Wingdings" w:hAnsi="Wingdings" w:hint="default"/>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14" w15:restartNumberingAfterBreak="0">
    <w:nsid w:val="17BE1A5F"/>
    <w:multiLevelType w:val="hybridMultilevel"/>
    <w:tmpl w:val="C4FA588A"/>
    <w:lvl w:ilvl="0" w:tplc="1C090005">
      <w:start w:val="1"/>
      <w:numFmt w:val="bullet"/>
      <w:lvlText w:val=""/>
      <w:lvlJc w:val="left"/>
      <w:pPr>
        <w:ind w:left="850" w:hanging="360"/>
      </w:pPr>
      <w:rPr>
        <w:rFonts w:ascii="Wingdings" w:hAnsi="Wingdings"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5" w15:restartNumberingAfterBreak="0">
    <w:nsid w:val="1832696D"/>
    <w:multiLevelType w:val="hybridMultilevel"/>
    <w:tmpl w:val="AA0C3076"/>
    <w:lvl w:ilvl="0" w:tplc="1C090005">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877" w:hanging="360"/>
      </w:pPr>
      <w:rPr>
        <w:rFonts w:ascii="Courier New" w:hAnsi="Courier New" w:cs="Courier New" w:hint="default"/>
      </w:rPr>
    </w:lvl>
    <w:lvl w:ilvl="2" w:tplc="1C090005" w:tentative="1">
      <w:start w:val="1"/>
      <w:numFmt w:val="bullet"/>
      <w:lvlText w:val=""/>
      <w:lvlJc w:val="left"/>
      <w:pPr>
        <w:ind w:left="2597" w:hanging="360"/>
      </w:pPr>
      <w:rPr>
        <w:rFonts w:ascii="Wingdings" w:hAnsi="Wingdings" w:hint="default"/>
      </w:rPr>
    </w:lvl>
    <w:lvl w:ilvl="3" w:tplc="1C090001" w:tentative="1">
      <w:start w:val="1"/>
      <w:numFmt w:val="bullet"/>
      <w:lvlText w:val=""/>
      <w:lvlJc w:val="left"/>
      <w:pPr>
        <w:ind w:left="3317" w:hanging="360"/>
      </w:pPr>
      <w:rPr>
        <w:rFonts w:ascii="Symbol" w:hAnsi="Symbol" w:hint="default"/>
      </w:rPr>
    </w:lvl>
    <w:lvl w:ilvl="4" w:tplc="1C090003" w:tentative="1">
      <w:start w:val="1"/>
      <w:numFmt w:val="bullet"/>
      <w:lvlText w:val="o"/>
      <w:lvlJc w:val="left"/>
      <w:pPr>
        <w:ind w:left="4037" w:hanging="360"/>
      </w:pPr>
      <w:rPr>
        <w:rFonts w:ascii="Courier New" w:hAnsi="Courier New" w:cs="Courier New" w:hint="default"/>
      </w:rPr>
    </w:lvl>
    <w:lvl w:ilvl="5" w:tplc="1C090005" w:tentative="1">
      <w:start w:val="1"/>
      <w:numFmt w:val="bullet"/>
      <w:lvlText w:val=""/>
      <w:lvlJc w:val="left"/>
      <w:pPr>
        <w:ind w:left="4757" w:hanging="360"/>
      </w:pPr>
      <w:rPr>
        <w:rFonts w:ascii="Wingdings" w:hAnsi="Wingdings" w:hint="default"/>
      </w:rPr>
    </w:lvl>
    <w:lvl w:ilvl="6" w:tplc="1C090001" w:tentative="1">
      <w:start w:val="1"/>
      <w:numFmt w:val="bullet"/>
      <w:lvlText w:val=""/>
      <w:lvlJc w:val="left"/>
      <w:pPr>
        <w:ind w:left="5477" w:hanging="360"/>
      </w:pPr>
      <w:rPr>
        <w:rFonts w:ascii="Symbol" w:hAnsi="Symbol" w:hint="default"/>
      </w:rPr>
    </w:lvl>
    <w:lvl w:ilvl="7" w:tplc="1C090003" w:tentative="1">
      <w:start w:val="1"/>
      <w:numFmt w:val="bullet"/>
      <w:lvlText w:val="o"/>
      <w:lvlJc w:val="left"/>
      <w:pPr>
        <w:ind w:left="6197" w:hanging="360"/>
      </w:pPr>
      <w:rPr>
        <w:rFonts w:ascii="Courier New" w:hAnsi="Courier New" w:cs="Courier New" w:hint="default"/>
      </w:rPr>
    </w:lvl>
    <w:lvl w:ilvl="8" w:tplc="1C090005" w:tentative="1">
      <w:start w:val="1"/>
      <w:numFmt w:val="bullet"/>
      <w:lvlText w:val=""/>
      <w:lvlJc w:val="left"/>
      <w:pPr>
        <w:ind w:left="6917" w:hanging="360"/>
      </w:pPr>
      <w:rPr>
        <w:rFonts w:ascii="Wingdings" w:hAnsi="Wingdings" w:hint="default"/>
      </w:rPr>
    </w:lvl>
  </w:abstractNum>
  <w:abstractNum w:abstractNumId="16" w15:restartNumberingAfterBreak="0">
    <w:nsid w:val="18E3655C"/>
    <w:multiLevelType w:val="hybridMultilevel"/>
    <w:tmpl w:val="BBA40730"/>
    <w:lvl w:ilvl="0" w:tplc="1C090005">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7" w15:restartNumberingAfterBreak="0">
    <w:nsid w:val="1F246E30"/>
    <w:multiLevelType w:val="hybridMultilevel"/>
    <w:tmpl w:val="0E08893C"/>
    <w:lvl w:ilvl="0" w:tplc="1C090005">
      <w:start w:val="1"/>
      <w:numFmt w:val="bullet"/>
      <w:lvlText w:val=""/>
      <w:lvlJc w:val="left"/>
      <w:pPr>
        <w:ind w:left="1069" w:hanging="360"/>
      </w:pPr>
      <w:rPr>
        <w:rFonts w:ascii="Wingdings" w:hAnsi="Wingdings"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8" w15:restartNumberingAfterBreak="0">
    <w:nsid w:val="20884BB6"/>
    <w:multiLevelType w:val="multilevel"/>
    <w:tmpl w:val="94DAEB5E"/>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6F41E2E"/>
    <w:multiLevelType w:val="hybridMultilevel"/>
    <w:tmpl w:val="135AE492"/>
    <w:lvl w:ilvl="0" w:tplc="1C090005">
      <w:start w:val="1"/>
      <w:numFmt w:val="bullet"/>
      <w:lvlText w:val=""/>
      <w:lvlJc w:val="left"/>
      <w:pPr>
        <w:ind w:left="850" w:hanging="360"/>
      </w:pPr>
      <w:rPr>
        <w:rFonts w:ascii="Wingdings" w:hAnsi="Wingdings"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20" w15:restartNumberingAfterBreak="0">
    <w:nsid w:val="28C6766B"/>
    <w:multiLevelType w:val="hybridMultilevel"/>
    <w:tmpl w:val="55C01FB8"/>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3646490B"/>
    <w:multiLevelType w:val="hybridMultilevel"/>
    <w:tmpl w:val="06E28522"/>
    <w:lvl w:ilvl="0" w:tplc="1C090005">
      <w:start w:val="1"/>
      <w:numFmt w:val="bullet"/>
      <w:lvlText w:val=""/>
      <w:lvlJc w:val="left"/>
      <w:pPr>
        <w:ind w:left="785" w:hanging="360"/>
      </w:pPr>
      <w:rPr>
        <w:rFonts w:ascii="Wingdings" w:hAnsi="Wingdings" w:hint="default"/>
      </w:rPr>
    </w:lvl>
    <w:lvl w:ilvl="1" w:tplc="1C090003">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2" w15:restartNumberingAfterBreak="0">
    <w:nsid w:val="3AAA559E"/>
    <w:multiLevelType w:val="hybridMultilevel"/>
    <w:tmpl w:val="86DAC650"/>
    <w:lvl w:ilvl="0" w:tplc="1C090005">
      <w:start w:val="1"/>
      <w:numFmt w:val="bullet"/>
      <w:lvlText w:val=""/>
      <w:lvlJc w:val="left"/>
      <w:pPr>
        <w:ind w:left="850" w:hanging="360"/>
      </w:pPr>
      <w:rPr>
        <w:rFonts w:ascii="Wingdings" w:hAnsi="Wingdings" w:hint="default"/>
      </w:rPr>
    </w:lvl>
    <w:lvl w:ilvl="1" w:tplc="1C090003">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23" w15:restartNumberingAfterBreak="0">
    <w:nsid w:val="3E50337F"/>
    <w:multiLevelType w:val="hybridMultilevel"/>
    <w:tmpl w:val="B4408972"/>
    <w:lvl w:ilvl="0" w:tplc="1C090005">
      <w:start w:val="1"/>
      <w:numFmt w:val="bullet"/>
      <w:lvlText w:val=""/>
      <w:lvlJc w:val="left"/>
      <w:pPr>
        <w:ind w:left="927" w:hanging="360"/>
      </w:pPr>
      <w:rPr>
        <w:rFonts w:ascii="Wingdings" w:hAnsi="Wingdings" w:hint="default"/>
      </w:rPr>
    </w:lvl>
    <w:lvl w:ilvl="1" w:tplc="1C090003">
      <w:start w:val="1"/>
      <w:numFmt w:val="bullet"/>
      <w:lvlText w:val="o"/>
      <w:lvlJc w:val="left"/>
      <w:pPr>
        <w:ind w:left="1570" w:hanging="360"/>
      </w:pPr>
      <w:rPr>
        <w:rFonts w:ascii="Courier New" w:hAnsi="Courier New" w:cs="Courier New" w:hint="default"/>
      </w:rPr>
    </w:lvl>
    <w:lvl w:ilvl="2" w:tplc="1C090005">
      <w:start w:val="1"/>
      <w:numFmt w:val="bullet"/>
      <w:lvlText w:val=""/>
      <w:lvlJc w:val="left"/>
      <w:pPr>
        <w:ind w:left="2367" w:hanging="360"/>
      </w:pPr>
      <w:rPr>
        <w:rFonts w:ascii="Wingdings" w:hAnsi="Wingdings" w:hint="default"/>
      </w:rPr>
    </w:lvl>
    <w:lvl w:ilvl="3" w:tplc="1C09000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24" w15:restartNumberingAfterBreak="0">
    <w:nsid w:val="3FB23DD6"/>
    <w:multiLevelType w:val="hybridMultilevel"/>
    <w:tmpl w:val="D256C2C6"/>
    <w:lvl w:ilvl="0" w:tplc="1C090005">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25" w15:restartNumberingAfterBreak="0">
    <w:nsid w:val="400115C1"/>
    <w:multiLevelType w:val="hybridMultilevel"/>
    <w:tmpl w:val="85104696"/>
    <w:lvl w:ilvl="0" w:tplc="1C090005">
      <w:start w:val="1"/>
      <w:numFmt w:val="bullet"/>
      <w:lvlText w:val=""/>
      <w:lvlJc w:val="left"/>
      <w:pPr>
        <w:ind w:left="850" w:hanging="360"/>
      </w:pPr>
      <w:rPr>
        <w:rFonts w:ascii="Wingdings" w:hAnsi="Wingdings"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26" w15:restartNumberingAfterBreak="0">
    <w:nsid w:val="4AFB489F"/>
    <w:multiLevelType w:val="hybridMultilevel"/>
    <w:tmpl w:val="D7FEEB38"/>
    <w:lvl w:ilvl="0" w:tplc="1C090005">
      <w:start w:val="1"/>
      <w:numFmt w:val="bullet"/>
      <w:lvlText w:val=""/>
      <w:lvlJc w:val="left"/>
      <w:pPr>
        <w:ind w:left="785" w:hanging="360"/>
      </w:pPr>
      <w:rPr>
        <w:rFonts w:ascii="Wingdings" w:hAnsi="Wingdings"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7" w15:restartNumberingAfterBreak="0">
    <w:nsid w:val="4B3D2C3F"/>
    <w:multiLevelType w:val="hybridMultilevel"/>
    <w:tmpl w:val="311A32B0"/>
    <w:lvl w:ilvl="0" w:tplc="1C090005">
      <w:start w:val="1"/>
      <w:numFmt w:val="bullet"/>
      <w:lvlText w:val=""/>
      <w:lvlJc w:val="left"/>
      <w:pPr>
        <w:ind w:left="785" w:hanging="360"/>
      </w:pPr>
      <w:rPr>
        <w:rFonts w:ascii="Wingdings" w:hAnsi="Wingdings" w:hint="default"/>
      </w:rPr>
    </w:lvl>
    <w:lvl w:ilvl="1" w:tplc="1C090003">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8" w15:restartNumberingAfterBreak="0">
    <w:nsid w:val="536C0F89"/>
    <w:multiLevelType w:val="hybridMultilevel"/>
    <w:tmpl w:val="63CA99B0"/>
    <w:lvl w:ilvl="0" w:tplc="1C090005">
      <w:start w:val="1"/>
      <w:numFmt w:val="bullet"/>
      <w:lvlText w:val=""/>
      <w:lvlJc w:val="left"/>
      <w:pPr>
        <w:ind w:left="850" w:hanging="360"/>
      </w:pPr>
      <w:rPr>
        <w:rFonts w:ascii="Wingdings" w:hAnsi="Wingdings" w:hint="default"/>
      </w:rPr>
    </w:lvl>
    <w:lvl w:ilvl="1" w:tplc="5F222966">
      <w:start w:val="7"/>
      <w:numFmt w:val="bullet"/>
      <w:lvlText w:val="•"/>
      <w:lvlJc w:val="left"/>
      <w:pPr>
        <w:ind w:left="1570" w:hanging="360"/>
      </w:pPr>
      <w:rPr>
        <w:rFonts w:ascii="Arial" w:eastAsiaTheme="minorEastAsia" w:hAnsi="Arial" w:cs="Arial"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29" w15:restartNumberingAfterBreak="0">
    <w:nsid w:val="59C23CEB"/>
    <w:multiLevelType w:val="hybridMultilevel"/>
    <w:tmpl w:val="6DC6A464"/>
    <w:lvl w:ilvl="0" w:tplc="1C090005">
      <w:start w:val="1"/>
      <w:numFmt w:val="bullet"/>
      <w:lvlText w:val=""/>
      <w:lvlJc w:val="left"/>
      <w:pPr>
        <w:ind w:left="850" w:hanging="360"/>
      </w:pPr>
      <w:rPr>
        <w:rFonts w:ascii="Wingdings" w:hAnsi="Wingdings" w:hint="default"/>
      </w:rPr>
    </w:lvl>
    <w:lvl w:ilvl="1" w:tplc="1C090003">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30" w15:restartNumberingAfterBreak="0">
    <w:nsid w:val="5B006436"/>
    <w:multiLevelType w:val="hybridMultilevel"/>
    <w:tmpl w:val="49687A7A"/>
    <w:lvl w:ilvl="0" w:tplc="1C090005">
      <w:start w:val="1"/>
      <w:numFmt w:val="bullet"/>
      <w:lvlText w:val=""/>
      <w:lvlJc w:val="left"/>
      <w:pPr>
        <w:ind w:left="850" w:hanging="360"/>
      </w:pPr>
      <w:rPr>
        <w:rFonts w:ascii="Wingdings" w:hAnsi="Wingdings"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31" w15:restartNumberingAfterBreak="0">
    <w:nsid w:val="69466950"/>
    <w:multiLevelType w:val="hybridMultilevel"/>
    <w:tmpl w:val="A994073A"/>
    <w:lvl w:ilvl="0" w:tplc="1C090005">
      <w:start w:val="1"/>
      <w:numFmt w:val="bullet"/>
      <w:lvlText w:val=""/>
      <w:lvlJc w:val="left"/>
      <w:pPr>
        <w:ind w:left="927" w:hanging="360"/>
      </w:pPr>
      <w:rPr>
        <w:rFonts w:ascii="Wingdings" w:hAnsi="Wingdings" w:hint="default"/>
      </w:rPr>
    </w:lvl>
    <w:lvl w:ilvl="1" w:tplc="1C090003">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2" w15:restartNumberingAfterBreak="0">
    <w:nsid w:val="6D62261E"/>
    <w:multiLevelType w:val="hybridMultilevel"/>
    <w:tmpl w:val="57CCBE68"/>
    <w:lvl w:ilvl="0" w:tplc="1C090005">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3" w15:restartNumberingAfterBreak="0">
    <w:nsid w:val="7CDF443E"/>
    <w:multiLevelType w:val="hybridMultilevel"/>
    <w:tmpl w:val="40AC88BC"/>
    <w:lvl w:ilvl="0" w:tplc="1C090005">
      <w:start w:val="1"/>
      <w:numFmt w:val="bullet"/>
      <w:lvlText w:val=""/>
      <w:lvlJc w:val="left"/>
      <w:pPr>
        <w:ind w:left="785" w:hanging="360"/>
      </w:pPr>
      <w:rPr>
        <w:rFonts w:ascii="Wingdings" w:hAnsi="Wingdings" w:hint="default"/>
      </w:rPr>
    </w:lvl>
    <w:lvl w:ilvl="1" w:tplc="1C090003">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34" w15:restartNumberingAfterBreak="0">
    <w:nsid w:val="7D410277"/>
    <w:multiLevelType w:val="hybridMultilevel"/>
    <w:tmpl w:val="6360C810"/>
    <w:lvl w:ilvl="0" w:tplc="1C090005">
      <w:start w:val="1"/>
      <w:numFmt w:val="bullet"/>
      <w:lvlText w:val=""/>
      <w:lvlJc w:val="left"/>
      <w:pPr>
        <w:ind w:left="785" w:hanging="360"/>
      </w:pPr>
      <w:rPr>
        <w:rFonts w:ascii="Wingdings" w:hAnsi="Wingdings"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num w:numId="1" w16cid:durableId="1914926808">
    <w:abstractNumId w:val="5"/>
  </w:num>
  <w:num w:numId="2" w16cid:durableId="474493246">
    <w:abstractNumId w:val="3"/>
  </w:num>
  <w:num w:numId="3" w16cid:durableId="177353124">
    <w:abstractNumId w:val="2"/>
  </w:num>
  <w:num w:numId="4" w16cid:durableId="1086346311">
    <w:abstractNumId w:val="4"/>
  </w:num>
  <w:num w:numId="5" w16cid:durableId="1907103502">
    <w:abstractNumId w:val="1"/>
  </w:num>
  <w:num w:numId="6" w16cid:durableId="1514759338">
    <w:abstractNumId w:val="0"/>
  </w:num>
  <w:num w:numId="7" w16cid:durableId="342514745">
    <w:abstractNumId w:val="7"/>
  </w:num>
  <w:num w:numId="8" w16cid:durableId="1424958839">
    <w:abstractNumId w:val="34"/>
  </w:num>
  <w:num w:numId="9" w16cid:durableId="811094312">
    <w:abstractNumId w:val="18"/>
  </w:num>
  <w:num w:numId="10" w16cid:durableId="2088065508">
    <w:abstractNumId w:val="30"/>
  </w:num>
  <w:num w:numId="11" w16cid:durableId="1055737074">
    <w:abstractNumId w:val="24"/>
  </w:num>
  <w:num w:numId="12" w16cid:durableId="1572472258">
    <w:abstractNumId w:val="15"/>
  </w:num>
  <w:num w:numId="13" w16cid:durableId="966818205">
    <w:abstractNumId w:val="16"/>
  </w:num>
  <w:num w:numId="14" w16cid:durableId="2048949565">
    <w:abstractNumId w:val="23"/>
  </w:num>
  <w:num w:numId="15" w16cid:durableId="558515048">
    <w:abstractNumId w:val="17"/>
  </w:num>
  <w:num w:numId="16" w16cid:durableId="1416124932">
    <w:abstractNumId w:val="12"/>
  </w:num>
  <w:num w:numId="17" w16cid:durableId="382215511">
    <w:abstractNumId w:val="22"/>
  </w:num>
  <w:num w:numId="18" w16cid:durableId="157886780">
    <w:abstractNumId w:val="11"/>
  </w:num>
  <w:num w:numId="19" w16cid:durableId="1007949741">
    <w:abstractNumId w:val="31"/>
  </w:num>
  <w:num w:numId="20" w16cid:durableId="1032342206">
    <w:abstractNumId w:val="21"/>
  </w:num>
  <w:num w:numId="21" w16cid:durableId="2092190551">
    <w:abstractNumId w:val="33"/>
  </w:num>
  <w:num w:numId="22" w16cid:durableId="946931387">
    <w:abstractNumId w:val="27"/>
  </w:num>
  <w:num w:numId="23" w16cid:durableId="1007564251">
    <w:abstractNumId w:val="26"/>
  </w:num>
  <w:num w:numId="24" w16cid:durableId="665061190">
    <w:abstractNumId w:val="19"/>
  </w:num>
  <w:num w:numId="25" w16cid:durableId="1636719036">
    <w:abstractNumId w:val="25"/>
  </w:num>
  <w:num w:numId="26" w16cid:durableId="1656911950">
    <w:abstractNumId w:val="14"/>
  </w:num>
  <w:num w:numId="27" w16cid:durableId="1061369047">
    <w:abstractNumId w:val="32"/>
  </w:num>
  <w:num w:numId="28" w16cid:durableId="379986899">
    <w:abstractNumId w:val="6"/>
  </w:num>
  <w:num w:numId="29" w16cid:durableId="33703642">
    <w:abstractNumId w:val="28"/>
  </w:num>
  <w:num w:numId="30" w16cid:durableId="1204178095">
    <w:abstractNumId w:val="10"/>
  </w:num>
  <w:num w:numId="31" w16cid:durableId="1969822791">
    <w:abstractNumId w:val="13"/>
  </w:num>
  <w:num w:numId="32" w16cid:durableId="1036392052">
    <w:abstractNumId w:val="8"/>
  </w:num>
  <w:num w:numId="33" w16cid:durableId="206378603">
    <w:abstractNumId w:val="20"/>
  </w:num>
  <w:num w:numId="34" w16cid:durableId="1975941515">
    <w:abstractNumId w:val="9"/>
  </w:num>
  <w:num w:numId="35" w16cid:durableId="284046051">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D7"/>
    <w:rsid w:val="00034616"/>
    <w:rsid w:val="0006063C"/>
    <w:rsid w:val="00086588"/>
    <w:rsid w:val="0014265E"/>
    <w:rsid w:val="0015074B"/>
    <w:rsid w:val="00157738"/>
    <w:rsid w:val="00217396"/>
    <w:rsid w:val="002273FB"/>
    <w:rsid w:val="002936D3"/>
    <w:rsid w:val="0029639D"/>
    <w:rsid w:val="002B7B1A"/>
    <w:rsid w:val="002C657C"/>
    <w:rsid w:val="00326F90"/>
    <w:rsid w:val="00354D2B"/>
    <w:rsid w:val="003D1506"/>
    <w:rsid w:val="003F74F8"/>
    <w:rsid w:val="00414E3E"/>
    <w:rsid w:val="0042416A"/>
    <w:rsid w:val="00457B01"/>
    <w:rsid w:val="00473A66"/>
    <w:rsid w:val="0048230B"/>
    <w:rsid w:val="004A797D"/>
    <w:rsid w:val="004B167A"/>
    <w:rsid w:val="004D3415"/>
    <w:rsid w:val="00540977"/>
    <w:rsid w:val="00566052"/>
    <w:rsid w:val="00590A98"/>
    <w:rsid w:val="0059508C"/>
    <w:rsid w:val="00624B92"/>
    <w:rsid w:val="006738DC"/>
    <w:rsid w:val="007366EC"/>
    <w:rsid w:val="00774D5E"/>
    <w:rsid w:val="007D5893"/>
    <w:rsid w:val="007F2F1D"/>
    <w:rsid w:val="0082203C"/>
    <w:rsid w:val="008226CA"/>
    <w:rsid w:val="0082636A"/>
    <w:rsid w:val="008877E0"/>
    <w:rsid w:val="0089037A"/>
    <w:rsid w:val="008A57EE"/>
    <w:rsid w:val="009B0B07"/>
    <w:rsid w:val="00A076D7"/>
    <w:rsid w:val="00A3221B"/>
    <w:rsid w:val="00A441BD"/>
    <w:rsid w:val="00AA1D8D"/>
    <w:rsid w:val="00AC5BBE"/>
    <w:rsid w:val="00B0273A"/>
    <w:rsid w:val="00B4114F"/>
    <w:rsid w:val="00B47730"/>
    <w:rsid w:val="00B53B90"/>
    <w:rsid w:val="00B94578"/>
    <w:rsid w:val="00BA384F"/>
    <w:rsid w:val="00C17D4F"/>
    <w:rsid w:val="00C21F3B"/>
    <w:rsid w:val="00C56050"/>
    <w:rsid w:val="00C9066D"/>
    <w:rsid w:val="00CB0664"/>
    <w:rsid w:val="00CB7F1C"/>
    <w:rsid w:val="00CC2AB7"/>
    <w:rsid w:val="00CE0D9E"/>
    <w:rsid w:val="00D77111"/>
    <w:rsid w:val="00D94791"/>
    <w:rsid w:val="00E00A91"/>
    <w:rsid w:val="00E742D7"/>
    <w:rsid w:val="00E765D4"/>
    <w:rsid w:val="00E918CD"/>
    <w:rsid w:val="00EA44F8"/>
    <w:rsid w:val="00EB1418"/>
    <w:rsid w:val="00EE03D0"/>
    <w:rsid w:val="00EE548C"/>
    <w:rsid w:val="00F83794"/>
    <w:rsid w:val="00F916C2"/>
    <w:rsid w:val="00FB7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C7EFF"/>
  <w14:defaultImageDpi w14:val="300"/>
  <w15:docId w15:val="{C5C0D322-7622-4AF5-BDF7-8C6F2B63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ompact">
    <w:name w:val="Bullet Compact"/>
    <w:pPr>
      <w:spacing w:after="20" w:line="360" w:lineRule="auto"/>
      <w:ind w:left="288" w:hanging="158"/>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14</Pages>
  <Words>2885</Words>
  <Characters>16446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Silas Verkijika</cp:lastModifiedBy>
  <cp:revision>55</cp:revision>
  <dcterms:created xsi:type="dcterms:W3CDTF">2013-12-23T23:15:00Z</dcterms:created>
  <dcterms:modified xsi:type="dcterms:W3CDTF">2026-09-18T22:46:00Z</dcterms:modified>
  <cp:category/>
</cp:coreProperties>
</file>