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B8924A"/>
      </w:pPr>
      <w:r>
        <w:rPr>
          <w:sz w:val="8"/>
        </w:rPr>
        <w:t xml:space="preserve">  </w:t>
      </w:r>
    </w:p>
    <w:p/>
    <w:p>
      <w:pPr>
        <w:spacing w:after="40"/>
        <w:jc w:val="left"/>
      </w:pPr>
      <w:r>
        <w:rPr>
          <w:rFonts w:ascii="Calibri" w:hAnsi="Calibri"/>
          <w:b/>
          <w:color w:val="0D1117"/>
          <w:sz w:val="56"/>
        </w:rPr>
        <w:t>EQUIPROVET B.V.</w:t>
      </w:r>
    </w:p>
    <w:p>
      <w:pPr>
        <w:spacing w:after="40"/>
      </w:pPr>
      <w:r>
        <w:rPr>
          <w:rFonts w:ascii="Calibri" w:hAnsi="Calibri"/>
          <w:b/>
          <w:color w:val="B8924A"/>
          <w:sz w:val="40"/>
        </w:rPr>
        <w:t>SEO &amp; GEO Optimierung</w:t>
      </w:r>
    </w:p>
    <w:p>
      <w:pPr>
        <w:spacing w:after="480"/>
      </w:pPr>
      <w:r>
        <w:rPr>
          <w:rFonts w:ascii="Calibri" w:hAnsi="Calibri"/>
          <w:color w:val="444444"/>
          <w:sz w:val="26"/>
        </w:rPr>
        <w:t>Technischer Bericht für den SEO-Experten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F0EBE0"/>
          </w:tcPr>
          <w:p>
            <w:r>
              <w:rPr>
                <w:rFonts w:ascii="Calibri" w:hAnsi="Calibri"/>
                <w:b/>
                <w:color w:val="0D1117"/>
                <w:sz w:val="19"/>
              </w:rPr>
              <w:t>Domain</w:t>
            </w:r>
          </w:p>
        </w:tc>
        <w:tc>
          <w:tcPr>
            <w:tcW w:type="dxa" w:w="436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19"/>
              </w:rPr>
              <w:t>www.equiprovet.nl</w:t>
            </w:r>
          </w:p>
        </w:tc>
      </w:tr>
      <w:tr>
        <w:tc>
          <w:tcPr>
            <w:tcW w:type="dxa" w:w="4366"/>
            <w:shd w:val="clear" w:color="auto" w:fill="F0EBE0"/>
          </w:tcPr>
          <w:p>
            <w:r>
              <w:rPr>
                <w:rFonts w:ascii="Calibri" w:hAnsi="Calibri"/>
                <w:b/>
                <w:color w:val="0D1117"/>
                <w:sz w:val="19"/>
              </w:rPr>
              <w:t>Datum</w:t>
            </w:r>
          </w:p>
        </w:tc>
        <w:tc>
          <w:tcPr>
            <w:tcW w:type="dxa" w:w="436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19"/>
              </w:rPr>
              <w:t>April 2026</w:t>
            </w:r>
          </w:p>
        </w:tc>
      </w:tr>
      <w:tr>
        <w:tc>
          <w:tcPr>
            <w:tcW w:type="dxa" w:w="4366"/>
            <w:shd w:val="clear" w:color="auto" w:fill="F0EBE0"/>
          </w:tcPr>
          <w:p>
            <w:r>
              <w:rPr>
                <w:rFonts w:ascii="Calibri" w:hAnsi="Calibri"/>
                <w:b/>
                <w:color w:val="0D1117"/>
                <w:sz w:val="19"/>
              </w:rPr>
              <w:t>Ausgeführt durch</w:t>
            </w:r>
          </w:p>
        </w:tc>
        <w:tc>
          <w:tcPr>
            <w:tcW w:type="dxa" w:w="436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19"/>
              </w:rPr>
              <w:t>Claude Code (Anthropic AI)</w:t>
            </w:r>
          </w:p>
        </w:tc>
      </w:tr>
    </w:tbl>
    <w:p/>
    <w:p>
      <w:pPr>
        <w:spacing w:before="120" w:after="120"/>
        <w:pBdr>
          <w:bottom w:val="single" w:sz="4" w:space="1" w:color="B8924A"/>
        </w:pBdr>
      </w:pPr>
    </w:p>
    <w:p>
      <w:pPr>
        <w:spacing w:before="360" w:after="120"/>
      </w:pPr>
      <w:r>
        <w:rPr>
          <w:rFonts w:ascii="Calibri" w:hAnsi="Calibri"/>
          <w:b/>
          <w:color w:val="B8924A"/>
          <w:sz w:val="32"/>
        </w:rPr>
        <w:t>1. Ausgangslage</w:t>
      </w:r>
    </w:p>
    <w:p>
      <w:pPr>
        <w:spacing w:after="80"/>
      </w:pPr>
      <w:r>
        <w:rPr>
          <w:rFonts w:ascii="Calibri" w:hAnsi="Calibri"/>
          <w:color w:val="0D1117"/>
          <w:sz w:val="20"/>
        </w:rPr>
        <w:t>Die Website war eine vollständige Single Page Application (SPA) auf Basis einer einzigen HTML-Datei — ohne jegliche SEO-Infrastruktur: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Keine Meta-Description, kein robots-Tag, kein Canonical-Link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Kein Structured Data (Schema.org / JSON-LD)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Kein sitemap.xml, kein robots.txt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Keine Open Graph Tags oder Twitter Cards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Keine Favicons oder PWA-Manifest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LCP-kritisch: Intro-Overlay blockierte die Seite 2,6 Sekunden (Google-Grenzwert: 2,5 s)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Sichtbarer Preview-Banner „Niet voor publicatie" — schadete E-E-A-T und Professionalität</w:t>
      </w:r>
    </w:p>
    <w:p>
      <w:pPr>
        <w:spacing w:before="120" w:after="120"/>
        <w:pBdr>
          <w:bottom w:val="single" w:sz="4" w:space="1" w:color="B8924A"/>
        </w:pBdr>
      </w:pPr>
    </w:p>
    <w:p>
      <w:pPr>
        <w:spacing w:before="360" w:after="120"/>
      </w:pPr>
      <w:r>
        <w:rPr>
          <w:rFonts w:ascii="Calibri" w:hAnsi="Calibri"/>
          <w:b/>
          <w:color w:val="B8924A"/>
          <w:sz w:val="32"/>
        </w:rPr>
        <w:t>2. Neue Dateien — Technische Infrastruktur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0D1117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Datei</w:t>
            </w:r>
          </w:p>
        </w:tc>
        <w:tc>
          <w:tcPr>
            <w:tcW w:type="dxa" w:w="4366"/>
            <w:shd w:val="clear" w:color="auto" w:fill="0D1117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Inhalt &amp; Zweck</w:t>
            </w:r>
          </w:p>
        </w:tc>
      </w:tr>
      <w:tr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robots.txt</w:t>
            </w:r>
          </w:p>
        </w:tc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Crawling-Erlaubnis für Googlebot, GPTBot, ClaudeBot, PerplexityBot, Google-Extended, ChatGPT-User, anthropic-ai. Verweist auf sitemap.xml.</w:t>
            </w:r>
          </w:p>
        </w:tc>
      </w:tr>
      <w:tr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sitemap.xml</w:t>
            </w:r>
          </w:p>
        </w:tc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XML-Sitemap: Hauptseite + 6 Abschnitte (#products, #science, #alpha2eq, #faq, #contact). Inkl. hreflang-Annotationen und changefreq/priority.</w:t>
            </w:r>
          </w:p>
        </w:tc>
      </w:tr>
      <w:tr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manifest.json</w:t>
            </w:r>
          </w:p>
        </w:tc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PWA-Manifest: Name, Beschreibung, Theme-Color (#B8924A), Sprache nl-NL, Kategorien medical/business/health.</w:t>
            </w:r>
          </w:p>
        </w:tc>
      </w:tr>
      <w:tr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favicon.svg</w:t>
            </w:r>
          </w:p>
        </w:tc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Vektorielles Favicon (SVG) für Chrome, Firefox, Edge — Goldenes „E" auf dunklem Hintergrund.</w:t>
            </w:r>
          </w:p>
        </w:tc>
      </w:tr>
      <w:tr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apple-touch-icon.png</w:t>
            </w:r>
          </w:p>
        </w:tc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180×180 px PNG-Icon für iOS-Homescreen-Verknüpfungen.</w:t>
            </w:r>
          </w:p>
        </w:tc>
      </w:tr>
      <w:tr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og-image.png</w:t>
            </w:r>
          </w:p>
        </w:tc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Social Card 1200×630 px als PNG — Markendesign mit Logo, Tagline, Produktübersicht. PNG statt SVG, da LinkedIn/Facebook SVG nicht unterstützen.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B8924A"/>
          <w:sz w:val="32"/>
        </w:rPr>
        <w:t>3. Meta-Tags — vollständig neu implementiert</w:t>
      </w:r>
    </w:p>
    <w:p>
      <w:pPr>
        <w:spacing w:before="240" w:after="120"/>
      </w:pPr>
      <w:r>
        <w:rPr>
          <w:rFonts w:ascii="Calibri" w:hAnsi="Calibri"/>
          <w:b/>
          <w:color w:val="0D1117"/>
          <w:sz w:val="26"/>
        </w:rPr>
        <w:t>SEO Core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**&lt;title&gt;:** Optimiert mit primärem Keyword und Markenname (Format: Marke — Keyword | Kategorie)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**&lt;meta name="description"&gt;:** 155 Zeichen, enthält Alpha2EQ, Hyaluronzuur, Mapatruto-Patent, Zielgruppe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**&lt;meta name="robots"&gt;:** index, follow, max-snippet:-1, max-image-preview:large, max-video-preview:-1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**&lt;link rel="canonical"&gt;:** Definitive URL ohne Variationen</w:t>
      </w:r>
    </w:p>
    <w:p>
      <w:pPr>
        <w:spacing w:before="240" w:after="120"/>
      </w:pPr>
      <w:r>
        <w:rPr>
          <w:rFonts w:ascii="Calibri" w:hAnsi="Calibri"/>
          <w:b/>
          <w:color w:val="0D1117"/>
          <w:sz w:val="26"/>
        </w:rPr>
        <w:t>Geo-Tags (Local SEO)</w:t>
      </w:r>
    </w:p>
    <w:p>
      <w:pPr>
        <w:spacing w:after="80"/>
      </w:pPr>
      <w:r>
        <w:rPr>
          <w:rFonts w:ascii="Calibri" w:hAnsi="Calibri"/>
          <w:color w:val="0D1117"/>
          <w:sz w:val="20"/>
        </w:rPr>
        <w:t>Für lokale Suchanfragen und Google Maps-Integration: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geo.region: NL-OV (Overijssel)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geo.placename: Hengelo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geo.position + ICBM: 52.2660; 6.7943</w:t>
      </w:r>
    </w:p>
    <w:p>
      <w:pPr>
        <w:spacing w:before="240" w:after="120"/>
      </w:pPr>
      <w:r>
        <w:rPr>
          <w:rFonts w:ascii="Calibri" w:hAnsi="Calibri"/>
          <w:b/>
          <w:color w:val="0D1117"/>
          <w:sz w:val="26"/>
        </w:rPr>
        <w:t>Open Graph + Twitter/X Cards</w:t>
      </w:r>
    </w:p>
    <w:p>
      <w:pPr>
        <w:spacing w:after="80"/>
      </w:pPr>
      <w:r>
        <w:rPr>
          <w:rFonts w:ascii="Calibri" w:hAnsi="Calibri"/>
          <w:color w:val="0D1117"/>
          <w:sz w:val="20"/>
        </w:rPr>
        <w:t>Vollständige Suite für Social Media und AI-Tools (LinkedIn, WhatsApp, Facebook, Slack, X):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og:type, og:url, og:title, og:description, og:image (PNG, 1200×630), og:image:alt, og:locale (nl_NL), og:site_name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twitter:card (summary_large_image), twitter:title, twitter:description, twitter:image, twitter:image:alt</w:t>
      </w:r>
    </w:p>
    <w:p>
      <w:pPr>
        <w:spacing w:before="240" w:after="120"/>
      </w:pPr>
      <w:r>
        <w:rPr>
          <w:rFonts w:ascii="Calibri" w:hAnsi="Calibri"/>
          <w:b/>
          <w:color w:val="0D1117"/>
          <w:sz w:val="26"/>
        </w:rPr>
        <w:t>Hreflang &amp; Internationalisierung</w:t>
      </w:r>
    </w:p>
    <w:p>
      <w:pPr>
        <w:spacing w:after="80"/>
      </w:pPr>
      <w:r>
        <w:rPr>
          <w:rFonts w:ascii="Calibri" w:hAnsi="Calibri"/>
          <w:color w:val="0D1117"/>
          <w:sz w:val="20"/>
        </w:rPr>
        <w:t>Aktuelle Implementierung (Seite ist NL-only):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hreflang="nl", hreflang="nl-NL", hreflang="nl-BE", hreflang="x-default"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Erweiterung auf DE/PL/GB/EN möglich sobald übersetzte Seiten existieren</w:t>
      </w:r>
    </w:p>
    <w:p>
      <w:pPr>
        <w:spacing w:before="240" w:after="120"/>
      </w:pPr>
      <w:r>
        <w:rPr>
          <w:rFonts w:ascii="Calibri" w:hAnsi="Calibri"/>
          <w:b/>
          <w:color w:val="0D1117"/>
          <w:sz w:val="26"/>
        </w:rPr>
        <w:t>Performance &amp; Mobile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theme-color: #B8924A (Goldfarbe der Marke)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apple-mobile-web-app-capable, apple-mobile-web-app-title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Font preconnect + dns-prefetch + preload für Google Fonts</w:t>
      </w:r>
    </w:p>
    <w:p>
      <w:pPr>
        <w:spacing w:before="120" w:after="120"/>
        <w:pBdr>
          <w:bottom w:val="single" w:sz="4" w:space="1" w:color="B8924A"/>
        </w:pBdr>
      </w:pPr>
    </w:p>
    <w:p>
      <w:pPr>
        <w:spacing w:before="360" w:after="120"/>
      </w:pPr>
      <w:r>
        <w:rPr>
          <w:rFonts w:ascii="Calibri" w:hAnsi="Calibri"/>
          <w:b/>
          <w:color w:val="B8924A"/>
          <w:sz w:val="32"/>
        </w:rPr>
        <w:t>4. Structured Data — 7 JSON-LD Blöcke</w:t>
      </w:r>
    </w:p>
    <w:p>
      <w:pPr>
        <w:spacing w:after="80"/>
      </w:pPr>
      <w:r>
        <w:rPr>
          <w:rFonts w:ascii="Calibri" w:hAnsi="Calibri"/>
          <w:color w:val="0D1117"/>
          <w:sz w:val="20"/>
        </w:rPr>
        <w:t>Alle Blöcke sind im &lt;head&gt; der index.html implementiert und mit dem Schema.org-Validator geprüft. Dies ist der wichtigste Faktor für GEO (Generative Engine Optimization).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0E5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Schema-Typ</w:t>
            </w:r>
          </w:p>
        </w:tc>
        <w:tc>
          <w:tcPr>
            <w:tcW w:type="dxa" w:w="4366"/>
            <w:shd w:val="clear" w:color="auto" w:fill="0E5F6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Zweck &amp; Inhalt</w:t>
            </w:r>
          </w:p>
        </w:tc>
      </w:tr>
      <w:tr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WebSite + SearchAction</w:t>
            </w:r>
          </w:p>
        </w:tc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Definiert die Website als Entität. SearchAction aktiviert die Sitelinks Search Box in Google-Suchergebnissen.</w:t>
            </w:r>
          </w:p>
        </w:tc>
      </w:tr>
      <w:tr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Organization</w:t>
            </w:r>
          </w:p>
        </w:tc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Kernentität für Google Knowledge Graph und KI-Tools. Enthält: Name, Alternativnamen, URL, Logo, Beschreibung, Adresse, ContactPoint (NL/EN/DE), areaServed (NL, BE, DE, PL, GB, EU), sameAs (LinkedIn), knowsAbout (10 Expertise-Felder).</w:t>
            </w:r>
          </w:p>
        </w:tc>
      </w:tr>
      <w:tr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LocalBusiness / MedicalBusiness</w:t>
            </w:r>
          </w:p>
        </w:tc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Local SEO: Adresse, Geo-Koordinaten (52.2660, 6.7943), Öffnungszeiten (Mo–Fr 08:30–17:30), E-Mail. ⚠ Telefonnummer ist noch Platzhalter.</w:t>
            </w:r>
          </w:p>
        </w:tc>
      </w:tr>
      <w:tr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FAQPage</w:t>
            </w:r>
          </w:p>
        </w:tc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Alle 6 FAQs als strukturierte Question/Answer-Paare. Primäre Quelle für direkte Zitate durch ChatGPT, Perplexity, Claude und ähnliche Tools.</w:t>
            </w:r>
          </w:p>
        </w:tc>
      </w:tr>
      <w:tr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ItemList + 6× Product</w:t>
            </w:r>
          </w:p>
        </w:tc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Sechs Produkte (Alpha2EQ, Gestabiliseerd HA, Noltrex Vet, Bisfosfonaten, Pentosan Evolution, 500+ Specialiteiten) mit Name, Beschreibung, Kategorie, Brand, URL.</w:t>
            </w:r>
          </w:p>
        </w:tc>
      </w:tr>
      <w:tr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AggregateRating + 3× Review</w:t>
            </w:r>
          </w:p>
        </w:tc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3 Testimonials von Dr. van Dijk (NL), Dr. Wiśniewski (PL), Dr. Braun (DE) als strukturierte Reviews (je 5/5). Aktiviert Bewertungssterne in den Suchergebnissen.</w:t>
            </w:r>
          </w:p>
        </w:tc>
      </w:tr>
      <w:tr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WebPage + Speakable + BreadcrumbList</w:t>
            </w:r>
          </w:p>
        </w:tc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Speakable markiert h1, h2, .section-desc, .faq-answer-inner als zitierfähig für Voice Search und KI-Assistenten. BreadcrumbList für Navigationsstruktur.</w:t>
            </w:r>
          </w:p>
        </w:tc>
      </w:tr>
    </w:tbl>
    <w:p/>
    <w:p>
      <w:pPr>
        <w:spacing w:before="120" w:after="120"/>
        <w:pBdr>
          <w:bottom w:val="single" w:sz="4" w:space="1" w:color="B8924A"/>
        </w:pBdr>
      </w:pPr>
    </w:p>
    <w:p>
      <w:pPr>
        <w:spacing w:before="360" w:after="120"/>
      </w:pPr>
      <w:r>
        <w:rPr>
          <w:rFonts w:ascii="Calibri" w:hAnsi="Calibri"/>
          <w:b/>
          <w:color w:val="B8924A"/>
          <w:sz w:val="32"/>
        </w:rPr>
        <w:t>5. Core Web Vitals &amp; Performance</w:t>
      </w:r>
    </w:p>
    <w:p>
      <w:pPr>
        <w:spacing w:before="240" w:after="120"/>
      </w:pPr>
      <w:r>
        <w:rPr>
          <w:rFonts w:ascii="Calibri" w:hAnsi="Calibri"/>
          <w:b/>
          <w:color w:val="0D1117"/>
          <w:sz w:val="26"/>
        </w:rPr>
        <w:t>LCP (Largest Contentful Paint) — Problem behoben</w:t>
      </w:r>
    </w:p>
    <w:p>
      <w:pPr>
        <w:spacing w:after="80"/>
      </w:pPr>
      <w:r>
        <w:rPr>
          <w:rFonts w:ascii="Calibri" w:hAnsi="Calibri"/>
          <w:color w:val="0D1117"/>
          <w:sz w:val="20"/>
        </w:rPr>
        <w:t>Die Intro-Überlagerung blockierte den First Paint 2,6 Sekunden — knapp oberhalb des Google-Schwellenwerts (2,5 s = „gut").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2C334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911"/>
            <w:shd w:val="clear" w:color="auto" w:fill="2C334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Vorher</w:t>
            </w:r>
          </w:p>
        </w:tc>
        <w:tc>
          <w:tcPr>
            <w:tcW w:type="dxa" w:w="2911"/>
            <w:shd w:val="clear" w:color="auto" w:fill="2C334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Nachher</w:t>
            </w:r>
          </w:p>
        </w:tc>
      </w:tr>
      <w:tr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CSS-Animation Verzögerung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1,8 s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0,1 s</w:t>
            </w:r>
          </w:p>
        </w:tc>
      </w:tr>
      <w:tr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CSS-Animation Dauer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0,7 s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0,3 s</w:t>
            </w:r>
          </w:p>
        </w:tc>
      </w:tr>
      <w:tr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JS-Fallback (display:none)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2.600 ms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500 ms</w:t>
            </w:r>
          </w:p>
        </w:tc>
      </w:tr>
      <w:tr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E5F6E"/>
                <w:sz w:val="19"/>
              </w:rPr>
              <w:t>Gesamtblockierung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C0392B"/>
                <w:sz w:val="19"/>
              </w:rPr>
              <w:t>2,6 Sekunden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E5F6E"/>
                <w:sz w:val="19"/>
              </w:rPr>
              <w:t>0,4 Sekunden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0D1117"/>
          <w:sz w:val="26"/>
        </w:rPr>
        <w:t>Weitere Maßnahmen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prefers-reduced-motion Media Query: Alle Animationen werden bei entsprechender Nutzereinstellung sofort deaktiviert — Accessibility-Rankingsignal für Google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&lt;noscript&gt; Fallback: Vollständiger Textinhalt (Produkte, Adresse, Kontakt) für Crawler ohne JavaScript-Rendering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Preview-Banner „Niet voor publicatie" entfernt — war öffentlich sichtbar und schadete Glaubwürdigkeit und E-E-A-T</w:t>
      </w:r>
    </w:p>
    <w:p>
      <w:pPr>
        <w:spacing w:before="120" w:after="120"/>
        <w:pBdr>
          <w:bottom w:val="single" w:sz="4" w:space="1" w:color="B8924A"/>
        </w:pBdr>
      </w:pPr>
    </w:p>
    <w:p>
      <w:pPr>
        <w:spacing w:before="360" w:after="120"/>
      </w:pPr>
      <w:r>
        <w:rPr>
          <w:rFonts w:ascii="Calibri" w:hAnsi="Calibri"/>
          <w:b/>
          <w:color w:val="B8924A"/>
          <w:sz w:val="32"/>
        </w:rPr>
        <w:t>6. Noch ausstehend (außerhalb des Codes)</w:t>
      </w:r>
    </w:p>
    <w:p>
      <w:pPr>
        <w:spacing w:after="80"/>
      </w:pPr>
      <w:r>
        <w:rPr>
          <w:rFonts w:ascii="Calibri" w:hAnsi="Calibri"/>
          <w:color w:val="0D1117"/>
          <w:sz w:val="20"/>
        </w:rPr>
        <w:t>Diese Punkte erfordern manuelle Schritte durch Equiprovet B.V.: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2C334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Maßnahme</w:t>
            </w:r>
          </w:p>
        </w:tc>
        <w:tc>
          <w:tcPr>
            <w:tcW w:type="dxa" w:w="2911"/>
            <w:shd w:val="clear" w:color="auto" w:fill="2C334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Priorität</w:t>
            </w:r>
          </w:p>
        </w:tc>
        <w:tc>
          <w:tcPr>
            <w:tcW w:type="dxa" w:w="2911"/>
            <w:shd w:val="clear" w:color="auto" w:fill="2C334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Begründung</w:t>
            </w:r>
          </w:p>
        </w:tc>
      </w:tr>
      <w:tr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Telefonnummer eintragen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C0392B"/>
                <w:sz w:val="19"/>
              </w:rPr>
              <w:t>Kritisch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Steht als Platzhalter in HTML und JSON-LD — schadet Local SEO und LocalBusiness-Schema</w:t>
            </w:r>
          </w:p>
        </w:tc>
      </w:tr>
      <w:tr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Google Search Console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E5F6E"/>
                <w:sz w:val="19"/>
              </w:rPr>
              <w:t>Hoch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Sitemap einreichen: www.equiprovet.nl/sitemap.xml — Crawling-Status überwachen</w:t>
            </w:r>
          </w:p>
        </w:tc>
      </w:tr>
      <w:tr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Google Business Profile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E5F6E"/>
                <w:sz w:val="19"/>
              </w:rPr>
              <w:t>Hoch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Standort Hengelo beanspruchen — essentiell für Local Pack in NL/DE</w:t>
            </w:r>
          </w:p>
        </w:tc>
      </w:tr>
      <w:tr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LinkedIn-URL bestätigen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Mittel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Aktuell: linkedin.com/company/equiprovet — bei Abweichung im Organization-Schema anpassen</w:t>
            </w:r>
          </w:p>
        </w:tc>
      </w:tr>
      <w:tr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GA4 implementieren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Mittel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Kein Analytics vorhanden — Conversion-Tracking (Registrierungen, Kontaktanfragen) fehlt</w:t>
            </w:r>
          </w:p>
        </w:tc>
      </w:tr>
      <w:tr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Übersetzte Seiten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Mittel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Für vollständige hreflang auf DE, PL, GB — pro Markt eine Seite unter /de/, /pl/, /en/</w:t>
            </w:r>
          </w:p>
        </w:tc>
      </w:tr>
      <w:tr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Backlink-Aufbau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Mittel</w:t>
            </w:r>
          </w:p>
        </w:tc>
        <w:tc>
          <w:tcPr>
            <w:tcW w:type="dxa" w:w="291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Veterinäre Fachzeitschriften, Universitätspartner, Kongresse, Produkthersteller</w:t>
            </w:r>
          </w:p>
        </w:tc>
      </w:tr>
      <w:tr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Produktfotos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Niedrig</w:t>
            </w:r>
          </w:p>
        </w:tc>
        <w:tc>
          <w:tcPr>
            <w:tcW w:type="dxa" w:w="2911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Derzeit keine &lt;img&gt;-Elemente — Image Search nicht nutzbar, E-E-A-T schwächer</w:t>
            </w:r>
          </w:p>
        </w:tc>
      </w:tr>
    </w:tbl>
    <w:p/>
    <w:p>
      <w:pPr>
        <w:spacing w:before="120" w:after="120"/>
        <w:pBdr>
          <w:bottom w:val="single" w:sz="4" w:space="1" w:color="B8924A"/>
        </w:pBdr>
      </w:pPr>
    </w:p>
    <w:p>
      <w:pPr>
        <w:spacing w:before="360" w:after="120"/>
      </w:pPr>
      <w:r>
        <w:rPr>
          <w:rFonts w:ascii="Calibri" w:hAnsi="Calibri"/>
          <w:b/>
          <w:color w:val="B8924A"/>
          <w:sz w:val="32"/>
        </w:rPr>
        <w:t>7. Anmerkung zu GEO (Generative Engine Optimization)</w:t>
      </w:r>
    </w:p>
    <w:p>
      <w:pPr>
        <w:spacing w:after="80"/>
      </w:pPr>
      <w:r>
        <w:rPr>
          <w:rFonts w:ascii="Calibri" w:hAnsi="Calibri"/>
          <w:color w:val="0D1117"/>
          <w:sz w:val="20"/>
        </w:rPr>
        <w:t>Die Seite wurde gezielt auf KI-Suchmaschinen ausgerichtet — ein Bereich, der klassisches SEO zunehmend ergänzt: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FAQPage-Schema: Direkte Grundlage für Zitate durch ChatGPT, Perplexity, Claude, Gemini bei equinen Fachfragen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Speakable-Schema: Markiert zitierfähige Inhalte für Voice Search (Google Assistant) und KI-Zusammenfassungen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Organization.knowsAbout: 10 Expertisefelder definieren Equiprovet als autoritative Entität im Bereich equine Orthopädie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robots.txt: Explizite Erlaubnis für alle relevanten KI-Crawler (GPTBot, ClaudeBot, PerplexityBot, Google-Extended)</w:t>
      </w:r>
    </w:p>
    <w:p>
      <w:pPr>
        <w:pStyle w:val="ListBullet"/>
        <w:spacing w:after="60"/>
        <w:ind w:left="454"/>
      </w:pPr>
      <w:r>
        <w:rPr>
          <w:rFonts w:ascii="Calibri" w:hAnsi="Calibri"/>
          <w:color w:val="444444"/>
          <w:sz w:val="20"/>
        </w:rPr>
        <w:t>AggregateRating + internationale Reviews (NL, PL, DE): Stärkt Glaubwürdigkeit für KI-Antworten mit Quellenangabe</w:t>
      </w:r>
    </w:p>
    <w:p>
      <w:pPr>
        <w:spacing w:before="120" w:after="120"/>
        <w:pBdr>
          <w:bottom w:val="single" w:sz="4" w:space="1" w:color="B8924A"/>
        </w:pBdr>
      </w:pPr>
    </w:p>
    <w:p>
      <w:pPr>
        <w:spacing w:before="360" w:after="120"/>
      </w:pPr>
      <w:r>
        <w:rPr>
          <w:rFonts w:ascii="Calibri" w:hAnsi="Calibri"/>
          <w:b/>
          <w:color w:val="B8924A"/>
          <w:sz w:val="32"/>
        </w:rPr>
        <w:t>8. Empfohlene Verifizierungsschritte nach Livegang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0D1117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4366"/>
            <w:shd w:val="clear" w:color="auto" w:fill="0D1117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Prüft</w:t>
            </w:r>
          </w:p>
        </w:tc>
      </w:tr>
      <w:tr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Google Rich Results Test</w:t>
              <w:br/>
              <w:t>search.google.com/test/rich-results</w:t>
            </w:r>
          </w:p>
        </w:tc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FAQPage, Review, Organization, Product Rich Snippets</w:t>
            </w:r>
          </w:p>
        </w:tc>
      </w:tr>
      <w:tr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Schema.org Validator</w:t>
              <w:br/>
              <w:t>validator.schema.org</w:t>
            </w:r>
          </w:p>
        </w:tc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Alle 7 JSON-LD Blöcke auf Fehler prüfen</w:t>
            </w:r>
          </w:p>
        </w:tc>
      </w:tr>
      <w:tr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Facebook OG Debugger</w:t>
              <w:br/>
              <w:t>developers.facebook.com/tools/debug</w:t>
            </w:r>
          </w:p>
        </w:tc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OG-Bild-Vorschau, Scrape aktualisieren</w:t>
            </w:r>
          </w:p>
        </w:tc>
      </w:tr>
      <w:tr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LinkedIn Post Inspector</w:t>
              <w:br/>
              <w:t>linkedin.com/post-inspector</w:t>
            </w:r>
          </w:p>
        </w:tc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LinkedIn-Vorschau der URL</w:t>
            </w:r>
          </w:p>
        </w:tc>
      </w:tr>
      <w:tr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PageSpeed Insights</w:t>
              <w:br/>
              <w:t>pagespeed.web.dev</w:t>
            </w:r>
          </w:p>
        </w:tc>
        <w:tc>
          <w:tcPr>
            <w:tcW w:type="dxa" w:w="436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Core Web Vitals: LCP &lt; 2,5 s, CLS &lt; 0,1, FID &lt; 100 ms</w:t>
            </w:r>
          </w:p>
        </w:tc>
      </w:tr>
      <w:tr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Google Search Console</w:t>
            </w:r>
          </w:p>
        </w:tc>
        <w:tc>
          <w:tcPr>
            <w:tcW w:type="dxa" w:w="4366"/>
            <w:shd w:val="clear" w:color="auto" w:fill="F5F0E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19"/>
              </w:rPr>
              <w:t>Sitemap einreichen, Crawl-Fehler, Index-Abdeckung</w:t>
            </w:r>
          </w:p>
        </w:tc>
      </w:tr>
    </w:tbl>
    <w:p/>
    <w:p/>
    <w:p>
      <w:pPr>
        <w:spacing w:before="240"/>
        <w:jc w:val="center"/>
      </w:pPr>
      <w:r>
        <w:rPr>
          <w:rFonts w:ascii="Calibri" w:hAnsi="Calibri"/>
          <w:color w:val="888888"/>
          <w:sz w:val="16"/>
        </w:rPr>
        <w:t>Equiprovet B.V. — Jan Tinbergenstraat 138, 7559 SP Hengelo — info@equiprovet.com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