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before="264" w:after="0"/>
        <w:ind w:left="680" w:right="3622" w:hanging="0"/>
        <w:jc w:val="center"/>
        <w:rPr/>
      </w:pPr>
      <w:r>
        <w:rPr/>
        <w:t>18app</w:t>
      </w:r>
    </w:p>
    <w:p>
      <w:pPr>
        <w:pStyle w:val="Normal"/>
        <w:spacing w:before="200" w:after="0"/>
        <w:ind w:left="680" w:right="3622" w:hanging="0"/>
        <w:jc w:val="center"/>
        <w:rPr/>
      </w:pPr>
      <w:r>
        <w:rPr>
          <w:b/>
          <w:sz w:val="27"/>
        </w:rPr>
        <w:t>Servizio Web per verifica voucher degli esercenti</w:t>
      </w:r>
    </w:p>
    <w:p>
      <w:pPr>
        <w:pStyle w:val="TextBody"/>
        <w:spacing w:lineRule="auto" w:line="252" w:before="252" w:after="0"/>
        <w:ind w:left="149" w:right="3098" w:hanging="0"/>
        <w:jc w:val="both"/>
        <w:rPr/>
      </w:pPr>
      <w:r>
        <w:rPr>
          <w:w w:val="105"/>
        </w:rPr>
        <w:t>Gli esercenti registrati al servizio “</w:t>
      </w:r>
      <w:r>
        <w:rPr>
          <w:b/>
          <w:w w:val="105"/>
        </w:rPr>
        <w:t>18app</w:t>
      </w:r>
      <w:r>
        <w:rPr>
          <w:w w:val="105"/>
        </w:rPr>
        <w:t>” per la vendita online potranno validare nei propri sistemi i voucher di acquisto di beni da parte dei 18enni utilizzando uno specifico servizio web di cui si forniscono di seguito le specifiche di utilizzo.</w:t>
      </w:r>
    </w:p>
    <w:p>
      <w:pPr>
        <w:pStyle w:val="TextBody"/>
        <w:spacing w:before="8" w:after="0"/>
        <w:rPr/>
      </w:pPr>
      <w:r>
        <w:rPr/>
      </w:r>
    </w:p>
    <w:p>
      <w:pPr>
        <w:pStyle w:val="Normal"/>
        <w:spacing w:lineRule="auto" w:line="254"/>
        <w:ind w:left="149" w:right="3097" w:hanging="0"/>
        <w:jc w:val="both"/>
        <w:rPr/>
      </w:pPr>
      <w:r>
        <w:rPr>
          <w:rFonts w:ascii="Arial-BoldItalicMT" w:hAnsi="Arial-BoldItalicMT"/>
          <w:b/>
          <w:i/>
          <w:w w:val="110"/>
          <w:sz w:val="16"/>
        </w:rPr>
        <w:t>In merito agli endpoint, si precisa che al momento l’indirizzo referenziato nel wsdl (</w:t>
      </w:r>
      <w:hyperlink r:id="rId2">
        <w:r>
          <w:rPr>
            <w:rStyle w:val="InternetLink"/>
            <w:rFonts w:ascii="Arial-BoldItalicMT" w:hAnsi="Arial-BoldItalicMT"/>
            <w:b/>
            <w:i/>
            <w:color w:val="0000FF"/>
            <w:w w:val="110"/>
            <w:sz w:val="17"/>
            <w:u w:val="single" w:color="0000FF"/>
          </w:rPr>
          <w:t>http://bonus.mibact.it/VerificaVoucher</w:t>
        </w:r>
      </w:hyperlink>
      <w:r>
        <w:rPr>
          <w:rFonts w:ascii="Arial-BoldItalicMT" w:hAnsi="Arial-BoldItalicMT"/>
          <w:b/>
          <w:i/>
          <w:w w:val="110"/>
          <w:sz w:val="17"/>
        </w:rPr>
        <w:t xml:space="preserve">) </w:t>
      </w:r>
      <w:r>
        <w:rPr>
          <w:rFonts w:ascii="Arial-BoldItalicMT" w:hAnsi="Arial-BoldItalicMT"/>
          <w:b/>
          <w:i/>
          <w:w w:val="110"/>
          <w:sz w:val="16"/>
        </w:rPr>
        <w:t>è provvisorio.</w:t>
      </w:r>
    </w:p>
    <w:p>
      <w:pPr>
        <w:pStyle w:val="TextBody"/>
        <w:spacing w:before="10" w:after="0"/>
        <w:rPr>
          <w:rFonts w:ascii="Arial-BoldItalicMT" w:hAnsi="Arial-BoldItalicMT"/>
          <w:b/>
          <w:b/>
          <w:i/>
          <w:i/>
          <w:sz w:val="23"/>
        </w:rPr>
      </w:pPr>
      <w:r>
        <w:rPr>
          <w:rFonts w:ascii="Arial-BoldItalicMT" w:hAnsi="Arial-BoldItalicMT"/>
          <w:b/>
          <w:i/>
          <w:sz w:val="23"/>
        </w:rPr>
      </w:r>
    </w:p>
    <w:p>
      <w:pPr>
        <w:pStyle w:val="TextBody"/>
        <w:spacing w:lineRule="auto" w:line="252" w:before="102" w:after="0"/>
        <w:ind w:left="149" w:right="3092" w:hanging="0"/>
        <w:jc w:val="both"/>
        <w:rPr/>
      </w:pPr>
      <w:r>
        <w:rPr>
          <w:w w:val="105"/>
        </w:rPr>
        <w:t xml:space="preserve">Il servizio web di </w:t>
      </w:r>
      <w:r>
        <w:rPr>
          <w:b/>
          <w:w w:val="105"/>
        </w:rPr>
        <w:t xml:space="preserve">verifica del voucher </w:t>
      </w:r>
      <w:r>
        <w:rPr>
          <w:w w:val="105"/>
        </w:rPr>
        <w:t>da parte degli esercenti rende disponibili 2 principali operazioni (“</w:t>
      </w:r>
      <w:r>
        <w:rPr>
          <w:b/>
          <w:w w:val="105"/>
        </w:rPr>
        <w:t>Check</w:t>
      </w:r>
      <w:r>
        <w:rPr>
          <w:w w:val="105"/>
        </w:rPr>
        <w:t>” e “</w:t>
      </w:r>
      <w:r>
        <w:rPr>
          <w:b/>
          <w:w w:val="105"/>
        </w:rPr>
        <w:t>Confirm</w:t>
      </w:r>
      <w:r>
        <w:rPr>
          <w:w w:val="105"/>
        </w:rPr>
        <w:t>”). La seguente descrizione delle operazioni è necessaria per valorizzare adeguatamente i campi di input. Pertanto le operazioni esposte dall’interfaccia wsdl possono essere descritte come segue: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4" w:after="0"/>
        <w:rPr>
          <w:sz w:val="15"/>
        </w:rPr>
      </w:pPr>
      <w:r>
        <w:rPr>
          <w:sz w:val="15"/>
        </w:rPr>
      </w:r>
    </w:p>
    <w:p>
      <w:pPr>
        <w:pStyle w:val="Heading5"/>
        <w:numPr>
          <w:ilvl w:val="0"/>
          <w:numId w:val="1"/>
        </w:numPr>
        <w:tabs>
          <w:tab w:val="left" w:pos="755" w:leader="none"/>
        </w:tabs>
        <w:jc w:val="left"/>
        <w:rPr/>
      </w:pPr>
      <w:r>
        <w:rPr>
          <w:rFonts w:ascii="Arial" w:hAnsi="Arial"/>
          <w:w w:val="105"/>
        </w:rPr>
        <w:t>Check</w:t>
      </w:r>
    </w:p>
    <w:p>
      <w:pPr>
        <w:pStyle w:val="TextBody"/>
        <w:spacing w:before="7" w:after="1"/>
        <w:rPr>
          <w:b/>
          <w:b/>
          <w:sz w:val="17"/>
        </w:rPr>
      </w:pPr>
      <w:r>
        <w:rPr>
          <w:b/>
          <w:sz w:val="17"/>
        </w:rPr>
      </w:r>
    </w:p>
    <w:tbl>
      <w:tblPr>
        <w:tblW w:w="6788" w:type="dxa"/>
        <w:jc w:val="left"/>
        <w:tblInd w:w="694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1014"/>
        <w:gridCol w:w="2494"/>
        <w:gridCol w:w="3280"/>
      </w:tblGrid>
      <w:tr>
        <w:trPr>
          <w:trHeight w:val="180" w:hRule="atLeast"/>
        </w:trPr>
        <w:tc>
          <w:tcPr>
            <w:tcW w:w="1014" w:type="dxa"/>
            <w:tcBorders/>
            <w:shd w:fill="auto" w:val="clear"/>
          </w:tcPr>
          <w:p>
            <w:pPr>
              <w:pStyle w:val="TableParagraph"/>
              <w:spacing w:lineRule="exact" w:line="170" w:before="1" w:after="0"/>
              <w:ind w:left="60" w:hanging="0"/>
              <w:rPr/>
            </w:pPr>
            <w:r>
              <w:rPr>
                <w:w w:val="105"/>
                <w:sz w:val="16"/>
              </w:rPr>
              <w:t>INPUT:</w:t>
            </w:r>
          </w:p>
        </w:tc>
        <w:tc>
          <w:tcPr>
            <w:tcW w:w="2494" w:type="dxa"/>
            <w:tcBorders/>
            <w:shd w:fill="auto" w:val="clear"/>
          </w:tcPr>
          <w:p>
            <w:pPr>
              <w:pStyle w:val="TableParagraph"/>
              <w:spacing w:lineRule="exact" w:line="170" w:before="1" w:after="0"/>
              <w:ind w:right="1121" w:hanging="0"/>
              <w:jc w:val="right"/>
              <w:rPr/>
            </w:pPr>
            <w:r>
              <w:rPr>
                <w:w w:val="105"/>
                <w:sz w:val="16"/>
              </w:rPr>
              <w:t>tipo operazione</w:t>
            </w:r>
          </w:p>
        </w:tc>
        <w:tc>
          <w:tcPr>
            <w:tcW w:w="3280" w:type="dxa"/>
            <w:tcBorders/>
            <w:shd w:fill="auto" w:val="clear"/>
          </w:tcPr>
          <w:p>
            <w:pPr>
              <w:pStyle w:val="TableParagraph"/>
              <w:spacing w:lineRule="exact" w:line="170" w:before="1" w:after="0"/>
              <w:ind w:left="109" w:hanging="0"/>
              <w:rPr/>
            </w:pPr>
            <w:r>
              <w:rPr>
                <w:i/>
                <w:w w:val="105"/>
                <w:sz w:val="16"/>
              </w:rPr>
              <w:t>“</w:t>
            </w:r>
            <w:r>
              <w:rPr>
                <w:i/>
                <w:w w:val="105"/>
                <w:sz w:val="16"/>
              </w:rPr>
              <w:t>1”, “2”</w:t>
            </w:r>
          </w:p>
        </w:tc>
      </w:tr>
      <w:tr>
        <w:trPr>
          <w:trHeight w:val="380" w:hRule="atLeast"/>
        </w:trPr>
        <w:tc>
          <w:tcPr>
            <w:tcW w:w="1014" w:type="dxa"/>
            <w:tcBorders/>
            <w:shd w:fill="auto" w:val="clear"/>
          </w:tcPr>
          <w:p>
            <w:pPr>
              <w:pStyle w:val="TableParagraph"/>
              <w:spacing w:before="11" w:after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spacing w:lineRule="exact" w:line="170" w:before="0" w:after="0"/>
              <w:ind w:left="50" w:hanging="0"/>
              <w:rPr/>
            </w:pPr>
            <w:r>
              <w:rPr>
                <w:w w:val="105"/>
                <w:sz w:val="16"/>
              </w:rPr>
              <w:t>OUTPUT:</w:t>
            </w:r>
          </w:p>
        </w:tc>
        <w:tc>
          <w:tcPr>
            <w:tcW w:w="2494" w:type="dxa"/>
            <w:tcBorders/>
            <w:shd w:fill="auto" w:val="clear"/>
          </w:tcPr>
          <w:p>
            <w:pPr>
              <w:pStyle w:val="TableParagraph"/>
              <w:spacing w:lineRule="atLeast" w:line="190" w:before="0" w:after="0"/>
              <w:ind w:left="225" w:right="347" w:hanging="0"/>
              <w:rPr/>
            </w:pPr>
            <w:r>
              <w:rPr>
                <w:w w:val="105"/>
                <w:sz w:val="16"/>
              </w:rPr>
              <w:t>codice voucher nominativo beneficiario</w:t>
            </w:r>
          </w:p>
        </w:tc>
        <w:tc>
          <w:tcPr>
            <w:tcW w:w="3280" w:type="dxa"/>
            <w:tcBorders/>
            <w:shd w:fill="auto" w:val="clear"/>
          </w:tcPr>
          <w:p>
            <w:pPr>
              <w:pStyle w:val="TableParagraph"/>
              <w:spacing w:before="11" w:after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spacing w:lineRule="exact" w:line="170" w:before="0" w:after="0"/>
              <w:ind w:left="109" w:hanging="0"/>
              <w:rPr/>
            </w:pPr>
            <w:r>
              <w:rPr>
                <w:i/>
                <w:w w:val="105"/>
                <w:sz w:val="16"/>
              </w:rPr>
              <w:t>CF o Nome e Cognome</w:t>
            </w:r>
          </w:p>
        </w:tc>
      </w:tr>
      <w:tr>
        <w:trPr>
          <w:trHeight w:val="380" w:hRule="atLeast"/>
        </w:trPr>
        <w:tc>
          <w:tcPr>
            <w:tcW w:w="1014" w:type="dxa"/>
            <w:tcBorders/>
            <w:shd w:fill="auto" w:val="clear"/>
          </w:tcPr>
          <w:p>
            <w:pPr>
              <w:pStyle w:val="TableParagraph"/>
              <w:spacing w:before="0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494" w:type="dxa"/>
            <w:tcBorders/>
            <w:shd w:fill="auto" w:val="clear"/>
          </w:tcPr>
          <w:p>
            <w:pPr>
              <w:pStyle w:val="TableParagraph"/>
              <w:spacing w:lineRule="exact" w:line="192" w:before="2" w:after="0"/>
              <w:ind w:left="819" w:right="87" w:hanging="0"/>
              <w:rPr/>
            </w:pPr>
            <w:r>
              <w:rPr>
                <w:w w:val="105"/>
                <w:sz w:val="16"/>
              </w:rPr>
              <w:t>partita IVA esercente ambito</w:t>
            </w:r>
          </w:p>
        </w:tc>
        <w:tc>
          <w:tcPr>
            <w:tcW w:w="3280" w:type="dxa"/>
            <w:tcBorders/>
            <w:shd w:fill="auto" w:val="clear"/>
          </w:tcPr>
          <w:p>
            <w:pPr>
              <w:pStyle w:val="TableParagraph"/>
              <w:spacing w:before="1" w:after="0"/>
              <w:rPr>
                <w:b/>
                <w:b/>
                <w:sz w:val="17"/>
              </w:rPr>
            </w:pPr>
            <w:r>
              <w:rPr>
                <w:b/>
                <w:sz w:val="17"/>
              </w:rPr>
            </w:r>
          </w:p>
          <w:p>
            <w:pPr>
              <w:pStyle w:val="TableParagraph"/>
              <w:spacing w:lineRule="exact" w:line="169" w:before="1" w:after="0"/>
              <w:ind w:right="151" w:hanging="0"/>
              <w:jc w:val="right"/>
              <w:rPr/>
            </w:pPr>
            <w:r>
              <w:rPr>
                <w:i/>
                <w:w w:val="105"/>
                <w:sz w:val="16"/>
              </w:rPr>
              <w:t>cinema, teatro, libreria…</w:t>
            </w:r>
          </w:p>
        </w:tc>
      </w:tr>
      <w:tr>
        <w:trPr>
          <w:trHeight w:val="180" w:hRule="atLeast"/>
        </w:trPr>
        <w:tc>
          <w:tcPr>
            <w:tcW w:w="1014" w:type="dxa"/>
            <w:tcBorders/>
            <w:shd w:fill="auto" w:val="clear"/>
          </w:tcPr>
          <w:p>
            <w:pPr>
              <w:pStyle w:val="TableParagraph"/>
              <w:spacing w:before="0" w:after="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w="2494" w:type="dxa"/>
            <w:tcBorders/>
            <w:shd w:fill="auto" w:val="clear"/>
          </w:tcPr>
          <w:p>
            <w:pPr>
              <w:pStyle w:val="TableParagraph"/>
              <w:spacing w:lineRule="exact" w:line="169" w:before="5" w:after="0"/>
              <w:ind w:left="819" w:hanging="0"/>
              <w:rPr/>
            </w:pPr>
            <w:r>
              <w:rPr>
                <w:w w:val="105"/>
                <w:sz w:val="16"/>
              </w:rPr>
              <w:t>bene</w:t>
            </w:r>
          </w:p>
        </w:tc>
        <w:tc>
          <w:tcPr>
            <w:tcW w:w="3280" w:type="dxa"/>
            <w:tcBorders/>
            <w:shd w:fill="auto" w:val="clear"/>
          </w:tcPr>
          <w:p>
            <w:pPr>
              <w:pStyle w:val="TableParagraph"/>
              <w:spacing w:lineRule="exact" w:line="169" w:before="5" w:after="0"/>
              <w:ind w:left="1298" w:hanging="0"/>
              <w:rPr/>
            </w:pPr>
            <w:r>
              <w:rPr>
                <w:i/>
                <w:w w:val="105"/>
                <w:sz w:val="16"/>
              </w:rPr>
              <w:t>libri, spettacoli…</w:t>
            </w:r>
          </w:p>
        </w:tc>
      </w:tr>
      <w:tr>
        <w:trPr>
          <w:trHeight w:val="180" w:hRule="atLeast"/>
        </w:trPr>
        <w:tc>
          <w:tcPr>
            <w:tcW w:w="1014" w:type="dxa"/>
            <w:tcBorders/>
            <w:shd w:fill="auto" w:val="clear"/>
          </w:tcPr>
          <w:p>
            <w:pPr>
              <w:pStyle w:val="TableParagraph"/>
              <w:spacing w:before="0" w:after="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w="2494" w:type="dxa"/>
            <w:tcBorders/>
            <w:shd w:fill="auto" w:val="clear"/>
          </w:tcPr>
          <w:p>
            <w:pPr>
              <w:pStyle w:val="TableParagraph"/>
              <w:spacing w:lineRule="exact" w:line="166" w:before="4" w:after="0"/>
              <w:ind w:right="1112" w:hanging="0"/>
              <w:jc w:val="right"/>
              <w:rPr/>
            </w:pPr>
            <w:r>
              <w:rPr>
                <w:w w:val="105"/>
                <w:sz w:val="16"/>
              </w:rPr>
              <w:t>importo</w:t>
            </w:r>
          </w:p>
        </w:tc>
        <w:tc>
          <w:tcPr>
            <w:tcW w:w="3280" w:type="dxa"/>
            <w:tcBorders/>
            <w:shd w:fill="auto" w:val="clear"/>
          </w:tcPr>
          <w:p>
            <w:pPr>
              <w:pStyle w:val="TableParagraph"/>
              <w:spacing w:lineRule="exact" w:line="166" w:before="4" w:after="0"/>
              <w:ind w:right="48" w:hanging="0"/>
              <w:jc w:val="right"/>
              <w:rPr/>
            </w:pPr>
            <w:r>
              <w:rPr>
                <w:i/>
                <w:w w:val="105"/>
                <w:sz w:val="16"/>
              </w:rPr>
              <w:t>importo totale del voucher</w:t>
            </w:r>
          </w:p>
        </w:tc>
      </w:tr>
    </w:tbl>
    <w:p>
      <w:pPr>
        <w:pStyle w:val="TextBody"/>
        <w:spacing w:before="3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lineRule="auto" w:line="252" w:before="1" w:after="0"/>
        <w:ind w:left="149" w:right="3094" w:hanging="0"/>
        <w:jc w:val="both"/>
        <w:rPr/>
      </w:pPr>
      <w:r>
        <w:rPr>
          <w:w w:val="105"/>
        </w:rPr>
        <w:t xml:space="preserve">Se </w:t>
      </w:r>
      <w:r>
        <w:rPr>
          <w:b/>
          <w:w w:val="105"/>
        </w:rPr>
        <w:t xml:space="preserve">tipo operazione </w:t>
      </w:r>
      <w:r>
        <w:rPr>
          <w:w w:val="105"/>
        </w:rPr>
        <w:t xml:space="preserve">verrà valorizzato con </w:t>
      </w:r>
      <w:r>
        <w:rPr>
          <w:b/>
          <w:w w:val="105"/>
        </w:rPr>
        <w:t>“1”</w:t>
      </w:r>
      <w:r>
        <w:rPr>
          <w:w w:val="105"/>
        </w:rPr>
        <w:t>, il check del voucher restituerà all’esercente i campi previsti in output senza consumare il voucher e quindi senza scalare l’importo dal borsellino del beneficiario. Questa modalità di utilizzo dell’operazione non è obbligatoria, ma lascia all’esercente la possibilità di eseguire un controllo tra il nominativo del beneficiario e quello del suo cliente in sessione.</w:t>
      </w:r>
    </w:p>
    <w:p>
      <w:pPr>
        <w:pStyle w:val="TextBody"/>
        <w:spacing w:before="6" w:after="0"/>
        <w:rPr/>
      </w:pPr>
      <w:r>
        <w:rPr/>
      </w:r>
    </w:p>
    <w:p>
      <w:pPr>
        <w:pStyle w:val="TextBody"/>
        <w:spacing w:lineRule="auto" w:line="252"/>
        <w:ind w:left="149" w:right="3093" w:hanging="0"/>
        <w:jc w:val="both"/>
        <w:rPr/>
      </w:pPr>
      <w:r>
        <w:rPr>
          <w:w w:val="105"/>
        </w:rPr>
        <w:t xml:space="preserve">Se </w:t>
      </w:r>
      <w:r>
        <w:rPr>
          <w:b/>
          <w:w w:val="105"/>
        </w:rPr>
        <w:t xml:space="preserve">tipo operazione </w:t>
      </w:r>
      <w:r>
        <w:rPr>
          <w:w w:val="105"/>
        </w:rPr>
        <w:t xml:space="preserve">verrà valorizzato con </w:t>
      </w:r>
      <w:r>
        <w:rPr>
          <w:b/>
          <w:w w:val="105"/>
        </w:rPr>
        <w:t>“2”</w:t>
      </w:r>
      <w:r>
        <w:rPr>
          <w:w w:val="105"/>
        </w:rPr>
        <w:t>, il check del voucher consumerà direttamente l’importo, scalandolo dal borsellino del beneficiario, e restituerà comunque le informazioni previste in output. L’esercente potrà scegliere di usare direttamente questa modalità oppure effettuare due chiamate successive: la prima per il controllo del beneficiario e la seconda per l’effettivo utilizzo del voucher.</w:t>
      </w:r>
    </w:p>
    <w:p>
      <w:pPr>
        <w:pStyle w:val="TextBody"/>
        <w:spacing w:before="7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-BoldItalicMT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54" w:hanging="303"/>
      </w:pPr>
      <w:rPr>
        <w:sz w:val="16"/>
        <w:spacing w:val="-1"/>
        <w:b/>
        <w:szCs w:val="16"/>
        <w:bCs/>
        <w:w w:val="104"/>
        <w:rFonts w:ascii="Arial" w:hAnsi="Arial" w:eastAsia="Arial" w:cs="Arial"/>
      </w:rPr>
    </w:lvl>
    <w:lvl w:ilvl="1">
      <w:start w:val="1"/>
      <w:numFmt w:val="bullet"/>
      <w:lvlText w:val=""/>
      <w:lvlJc w:val="left"/>
      <w:pPr>
        <w:ind w:left="1746" w:hanging="30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733" w:hanging="30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719" w:hanging="30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706" w:hanging="30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693" w:hanging="30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679" w:hanging="30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666" w:hanging="30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653" w:hanging="30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spacing w:before="89" w:after="0"/>
      <w:ind w:left="680" w:hanging="0"/>
      <w:outlineLvl w:val="0"/>
    </w:pPr>
    <w:rPr>
      <w:b/>
      <w:bCs/>
      <w:sz w:val="27"/>
      <w:szCs w:val="27"/>
    </w:rPr>
  </w:style>
  <w:style w:type="paragraph" w:styleId="Heading5">
    <w:name w:val="Heading 5"/>
    <w:basedOn w:val="Normal"/>
    <w:qFormat/>
    <w:pPr>
      <w:ind w:left="209" w:hanging="0"/>
      <w:outlineLvl w:val="4"/>
    </w:pPr>
    <w:rPr>
      <w:rFonts w:ascii="Tahoma" w:hAnsi="Tahoma" w:eastAsia="Tahoma" w:cs="Tahoma"/>
      <w:b/>
      <w:bCs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 w:eastAsia="Arial" w:cs="Arial"/>
      <w:b/>
      <w:bCs/>
      <w:spacing w:val="-1"/>
      <w:w w:val="104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Paragraph">
    <w:name w:val="Table Paragraph"/>
    <w:basedOn w:val="Normal"/>
    <w:qFormat/>
    <w:pPr>
      <w:spacing w:before="64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onus.mibact.it/VerificaVouche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255</Words>
  <Characters>1557</Characters>
  <CharactersWithSpaces>1791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2018-01-25T16:53:34Z</dcterms:created>
  <dc:creator/>
  <dc:description/>
  <dc:language>en-US</dc:language>
  <cp:lastModifiedBy/>
  <dcterms:modified xsi:type="dcterms:W3CDTF">2018-01-25T16:54:53Z</dcterms:modified>
  <cp:revision>1</cp:revision>
  <dc:subject/>
  <dc:title/>
</cp:coreProperties>
</file>