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8AF67" w14:textId="77777777" w:rsidR="008A55B5" w:rsidRDefault="003F55EF" w:rsidP="003F55EF">
      <w:pPr>
        <w:pStyle w:val="papertitle"/>
        <w:rPr>
          <w:rFonts w:eastAsia="MS Mincho"/>
        </w:rPr>
      </w:pPr>
      <w:r w:rsidRPr="003F55EF">
        <w:rPr>
          <w:rFonts w:eastAsia="MS Mincho"/>
          <w:b/>
          <w:bCs w:val="0"/>
          <w:i/>
          <w:iCs/>
        </w:rPr>
        <w:t>Domain-Specific Language for Software Version Numbering</w:t>
      </w:r>
      <w:r w:rsidR="008A55B5">
        <w:rPr>
          <w:rFonts w:eastAsia="MS Mincho"/>
        </w:rPr>
        <w:t xml:space="preserve"> </w:t>
      </w:r>
    </w:p>
    <w:p w14:paraId="2AEDE70C" w14:textId="47CC39B4" w:rsidR="003F55EF" w:rsidRDefault="003F55EF" w:rsidP="003F55EF">
      <w:pPr>
        <w:pStyle w:val="Author"/>
        <w:rPr>
          <w:rFonts w:eastAsia="MS Mincho"/>
          <w:sz w:val="32"/>
        </w:rPr>
      </w:pPr>
      <w:r w:rsidRPr="003F55EF">
        <w:rPr>
          <w:rFonts w:eastAsia="MS Mincho"/>
          <w:sz w:val="32"/>
        </w:rPr>
        <w:t>Sergii Shmarkatiuk, Danny Dig</w:t>
      </w:r>
    </w:p>
    <w:p w14:paraId="03C58F08" w14:textId="77777777" w:rsidR="003F55EF" w:rsidRDefault="003F55EF" w:rsidP="003F55EF">
      <w:pPr>
        <w:pStyle w:val="Author"/>
        <w:spacing w:before="0" w:after="0"/>
        <w:rPr>
          <w:rFonts w:eastAsia="MS Mincho"/>
          <w:sz w:val="24"/>
        </w:rPr>
      </w:pPr>
      <w:r w:rsidRPr="003F55EF">
        <w:rPr>
          <w:rFonts w:eastAsia="MS Mincho"/>
          <w:sz w:val="24"/>
        </w:rPr>
        <w:t>Department of Electrical Engineering and Computer Science</w:t>
      </w:r>
      <w:r>
        <w:rPr>
          <w:rFonts w:eastAsia="MS Mincho"/>
          <w:sz w:val="24"/>
        </w:rPr>
        <w:t xml:space="preserve">, </w:t>
      </w:r>
      <w:r w:rsidRPr="003F55EF">
        <w:rPr>
          <w:rFonts w:eastAsia="MS Mincho"/>
          <w:sz w:val="24"/>
        </w:rPr>
        <w:t>Oregon State University</w:t>
      </w:r>
    </w:p>
    <w:p w14:paraId="4D0CC6F3" w14:textId="2544ACE0" w:rsidR="003F55EF" w:rsidRDefault="009C60A1" w:rsidP="003F55EF">
      <w:pPr>
        <w:pStyle w:val="Author"/>
        <w:spacing w:before="0" w:after="0"/>
        <w:rPr>
          <w:rFonts w:eastAsia="MS Mincho"/>
          <w:sz w:val="24"/>
        </w:rPr>
      </w:pPr>
      <w:r>
        <w:rPr>
          <w:rFonts w:eastAsia="MS Mincho"/>
          <w:sz w:val="24"/>
        </w:rPr>
        <w:t>{shmarkas,digd</w:t>
      </w:r>
      <w:r w:rsidR="003F55EF">
        <w:rPr>
          <w:rFonts w:eastAsia="MS Mincho"/>
          <w:sz w:val="24"/>
        </w:rPr>
        <w:t>}@eecs.oregonstate.edu</w:t>
      </w:r>
    </w:p>
    <w:p w14:paraId="7E393616" w14:textId="77777777" w:rsidR="003F55EF" w:rsidRPr="003F55EF" w:rsidRDefault="003F55EF" w:rsidP="003F55EF">
      <w:pPr>
        <w:pStyle w:val="Author"/>
        <w:spacing w:before="0" w:after="0"/>
        <w:rPr>
          <w:rFonts w:eastAsia="MS Mincho"/>
          <w:sz w:val="24"/>
        </w:rPr>
      </w:pPr>
    </w:p>
    <w:p w14:paraId="73DCD3B7" w14:textId="77777777" w:rsidR="008A55B5" w:rsidRDefault="008A55B5" w:rsidP="003F55EF">
      <w:pPr>
        <w:pStyle w:val="Affiliation"/>
        <w:jc w:val="both"/>
        <w:rPr>
          <w:rFonts w:eastAsia="MS Mincho"/>
        </w:rPr>
      </w:pPr>
    </w:p>
    <w:p w14:paraId="79B2F8B5" w14:textId="77777777" w:rsidR="008A55B5" w:rsidRDefault="008A55B5">
      <w:pPr>
        <w:rPr>
          <w:rFonts w:eastAsia="MS Mincho"/>
        </w:rPr>
      </w:pPr>
    </w:p>
    <w:p w14:paraId="61FC20E0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0862B96" w14:textId="77777777" w:rsidR="008A55B5" w:rsidRDefault="008A55B5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lastRenderedPageBreak/>
        <w:t>Abstract</w:t>
      </w:r>
      <w:r>
        <w:rPr>
          <w:rFonts w:eastAsia="MS Mincho"/>
        </w:rPr>
        <w:t>—</w:t>
      </w:r>
      <w:r w:rsidR="003F55EF">
        <w:t>TODO</w:t>
      </w:r>
    </w:p>
    <w:p w14:paraId="5642D6C8" w14:textId="77777777" w:rsidR="008A55B5" w:rsidRDefault="0072064C">
      <w:pPr>
        <w:pStyle w:val="keywords"/>
        <w:rPr>
          <w:rFonts w:eastAsia="MS Mincho"/>
        </w:rPr>
      </w:pPr>
      <w:r>
        <w:rPr>
          <w:rFonts w:eastAsia="MS Mincho"/>
        </w:rPr>
        <w:t>Keywords—</w:t>
      </w:r>
      <w:r w:rsidR="003F55EF">
        <w:rPr>
          <w:rFonts w:eastAsia="MS Mincho"/>
        </w:rPr>
        <w:t>Software Configuration Management</w:t>
      </w:r>
      <w:r w:rsidR="008A55B5">
        <w:rPr>
          <w:rFonts w:eastAsia="MS Mincho"/>
        </w:rPr>
        <w:t xml:space="preserve">; </w:t>
      </w:r>
      <w:r w:rsidR="003F55EF">
        <w:rPr>
          <w:rFonts w:eastAsia="MS Mincho"/>
        </w:rPr>
        <w:t>Version Control</w:t>
      </w:r>
      <w:r w:rsidR="008A55B5">
        <w:rPr>
          <w:rFonts w:eastAsia="MS Mincho"/>
        </w:rPr>
        <w:t xml:space="preserve">; </w:t>
      </w:r>
      <w:r w:rsidR="003F55EF">
        <w:rPr>
          <w:rFonts w:eastAsia="MS Mincho"/>
        </w:rPr>
        <w:t>Software Version Numbering, Domain-Specific Language, Release Management</w:t>
      </w:r>
      <w:r w:rsidR="00342202">
        <w:rPr>
          <w:rFonts w:eastAsia="MS Mincho"/>
        </w:rPr>
        <w:t>, DevOps</w:t>
      </w:r>
    </w:p>
    <w:p w14:paraId="5D36A6D3" w14:textId="77777777" w:rsidR="008A55B5" w:rsidRDefault="008A55B5" w:rsidP="00CB1404">
      <w:pPr>
        <w:pStyle w:val="Heading1"/>
      </w:pPr>
      <w:r>
        <w:t xml:space="preserve"> Introduction </w:t>
      </w:r>
    </w:p>
    <w:p w14:paraId="241DF6FB" w14:textId="5E285DE2" w:rsidR="00211E0E" w:rsidRDefault="003F55EF" w:rsidP="003F55EF">
      <w:pPr>
        <w:pStyle w:val="BodyText"/>
      </w:pPr>
      <w:r>
        <w:t xml:space="preserve">Discipline of Software Configuration Management studies changes in large and complex systems with the goal to prevent the chaos caused by the numerous corrections, extensions, and adaptations. </w:t>
      </w:r>
      <w:r w:rsidR="00342202">
        <w:t xml:space="preserve">In order to maintain scalability and continuous delivery of software applications software companies invest in infrastructure and </w:t>
      </w:r>
      <w:proofErr w:type="spellStart"/>
      <w:r w:rsidR="00342202">
        <w:t>DevOps</w:t>
      </w:r>
      <w:proofErr w:type="spellEnd"/>
      <w:r w:rsidR="00342202">
        <w:t xml:space="preserve"> departments more that ever before. </w:t>
      </w:r>
      <w:r>
        <w:t xml:space="preserve">Even though there is a lot of research has been done in </w:t>
      </w:r>
      <w:r w:rsidR="00FF2585">
        <w:t>the</w:t>
      </w:r>
      <w:r>
        <w:t xml:space="preserve"> area</w:t>
      </w:r>
      <w:r w:rsidR="00342202">
        <w:t xml:space="preserve"> of Software Configuration Management and number of </w:t>
      </w:r>
      <w:proofErr w:type="spellStart"/>
      <w:r w:rsidR="00342202">
        <w:t>DevOps</w:t>
      </w:r>
      <w:proofErr w:type="spellEnd"/>
      <w:r w:rsidR="00342202">
        <w:t xml:space="preserve"> practitioners</w:t>
      </w:r>
      <w:r w:rsidR="00964CD4">
        <w:t xml:space="preserve"> increases</w:t>
      </w:r>
      <w:r>
        <w:t xml:space="preserve">, such important problem as unambiguous </w:t>
      </w:r>
      <w:r w:rsidR="00034339">
        <w:t>software versions numbering</w:t>
      </w:r>
      <w:r>
        <w:t xml:space="preserve"> remain</w:t>
      </w:r>
      <w:r w:rsidR="00034339">
        <w:t xml:space="preserve">s unresolved. </w:t>
      </w:r>
      <w:r w:rsidR="00FF2585">
        <w:t>Although software developers use software version numbers as a common way to represent corrections, extensions, and adaptations, it turns out that there is no consistent approach of assigning version numbers to new software builds and releases. As a result, p</w:t>
      </w:r>
      <w:r w:rsidR="00034339">
        <w:t xml:space="preserve">eople involved in </w:t>
      </w:r>
      <w:r w:rsidR="00342202">
        <w:t>Software Development (</w:t>
      </w:r>
      <w:proofErr w:type="spellStart"/>
      <w:r w:rsidR="00342202">
        <w:t>Dev</w:t>
      </w:r>
      <w:proofErr w:type="spellEnd"/>
      <w:r w:rsidR="00342202">
        <w:t xml:space="preserve">) and Release Management (Ops) </w:t>
      </w:r>
      <w:r w:rsidR="00034339">
        <w:t>tend to misunderstand</w:t>
      </w:r>
      <w:r w:rsidR="001C6979">
        <w:t xml:space="preserve"> each other as long as there is no way of consistent and non-ambiguous assignment of unique identifiers to new software builds and releases</w:t>
      </w:r>
      <w:r w:rsidR="00034339">
        <w:t>.</w:t>
      </w:r>
      <w:r w:rsidR="00FF2585">
        <w:t xml:space="preserve"> </w:t>
      </w:r>
      <w:r w:rsidR="001C6979">
        <w:t xml:space="preserve">For example, Release </w:t>
      </w:r>
      <w:r w:rsidR="006B55B3">
        <w:t xml:space="preserve">Management team (Ops) </w:t>
      </w:r>
      <w:r w:rsidR="001C6979">
        <w:t>often face</w:t>
      </w:r>
      <w:r w:rsidR="006B55B3">
        <w:t>s</w:t>
      </w:r>
      <w:r w:rsidR="001C6979">
        <w:t xml:space="preserve"> situation when </w:t>
      </w:r>
      <w:r w:rsidR="006B55B3">
        <w:t>Software Development team (</w:t>
      </w:r>
      <w:proofErr w:type="spellStart"/>
      <w:r w:rsidR="006B55B3">
        <w:t>Dev</w:t>
      </w:r>
      <w:proofErr w:type="spellEnd"/>
      <w:r w:rsidR="006B55B3">
        <w:t xml:space="preserve">) hands over </w:t>
      </w:r>
      <w:r w:rsidR="001C6979">
        <w:t>two dif</w:t>
      </w:r>
      <w:r w:rsidR="00FB0314">
        <w:t>ferent software artifacts have</w:t>
      </w:r>
      <w:r w:rsidR="001C6979">
        <w:t xml:space="preserve"> the same version (e.g. 1.0.2) </w:t>
      </w:r>
      <w:r w:rsidR="00FB0314">
        <w:t xml:space="preserve">even though artifacts </w:t>
      </w:r>
      <w:r w:rsidR="001C6979">
        <w:t xml:space="preserve">have different </w:t>
      </w:r>
      <w:r w:rsidR="006B55B3">
        <w:t>feature sets</w:t>
      </w:r>
      <w:r w:rsidR="001C6979">
        <w:t xml:space="preserve">. </w:t>
      </w:r>
      <w:r w:rsidR="006B55B3">
        <w:t>As a result, it becomes difficult to automate release activities without additional information or additional set of conventions.</w:t>
      </w:r>
      <w:r w:rsidR="001672AB">
        <w:t xml:space="preserve"> </w:t>
      </w:r>
    </w:p>
    <w:p w14:paraId="4DC7216D" w14:textId="79C7977A" w:rsidR="00F34651" w:rsidRDefault="00295340" w:rsidP="00072D78">
      <w:pPr>
        <w:ind w:firstLine="288"/>
        <w:jc w:val="both"/>
      </w:pPr>
      <w:r>
        <w:rPr>
          <w:b/>
        </w:rPr>
        <w:lastRenderedPageBreak/>
        <w:t>P1: Trees instead of graphs (</w:t>
      </w:r>
      <w:r w:rsidR="00F34651">
        <w:rPr>
          <w:b/>
        </w:rPr>
        <w:t xml:space="preserve">version numbering </w:t>
      </w:r>
      <w:proofErr w:type="spellStart"/>
      <w:r w:rsidR="00F34651">
        <w:rPr>
          <w:b/>
        </w:rPr>
        <w:t>a</w:t>
      </w:r>
      <w:r w:rsidR="00F34651" w:rsidRPr="00F34651">
        <w:rPr>
          <w:b/>
        </w:rPr>
        <w:t>nthrophobia</w:t>
      </w:r>
      <w:proofErr w:type="spellEnd"/>
      <w:r w:rsidR="00F34651">
        <w:rPr>
          <w:b/>
        </w:rPr>
        <w:t xml:space="preserve">). </w:t>
      </w:r>
      <w:r w:rsidR="00F34651">
        <w:t xml:space="preserve">Example: book chapters. Does this really happen? Books do not need to migrate things, while </w:t>
      </w:r>
      <w:proofErr w:type="spellStart"/>
      <w:r w:rsidR="00F34651">
        <w:t>bugfixes</w:t>
      </w:r>
      <w:proofErr w:type="spellEnd"/>
      <w:r w:rsidR="00F34651">
        <w:t xml:space="preserve"> should be merged. Tree is a wrong metaphor.</w:t>
      </w:r>
      <w:r w:rsidR="00E13BE9">
        <w:t xml:space="preserve"> Use example from OSS project and DSL presentation slides. </w:t>
      </w:r>
      <w:r w:rsidR="00230329">
        <w:t xml:space="preserve">Analyze Top 10, look for ‘x’-s. Look for conversion from book chapters to versions with ‘x’s. How far do they go with resolving </w:t>
      </w:r>
      <w:proofErr w:type="gramStart"/>
      <w:r w:rsidR="00230329">
        <w:t>version numbering</w:t>
      </w:r>
      <w:proofErr w:type="gramEnd"/>
      <w:r w:rsidR="00230329">
        <w:t xml:space="preserve"> inconsistencies? </w:t>
      </w:r>
      <w:r w:rsidR="00C765F0">
        <w:t xml:space="preserve">Add pictures and examples. </w:t>
      </w:r>
    </w:p>
    <w:p w14:paraId="0D08130F" w14:textId="6B5A24A4" w:rsidR="00295340" w:rsidRPr="00F34651" w:rsidRDefault="00F34651" w:rsidP="00F34651">
      <w:pPr>
        <w:rPr>
          <w:rFonts w:ascii="Times" w:hAnsi="Times"/>
        </w:rPr>
      </w:pPr>
      <w:r>
        <w:rPr>
          <w:b/>
        </w:rPr>
        <w:t xml:space="preserve"> </w:t>
      </w:r>
    </w:p>
    <w:p w14:paraId="14AAC346" w14:textId="1A68CB4C" w:rsidR="00342202" w:rsidRDefault="00E13BE9" w:rsidP="003F55EF">
      <w:pPr>
        <w:pStyle w:val="BodyText"/>
      </w:pPr>
      <w:r>
        <w:rPr>
          <w:b/>
        </w:rPr>
        <w:t>P2</w:t>
      </w:r>
      <w:r w:rsidR="00211E0E" w:rsidRPr="00211E0E">
        <w:rPr>
          <w:b/>
        </w:rPr>
        <w:t>: Different artifacts with the same name (ambiguity</w:t>
      </w:r>
      <w:r w:rsidR="00211E0E">
        <w:rPr>
          <w:b/>
        </w:rPr>
        <w:t xml:space="preserve"> </w:t>
      </w:r>
      <w:proofErr w:type="spellStart"/>
      <w:r w:rsidR="00211E0E">
        <w:rPr>
          <w:b/>
        </w:rPr>
        <w:t>a.k.a</w:t>
      </w:r>
      <w:proofErr w:type="spellEnd"/>
      <w:r w:rsidR="00211E0E">
        <w:rPr>
          <w:b/>
        </w:rPr>
        <w:t xml:space="preserve"> identity crisis, version numbering schizophrenia</w:t>
      </w:r>
      <w:r w:rsidR="00211E0E" w:rsidRPr="00211E0E">
        <w:rPr>
          <w:b/>
        </w:rPr>
        <w:t>)</w:t>
      </w:r>
      <w:r w:rsidR="00211E0E">
        <w:t xml:space="preserve">. </w:t>
      </w:r>
      <w:r w:rsidR="001672AB">
        <w:t xml:space="preserve">For example, </w:t>
      </w:r>
      <w:proofErr w:type="spellStart"/>
      <w:r w:rsidR="001672AB">
        <w:t>github</w:t>
      </w:r>
      <w:proofErr w:type="spellEnd"/>
      <w:r w:rsidR="001672AB">
        <w:t xml:space="preserve"> repository on date of Jan 12</w:t>
      </w:r>
      <w:r w:rsidR="001672AB" w:rsidRPr="001672AB">
        <w:rPr>
          <w:vertAlign w:val="superscript"/>
        </w:rPr>
        <w:t>th</w:t>
      </w:r>
      <w:r w:rsidR="001672AB">
        <w:t xml:space="preserve"> labeled their version 1.1.1, then 2000 LOC came in, but version is still the same 1.1.1. </w:t>
      </w:r>
      <w:proofErr w:type="gramStart"/>
      <w:r w:rsidR="00211E0E">
        <w:t>OSS project</w:t>
      </w:r>
      <w:r w:rsidR="001672AB">
        <w:t xml:space="preserve"> example.</w:t>
      </w:r>
      <w:proofErr w:type="gramEnd"/>
      <w:r w:rsidR="001672AB">
        <w:t xml:space="preserve"> </w:t>
      </w:r>
      <w:proofErr w:type="gramStart"/>
      <w:r w:rsidR="001672AB">
        <w:t xml:space="preserve">Discussion in the forum </w:t>
      </w:r>
      <w:r w:rsidR="00211E0E">
        <w:t>about version confusion.</w:t>
      </w:r>
      <w:proofErr w:type="gramEnd"/>
      <w:r w:rsidR="00211E0E">
        <w:t xml:space="preserve"> Is it resolved? Are these bu</w:t>
      </w:r>
      <w:r w:rsidR="00FE283F">
        <w:t xml:space="preserve">gs that cannot be replicated? </w:t>
      </w:r>
      <w:r w:rsidR="00211E0E">
        <w:t xml:space="preserve">We found similar cases in top 10 most popular repositories throughout their history. </w:t>
      </w:r>
    </w:p>
    <w:p w14:paraId="169076DF" w14:textId="3DDFD151" w:rsidR="00211E0E" w:rsidRDefault="00E13BE9" w:rsidP="003F55EF">
      <w:pPr>
        <w:pStyle w:val="BodyText"/>
      </w:pPr>
      <w:r>
        <w:rPr>
          <w:b/>
        </w:rPr>
        <w:t>P3</w:t>
      </w:r>
      <w:r w:rsidR="00211E0E" w:rsidRPr="00211E0E">
        <w:rPr>
          <w:b/>
        </w:rPr>
        <w:t>: inconsistency (v</w:t>
      </w:r>
      <w:bookmarkStart w:id="0" w:name="_GoBack"/>
      <w:bookmarkEnd w:id="0"/>
      <w:r w:rsidR="00211E0E" w:rsidRPr="00211E0E">
        <w:rPr>
          <w:b/>
        </w:rPr>
        <w:t>ersion number megalomania)</w:t>
      </w:r>
      <w:r w:rsidR="00211E0E">
        <w:t>. Firefox and other OSS projects (Eclipse) as an example + 1 or 2 proprietary. Make sure there is full picture and there are no packages with intermediate versions.  Painful to introduce automa</w:t>
      </w:r>
      <w:r w:rsidR="00390482">
        <w:t>tion, introduction of reference/dependency bugs.</w:t>
      </w:r>
    </w:p>
    <w:p w14:paraId="790B1EB9" w14:textId="44BE08F6" w:rsidR="00C765F0" w:rsidRDefault="00C765F0" w:rsidP="003F55EF">
      <w:pPr>
        <w:pStyle w:val="BodyText"/>
      </w:pPr>
      <w:r>
        <w:t xml:space="preserve">Now we present our solution. </w:t>
      </w:r>
      <w:proofErr w:type="gramStart"/>
      <w:r>
        <w:t>Does it disambiguate</w:t>
      </w:r>
      <w:proofErr w:type="gramEnd"/>
      <w:r>
        <w:t xml:space="preserve">, </w:t>
      </w:r>
      <w:proofErr w:type="gramStart"/>
      <w:r>
        <w:t>does it resolve inconsistency</w:t>
      </w:r>
      <w:proofErr w:type="gramEnd"/>
      <w:r>
        <w:t xml:space="preserve">? Is it </w:t>
      </w:r>
      <w:proofErr w:type="gramStart"/>
      <w:r>
        <w:t>scalable,</w:t>
      </w:r>
      <w:proofErr w:type="gramEnd"/>
      <w:r>
        <w:t xml:space="preserve"> is it expressive (can it do everything that people did before) and complete? To prove take existing version number history and map it to my DSL version tree. Take at least 3 projects. </w:t>
      </w:r>
    </w:p>
    <w:p w14:paraId="6F24EAD3" w14:textId="43455905" w:rsidR="00C765F0" w:rsidRDefault="00C765F0" w:rsidP="003F55EF">
      <w:pPr>
        <w:pStyle w:val="BodyText"/>
      </w:pPr>
      <w:r>
        <w:t xml:space="preserve">We contacted </w:t>
      </w:r>
      <w:r w:rsidR="00964CD4">
        <w:t xml:space="preserve">N </w:t>
      </w:r>
      <w:r>
        <w:t xml:space="preserve">projects to introduce this version numbering. They confirmed problems with version </w:t>
      </w:r>
      <w:r>
        <w:lastRenderedPageBreak/>
        <w:t xml:space="preserve">numbering and our </w:t>
      </w:r>
      <w:r w:rsidR="00964CD4">
        <w:t>version numbering</w:t>
      </w:r>
      <w:r>
        <w:t xml:space="preserve"> elegantly solves those problems. </w:t>
      </w:r>
    </w:p>
    <w:p w14:paraId="4DA6988B" w14:textId="10B3B82F" w:rsidR="00964CD4" w:rsidRDefault="00964CD4" w:rsidP="003F55EF">
      <w:pPr>
        <w:pStyle w:val="BodyText"/>
      </w:pPr>
      <w:r>
        <w:t xml:space="preserve">Create survey. </w:t>
      </w:r>
    </w:p>
    <w:p w14:paraId="76120701" w14:textId="77777777" w:rsidR="003F55EF" w:rsidRDefault="00034339" w:rsidP="003F55EF">
      <w:pPr>
        <w:pStyle w:val="BodyText"/>
      </w:pPr>
      <w:r>
        <w:t>O</w:t>
      </w:r>
      <w:r w:rsidR="003F55EF">
        <w:t xml:space="preserve">ur study shows that common version numbering </w:t>
      </w:r>
      <w:r>
        <w:t>practices</w:t>
      </w:r>
      <w:r w:rsidR="003F55EF">
        <w:t xml:space="preserve"> treat software histories as trees instead of graphs.</w:t>
      </w:r>
      <w:r>
        <w:t xml:space="preserve"> As a result, software version numbers turn ou</w:t>
      </w:r>
      <w:r w:rsidR="001C6979">
        <w:t xml:space="preserve">t to be inconsistent, ambiguous, </w:t>
      </w:r>
      <w:r w:rsidR="00085168">
        <w:t>and unreliable</w:t>
      </w:r>
      <w:r w:rsidR="001C6979">
        <w:t xml:space="preserve"> and cause confusion among </w:t>
      </w:r>
      <w:r w:rsidR="00085168">
        <w:t>members of software development teams</w:t>
      </w:r>
      <w:r>
        <w:t xml:space="preserve">. </w:t>
      </w:r>
      <w:r w:rsidR="003F55EF">
        <w:t xml:space="preserve">In order to address </w:t>
      </w:r>
      <w:r w:rsidR="00085168">
        <w:t xml:space="preserve">the </w:t>
      </w:r>
      <w:r w:rsidR="003F55EF">
        <w:t>problem</w:t>
      </w:r>
      <w:r>
        <w:t xml:space="preserve"> of consistent non-ambiguous software version numbering</w:t>
      </w:r>
      <w:r w:rsidR="003F55EF">
        <w:t xml:space="preserve"> we formali</w:t>
      </w:r>
      <w:r>
        <w:t xml:space="preserve">zed concept of Software Version </w:t>
      </w:r>
      <w:r w:rsidR="003F55EF">
        <w:t>in the form of Domain-Specific Language to represent software histories as graphs instead of trees. Our study makes following contributions:</w:t>
      </w:r>
    </w:p>
    <w:p w14:paraId="17119CE4" w14:textId="2757960C" w:rsidR="001F4E22" w:rsidRPr="001F4E22" w:rsidRDefault="001F4E22" w:rsidP="001F4E22">
      <w:pPr>
        <w:pStyle w:val="Heading3"/>
      </w:pPr>
      <w:r w:rsidRPr="001F4E22">
        <w:t>Demonstrat</w:t>
      </w:r>
      <w:r w:rsidR="00B251E3">
        <w:t>es limitations of existing ver</w:t>
      </w:r>
      <w:r w:rsidRPr="001F4E22">
        <w:t xml:space="preserve">sion numbering approaches. </w:t>
      </w:r>
    </w:p>
    <w:p w14:paraId="19BC96D2" w14:textId="39D3FE97" w:rsidR="001F4E22" w:rsidRPr="001F4E22" w:rsidRDefault="001F4E22" w:rsidP="00FE283F">
      <w:pPr>
        <w:pStyle w:val="Heading3"/>
      </w:pPr>
      <w:r w:rsidRPr="001F4E22">
        <w:t>Descr</w:t>
      </w:r>
      <w:r>
        <w:t>ibes novel Domain-Specific Lan</w:t>
      </w:r>
      <w:r w:rsidRPr="001F4E22">
        <w:t>guage</w:t>
      </w:r>
      <w:r>
        <w:t xml:space="preserve"> (DSL) for Software Version Num</w:t>
      </w:r>
      <w:r w:rsidRPr="001F4E22">
        <w:t xml:space="preserve">bering (VN) </w:t>
      </w:r>
    </w:p>
    <w:p w14:paraId="6319CDDB" w14:textId="6A7338B0" w:rsidR="001F4E22" w:rsidRPr="001F4E22" w:rsidRDefault="001F4E22" w:rsidP="00FE283F">
      <w:pPr>
        <w:pStyle w:val="Heading3"/>
      </w:pPr>
      <w:r w:rsidRPr="001F4E22">
        <w:t>Desc</w:t>
      </w:r>
      <w:r>
        <w:t>ribes how proposed approach ad</w:t>
      </w:r>
      <w:r w:rsidRPr="001F4E22">
        <w:t xml:space="preserve">dresses limitations of existing version numbering approaches. </w:t>
      </w:r>
    </w:p>
    <w:p w14:paraId="2CA3A282" w14:textId="10C8888A" w:rsidR="008A55B5" w:rsidRDefault="001F4E22" w:rsidP="00FE283F">
      <w:pPr>
        <w:pStyle w:val="Heading3"/>
      </w:pPr>
      <w:r w:rsidRPr="001F4E22">
        <w:t>Shows</w:t>
      </w:r>
      <w:r>
        <w:t xml:space="preserve"> that proposed approach has po</w:t>
      </w:r>
      <w:r w:rsidRPr="001F4E22">
        <w:t xml:space="preserve">tential to become golden standard in order to reconcile software histories that use conflicting version numbering schemes. </w:t>
      </w:r>
    </w:p>
    <w:p w14:paraId="1C9E137F" w14:textId="77777777" w:rsidR="008A55B5" w:rsidRDefault="008A55B5" w:rsidP="00CB1404">
      <w:pPr>
        <w:pStyle w:val="Heading1"/>
      </w:pPr>
      <w:r>
        <w:t>Ease of Use</w:t>
      </w:r>
    </w:p>
    <w:p w14:paraId="1DD5DAA9" w14:textId="115463CF" w:rsidR="008A55B5" w:rsidRDefault="00B251E3" w:rsidP="00753F7B">
      <w:pPr>
        <w:pStyle w:val="BodyText"/>
      </w:pPr>
      <w:r>
        <w:t>TODO</w:t>
      </w:r>
    </w:p>
    <w:p w14:paraId="30324011" w14:textId="7EE233C5" w:rsidR="008A55B5" w:rsidRPr="00CB1404" w:rsidRDefault="001F4E22" w:rsidP="00CB1404">
      <w:pPr>
        <w:pStyle w:val="Heading1"/>
      </w:pPr>
      <w:r>
        <w:t>Proposed solution</w:t>
      </w:r>
    </w:p>
    <w:p w14:paraId="1401A36D" w14:textId="738DAAE7" w:rsidR="008A55B5" w:rsidRDefault="001F4E22" w:rsidP="00EF3A1A">
      <w:pPr>
        <w:pStyle w:val="Heading2"/>
      </w:pPr>
      <w:r>
        <w:t>Basic definitions</w:t>
      </w:r>
    </w:p>
    <w:p w14:paraId="023B1203" w14:textId="77777777" w:rsidR="001F4E22" w:rsidRDefault="001F4E22" w:rsidP="001F4E22">
      <w:pPr>
        <w:pStyle w:val="BodyText"/>
        <w:numPr>
          <w:ilvl w:val="0"/>
          <w:numId w:val="17"/>
        </w:numPr>
      </w:pPr>
      <w:r w:rsidRPr="001F4E22">
        <w:rPr>
          <w:i/>
        </w:rPr>
        <w:t>Artifact</w:t>
      </w:r>
      <w:r>
        <w:t xml:space="preserve"> – </w:t>
      </w:r>
      <w:r w:rsidRPr="001F4E22">
        <w:t xml:space="preserve">programmable entity (examples: class, </w:t>
      </w:r>
      <w:r>
        <w:t>software component</w:t>
      </w:r>
      <w:r w:rsidRPr="001F4E22">
        <w:t xml:space="preserve">, </w:t>
      </w:r>
      <w:r>
        <w:t xml:space="preserve">software </w:t>
      </w:r>
      <w:r w:rsidRPr="001F4E22">
        <w:t xml:space="preserve">project, </w:t>
      </w:r>
      <w:proofErr w:type="spellStart"/>
      <w:r w:rsidRPr="001F4E22">
        <w:t>etc</w:t>
      </w:r>
      <w:proofErr w:type="spellEnd"/>
      <w:r w:rsidRPr="001F4E22">
        <w:t>) </w:t>
      </w:r>
    </w:p>
    <w:p w14:paraId="7940CF1E" w14:textId="77777777" w:rsidR="005E1E85" w:rsidRDefault="001F4E22" w:rsidP="001F4E22">
      <w:pPr>
        <w:pStyle w:val="BodyText"/>
        <w:numPr>
          <w:ilvl w:val="0"/>
          <w:numId w:val="17"/>
        </w:numPr>
      </w:pPr>
      <w:r w:rsidRPr="001F4E22">
        <w:rPr>
          <w:i/>
        </w:rPr>
        <w:t>Number</w:t>
      </w:r>
      <w:r w:rsidRPr="001F4E22">
        <w:t xml:space="preserve"> </w:t>
      </w:r>
      <w:r>
        <w:t xml:space="preserve">– </w:t>
      </w:r>
      <w:r w:rsidRPr="001F4E22">
        <w:t>non-negative integer that is used to re</w:t>
      </w:r>
      <w:r>
        <w:t xml:space="preserve">fer to sequential </w:t>
      </w:r>
      <w:r w:rsidR="00E86B52">
        <w:t>changes</w:t>
      </w:r>
      <w:r>
        <w:t xml:space="preserve"> of pro</w:t>
      </w:r>
      <w:r w:rsidRPr="001F4E22">
        <w:t>grammable entity</w:t>
      </w:r>
      <w:r w:rsidR="00E86B52">
        <w:t xml:space="preserve"> (</w:t>
      </w:r>
      <w:r w:rsidR="00E86B52" w:rsidRPr="00E86B52">
        <w:rPr>
          <w:i/>
        </w:rPr>
        <w:t>artifact</w:t>
      </w:r>
      <w:r w:rsidR="00E86B52">
        <w:t xml:space="preserve">) in the scope of the same </w:t>
      </w:r>
      <w:r w:rsidR="00E86B52" w:rsidRPr="00B251E3">
        <w:rPr>
          <w:i/>
        </w:rPr>
        <w:t>dimension</w:t>
      </w:r>
      <w:r w:rsidR="00E86B52">
        <w:t xml:space="preserve">. Represents </w:t>
      </w:r>
      <w:r w:rsidR="00E86B52" w:rsidRPr="00B251E3">
        <w:rPr>
          <w:u w:val="single"/>
        </w:rPr>
        <w:t>non-editable</w:t>
      </w:r>
      <w:r w:rsidR="00E86B52">
        <w:t xml:space="preserve"> state of the </w:t>
      </w:r>
      <w:r w:rsidR="00E86B52" w:rsidRPr="00B251E3">
        <w:rPr>
          <w:i/>
        </w:rPr>
        <w:t>artifact</w:t>
      </w:r>
      <w:r w:rsidR="00E86B52">
        <w:t xml:space="preserve">. </w:t>
      </w:r>
    </w:p>
    <w:p w14:paraId="7EE6C9BE" w14:textId="46569A6C" w:rsidR="001F4E22" w:rsidRDefault="00E86B52" w:rsidP="005E1E85">
      <w:pPr>
        <w:pStyle w:val="BodyText"/>
        <w:ind w:left="648" w:firstLine="0"/>
      </w:pPr>
      <w:r>
        <w:t xml:space="preserve">Examples: </w:t>
      </w:r>
      <w:r w:rsidRPr="005E1E85">
        <w:rPr>
          <w:b/>
        </w:rPr>
        <w:t>0</w:t>
      </w:r>
      <w:r>
        <w:t xml:space="preserve">, </w:t>
      </w:r>
      <w:r w:rsidRPr="005E1E85">
        <w:rPr>
          <w:b/>
        </w:rPr>
        <w:t>1</w:t>
      </w:r>
      <w:r>
        <w:t xml:space="preserve">, </w:t>
      </w:r>
      <w:r w:rsidRPr="005E1E85">
        <w:rPr>
          <w:b/>
        </w:rPr>
        <w:t>2</w:t>
      </w:r>
      <w:r>
        <w:t xml:space="preserve">, … </w:t>
      </w:r>
    </w:p>
    <w:p w14:paraId="50846FEC" w14:textId="154A9EE3" w:rsidR="005E1E85" w:rsidRPr="001F4E22" w:rsidRDefault="005E1E85" w:rsidP="005E1E85">
      <w:pPr>
        <w:pStyle w:val="BodyText"/>
        <w:ind w:left="648" w:firstLine="0"/>
      </w:pPr>
      <w:r>
        <w:t>Set: N+ (natural numbers with zero)</w:t>
      </w:r>
    </w:p>
    <w:p w14:paraId="68B24770" w14:textId="1E80D08D" w:rsidR="00E86B52" w:rsidRPr="005E1E85" w:rsidRDefault="00E86B52" w:rsidP="001F4E22">
      <w:pPr>
        <w:pStyle w:val="BodyText"/>
        <w:numPr>
          <w:ilvl w:val="0"/>
          <w:numId w:val="17"/>
        </w:numPr>
        <w:rPr>
          <w:rFonts w:ascii="Times" w:hAnsi="Times" w:cs="Times"/>
        </w:rPr>
      </w:pPr>
      <w:proofErr w:type="spellStart"/>
      <w:r w:rsidRPr="00E86B52">
        <w:rPr>
          <w:i/>
        </w:rPr>
        <w:t>NumberPlaceholder</w:t>
      </w:r>
      <w:proofErr w:type="spellEnd"/>
      <w:r>
        <w:t xml:space="preserve"> –</w:t>
      </w:r>
      <w:r w:rsidR="00B251E3">
        <w:t xml:space="preserve"> entity that represents </w:t>
      </w:r>
      <w:r w:rsidR="00B251E3" w:rsidRPr="00B251E3">
        <w:rPr>
          <w:u w:val="single"/>
        </w:rPr>
        <w:t>editable</w:t>
      </w:r>
      <w:r w:rsidR="00B251E3">
        <w:t xml:space="preserve"> state of the </w:t>
      </w:r>
      <w:r w:rsidR="00B251E3" w:rsidRPr="00B251E3">
        <w:rPr>
          <w:i/>
        </w:rPr>
        <w:t>artifact</w:t>
      </w:r>
      <w:r w:rsidR="00B251E3">
        <w:t xml:space="preserve">. We use special </w:t>
      </w:r>
      <w:r w:rsidR="007E7340">
        <w:t>character</w:t>
      </w:r>
      <w:r w:rsidR="00B251E3">
        <w:t xml:space="preserve"> ‘</w:t>
      </w:r>
      <w:r w:rsidR="00B251E3" w:rsidRPr="005E1E85">
        <w:rPr>
          <w:b/>
        </w:rPr>
        <w:t>x</w:t>
      </w:r>
      <w:r w:rsidR="00B251E3">
        <w:t xml:space="preserve">’ to represent concept of </w:t>
      </w:r>
      <w:proofErr w:type="spellStart"/>
      <w:r w:rsidR="00B251E3" w:rsidRPr="00E86B52">
        <w:rPr>
          <w:i/>
        </w:rPr>
        <w:t>NumberPlaceholder</w:t>
      </w:r>
      <w:proofErr w:type="spellEnd"/>
      <w:r w:rsidR="00B251E3">
        <w:rPr>
          <w:i/>
        </w:rPr>
        <w:t xml:space="preserve"> </w:t>
      </w:r>
      <w:r w:rsidR="00B251E3">
        <w:t>if it is used</w:t>
      </w:r>
      <w:r w:rsidR="00B251E3">
        <w:rPr>
          <w:i/>
        </w:rPr>
        <w:t xml:space="preserve"> </w:t>
      </w:r>
      <w:r w:rsidR="00B251E3">
        <w:t xml:space="preserve">as a part of </w:t>
      </w:r>
      <w:proofErr w:type="spellStart"/>
      <w:r w:rsidR="00B251E3" w:rsidRPr="00E86B52">
        <w:rPr>
          <w:i/>
        </w:rPr>
        <w:t>VersionNumber</w:t>
      </w:r>
      <w:proofErr w:type="spellEnd"/>
      <w:r w:rsidR="00B251E3">
        <w:t>.</w:t>
      </w:r>
    </w:p>
    <w:p w14:paraId="6ABE1C24" w14:textId="53AE9B51" w:rsidR="005E1E85" w:rsidRPr="005E1E85" w:rsidRDefault="005E1E85" w:rsidP="005E1E85">
      <w:pPr>
        <w:pStyle w:val="BodyText"/>
        <w:numPr>
          <w:ilvl w:val="0"/>
          <w:numId w:val="17"/>
        </w:numPr>
      </w:pPr>
      <w:r w:rsidRPr="005E1E85">
        <w:lastRenderedPageBreak/>
        <w:t xml:space="preserve">Set: </w:t>
      </w:r>
      <w:r w:rsidR="007E7340">
        <w:rPr>
          <w:noProof/>
        </w:rPr>
        <w:drawing>
          <wp:inline distT="0" distB="0" distL="0" distR="0" wp14:anchorId="7C9B6F88" wp14:editId="23292CBE">
            <wp:extent cx="97367" cy="97367"/>
            <wp:effectExtent l="0" t="0" r="444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7" cy="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E85">
        <w:t xml:space="preserve"> (</w:t>
      </w:r>
      <w:r>
        <w:t xml:space="preserve">universal set) </w:t>
      </w:r>
    </w:p>
    <w:p w14:paraId="3870C1EB" w14:textId="77777777" w:rsidR="005E1E85" w:rsidRPr="005E1E85" w:rsidRDefault="00E86B52" w:rsidP="001F4E22">
      <w:pPr>
        <w:pStyle w:val="BodyText"/>
        <w:numPr>
          <w:ilvl w:val="0"/>
          <w:numId w:val="17"/>
        </w:numPr>
        <w:rPr>
          <w:rFonts w:ascii="Times" w:hAnsi="Times" w:cs="Times"/>
        </w:rPr>
      </w:pPr>
      <w:proofErr w:type="spellStart"/>
      <w:r w:rsidRPr="00E86B52">
        <w:rPr>
          <w:i/>
        </w:rPr>
        <w:t>VersionCompound</w:t>
      </w:r>
      <w:proofErr w:type="spellEnd"/>
      <w:r>
        <w:t xml:space="preserve"> – </w:t>
      </w:r>
      <w:r w:rsidR="005C07F0">
        <w:t xml:space="preserve">entity that represents both </w:t>
      </w:r>
      <w:r w:rsidR="005C07F0" w:rsidRPr="00B251E3">
        <w:rPr>
          <w:u w:val="single"/>
        </w:rPr>
        <w:t>editable</w:t>
      </w:r>
      <w:r w:rsidR="005C07F0">
        <w:t xml:space="preserve"> and </w:t>
      </w:r>
      <w:r w:rsidR="005C07F0" w:rsidRPr="005C07F0">
        <w:rPr>
          <w:u w:val="single"/>
        </w:rPr>
        <w:t>non-editable</w:t>
      </w:r>
      <w:r w:rsidR="005C07F0">
        <w:t xml:space="preserve"> states of the </w:t>
      </w:r>
      <w:r w:rsidR="005C07F0" w:rsidRPr="00B251E3">
        <w:rPr>
          <w:i/>
        </w:rPr>
        <w:t>artifact</w:t>
      </w:r>
      <w:r w:rsidR="005C07F0">
        <w:rPr>
          <w:i/>
        </w:rPr>
        <w:t xml:space="preserve">. </w:t>
      </w:r>
    </w:p>
    <w:p w14:paraId="02AFA171" w14:textId="77777777" w:rsidR="007E7340" w:rsidRDefault="005C07F0" w:rsidP="007E7340">
      <w:pPr>
        <w:pStyle w:val="BodyText"/>
        <w:ind w:left="648" w:firstLine="0"/>
      </w:pPr>
      <w:r>
        <w:t xml:space="preserve">Examples: </w:t>
      </w:r>
      <w:r w:rsidRPr="005E1E85">
        <w:rPr>
          <w:b/>
        </w:rPr>
        <w:t>x</w:t>
      </w:r>
      <w:r>
        <w:t xml:space="preserve">, </w:t>
      </w:r>
      <w:r w:rsidRPr="005E1E85">
        <w:rPr>
          <w:b/>
        </w:rPr>
        <w:t>0</w:t>
      </w:r>
      <w:r>
        <w:t xml:space="preserve">, </w:t>
      </w:r>
      <w:r w:rsidRPr="005E1E85">
        <w:rPr>
          <w:b/>
        </w:rPr>
        <w:t>1</w:t>
      </w:r>
      <w:r>
        <w:t xml:space="preserve">, </w:t>
      </w:r>
      <w:r w:rsidRPr="005E1E85">
        <w:rPr>
          <w:b/>
        </w:rPr>
        <w:t>2</w:t>
      </w:r>
      <w:r>
        <w:t xml:space="preserve">, … </w:t>
      </w:r>
    </w:p>
    <w:p w14:paraId="28ABC69B" w14:textId="68A4426A" w:rsidR="005E1E85" w:rsidRPr="0096082C" w:rsidRDefault="005E1E85" w:rsidP="0096082C">
      <w:pPr>
        <w:pStyle w:val="BodyText"/>
        <w:ind w:left="648" w:firstLine="0"/>
      </w:pPr>
      <w:r>
        <w:t xml:space="preserve">Set: </w:t>
      </w:r>
      <w:r w:rsidR="007E7340">
        <w:t xml:space="preserve">VC = </w:t>
      </w:r>
      <w:r w:rsidR="007E7340" w:rsidRPr="007E7340">
        <w:drawing>
          <wp:inline distT="0" distB="0" distL="0" distR="0" wp14:anchorId="019D73FF" wp14:editId="10779D2F">
            <wp:extent cx="97367" cy="97367"/>
            <wp:effectExtent l="0" t="0" r="4445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7" cy="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340" w:rsidRPr="007E7340">
        <w:t xml:space="preserve"> </w:t>
      </w:r>
      <w:r w:rsidR="007E7340">
        <w:rPr>
          <w:rFonts w:ascii="Times" w:hAnsi="Times"/>
          <w:noProof/>
        </w:rPr>
        <w:drawing>
          <wp:inline distT="0" distB="0" distL="0" distR="0" wp14:anchorId="768CF789" wp14:editId="3C006D3B">
            <wp:extent cx="64253" cy="67733"/>
            <wp:effectExtent l="0" t="0" r="12065" b="8890"/>
            <wp:docPr id="5" name="Picture 3" descr="cup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p \!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3" cy="6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340">
        <w:t xml:space="preserve"> N+</w:t>
      </w:r>
    </w:p>
    <w:p w14:paraId="0649F2C8" w14:textId="1C031007" w:rsidR="00E86B52" w:rsidRPr="0028653C" w:rsidRDefault="00E86B52" w:rsidP="001F4E22">
      <w:pPr>
        <w:pStyle w:val="BodyText"/>
        <w:numPr>
          <w:ilvl w:val="0"/>
          <w:numId w:val="17"/>
        </w:numPr>
        <w:rPr>
          <w:rFonts w:ascii="Times" w:hAnsi="Times" w:cs="Times"/>
        </w:rPr>
      </w:pPr>
      <w:r w:rsidRPr="00E86B52">
        <w:rPr>
          <w:i/>
        </w:rPr>
        <w:t>Dimension</w:t>
      </w:r>
      <w:r>
        <w:t xml:space="preserve"> – level of </w:t>
      </w:r>
      <w:r w:rsidR="00B251E3">
        <w:t>changes granularity.</w:t>
      </w:r>
      <w:r w:rsidR="005C07F0">
        <w:t xml:space="preserve"> </w:t>
      </w:r>
      <w:r w:rsidR="005E1E85">
        <w:t xml:space="preserve">Uses elements of </w:t>
      </w:r>
      <w:proofErr w:type="spellStart"/>
      <w:r w:rsidR="005E1E85" w:rsidRPr="005A2E55">
        <w:rPr>
          <w:i/>
        </w:rPr>
        <w:t>VersionCompound</w:t>
      </w:r>
      <w:proofErr w:type="spellEnd"/>
      <w:r w:rsidR="005E1E85">
        <w:t xml:space="preserve"> set to address different </w:t>
      </w:r>
      <w:r w:rsidR="007E7340">
        <w:t>levels of granularity. We use special character ‘</w:t>
      </w:r>
      <w:r w:rsidR="007E7340">
        <w:rPr>
          <w:b/>
        </w:rPr>
        <w:t>.</w:t>
      </w:r>
      <w:r w:rsidR="007E7340">
        <w:t xml:space="preserve">’ to represent concept of </w:t>
      </w:r>
      <w:r w:rsidR="007E7340" w:rsidRPr="00E86B52">
        <w:rPr>
          <w:i/>
        </w:rPr>
        <w:t>Dimension</w:t>
      </w:r>
      <w:r w:rsidR="007E7340">
        <w:t xml:space="preserve"> if it is used</w:t>
      </w:r>
      <w:r w:rsidR="007E7340">
        <w:rPr>
          <w:i/>
        </w:rPr>
        <w:t xml:space="preserve"> </w:t>
      </w:r>
      <w:r w:rsidR="007E7340">
        <w:t xml:space="preserve">as a part of </w:t>
      </w:r>
      <w:proofErr w:type="spellStart"/>
      <w:r w:rsidR="007E7340" w:rsidRPr="00E86B52">
        <w:rPr>
          <w:i/>
        </w:rPr>
        <w:t>VersionNumber</w:t>
      </w:r>
      <w:proofErr w:type="spellEnd"/>
      <w:r w:rsidR="005A2E55">
        <w:t>.</w:t>
      </w:r>
    </w:p>
    <w:p w14:paraId="24F2891A" w14:textId="6B9FBE97" w:rsidR="0028653C" w:rsidRPr="0028653C" w:rsidRDefault="0028653C" w:rsidP="0028653C">
      <w:pPr>
        <w:pStyle w:val="BodyText"/>
        <w:ind w:left="648" w:firstLine="0"/>
      </w:pPr>
      <w:r w:rsidRPr="0028653C">
        <w:t>Set: D</w:t>
      </w:r>
    </w:p>
    <w:p w14:paraId="2B5572A9" w14:textId="1D32E4DD" w:rsidR="00E86B52" w:rsidRPr="0028653C" w:rsidRDefault="00E86B52" w:rsidP="001F4E22">
      <w:pPr>
        <w:pStyle w:val="BodyText"/>
        <w:numPr>
          <w:ilvl w:val="0"/>
          <w:numId w:val="17"/>
        </w:numPr>
        <w:rPr>
          <w:rFonts w:ascii="Times" w:hAnsi="Times" w:cs="Times"/>
        </w:rPr>
      </w:pPr>
      <w:proofErr w:type="spellStart"/>
      <w:r w:rsidRPr="00E86B52">
        <w:rPr>
          <w:i/>
        </w:rPr>
        <w:t>VersionNumber</w:t>
      </w:r>
      <w:proofErr w:type="spellEnd"/>
      <w:r>
        <w:t xml:space="preserve"> –</w:t>
      </w:r>
      <w:r w:rsidR="007E7340">
        <w:t xml:space="preserve"> </w:t>
      </w:r>
      <w:r w:rsidR="005A2E55">
        <w:t xml:space="preserve">composition of </w:t>
      </w:r>
      <w:proofErr w:type="spellStart"/>
      <w:r w:rsidR="005A2E55" w:rsidRPr="005A2E55">
        <w:rPr>
          <w:i/>
        </w:rPr>
        <w:t>VersionCompound</w:t>
      </w:r>
      <w:r w:rsidR="005A2E55">
        <w:rPr>
          <w:i/>
        </w:rPr>
        <w:t>s</w:t>
      </w:r>
      <w:proofErr w:type="spellEnd"/>
      <w:r w:rsidR="005A2E55">
        <w:rPr>
          <w:i/>
        </w:rPr>
        <w:t xml:space="preserve"> </w:t>
      </w:r>
      <w:r w:rsidR="005A2E55">
        <w:t>to represent unique numeric identifier of programmable entity (</w:t>
      </w:r>
      <w:r w:rsidR="005A2E55" w:rsidRPr="005A2E55">
        <w:rPr>
          <w:i/>
        </w:rPr>
        <w:t>artifact</w:t>
      </w:r>
      <w:r w:rsidR="005A2E55">
        <w:t xml:space="preserve">) using concept of </w:t>
      </w:r>
      <w:r w:rsidR="005A2E55" w:rsidRPr="005A2E55">
        <w:rPr>
          <w:i/>
        </w:rPr>
        <w:t>Dimensions</w:t>
      </w:r>
      <w:r w:rsidR="005A2E55">
        <w:t>.</w:t>
      </w:r>
    </w:p>
    <w:p w14:paraId="05868A1A" w14:textId="29BE7E0E" w:rsidR="0028653C" w:rsidRPr="0028653C" w:rsidRDefault="0028653C" w:rsidP="0028653C">
      <w:pPr>
        <w:pStyle w:val="BodyText"/>
        <w:ind w:left="648" w:firstLine="0"/>
      </w:pPr>
      <w:r>
        <w:t xml:space="preserve">Set: VN = D </w:t>
      </w:r>
      <w:r w:rsidRPr="0028653C">
        <w:t>×</w:t>
      </w:r>
      <w:r>
        <w:t xml:space="preserve"> VC </w:t>
      </w:r>
    </w:p>
    <w:p w14:paraId="4482B4F9" w14:textId="5C8BEDA7" w:rsidR="005A2E55" w:rsidRPr="005A2E55" w:rsidRDefault="005A2E55" w:rsidP="005A2E55">
      <w:pPr>
        <w:pStyle w:val="BodyText"/>
        <w:ind w:left="648" w:firstLine="0"/>
      </w:pPr>
      <w:r w:rsidRPr="005A2E55">
        <w:t>Examples:</w:t>
      </w:r>
      <w:r>
        <w:t xml:space="preserve"> </w:t>
      </w:r>
      <w:r w:rsidRPr="005A2E55">
        <w:rPr>
          <w:b/>
        </w:rPr>
        <w:t>x</w:t>
      </w:r>
      <w:r>
        <w:t xml:space="preserve">, </w:t>
      </w:r>
      <w:r w:rsidRPr="005A2E55">
        <w:rPr>
          <w:b/>
        </w:rPr>
        <w:t>0</w:t>
      </w:r>
      <w:r>
        <w:t xml:space="preserve">, </w:t>
      </w:r>
      <w:r w:rsidRPr="005A2E55">
        <w:rPr>
          <w:b/>
        </w:rPr>
        <w:t>2</w:t>
      </w:r>
      <w:r>
        <w:t xml:space="preserve">, </w:t>
      </w:r>
      <w:r w:rsidRPr="005A2E55">
        <w:rPr>
          <w:b/>
        </w:rPr>
        <w:t>x.1</w:t>
      </w:r>
      <w:r>
        <w:t xml:space="preserve">, </w:t>
      </w:r>
      <w:r w:rsidRPr="005A2E55">
        <w:rPr>
          <w:b/>
        </w:rPr>
        <w:t>3.x</w:t>
      </w:r>
      <w:r>
        <w:t xml:space="preserve">, </w:t>
      </w:r>
      <w:r w:rsidRPr="005A2E55">
        <w:rPr>
          <w:b/>
        </w:rPr>
        <w:t>5.x.x</w:t>
      </w:r>
      <w:r>
        <w:t xml:space="preserve">, </w:t>
      </w:r>
      <w:r>
        <w:rPr>
          <w:b/>
        </w:rPr>
        <w:t>0</w:t>
      </w:r>
      <w:r w:rsidRPr="005A2E55">
        <w:rPr>
          <w:b/>
        </w:rPr>
        <w:t>.x.3</w:t>
      </w:r>
      <w:r>
        <w:t xml:space="preserve">, </w:t>
      </w:r>
      <w:r w:rsidRPr="005A2E55">
        <w:rPr>
          <w:b/>
        </w:rPr>
        <w:t>x.1.x.23</w:t>
      </w:r>
      <w:r>
        <w:t>, …</w:t>
      </w:r>
    </w:p>
    <w:p w14:paraId="092E4461" w14:textId="621BFA9B" w:rsidR="00E86B52" w:rsidRPr="007E7340" w:rsidRDefault="001F4E22" w:rsidP="001F4E22">
      <w:pPr>
        <w:pStyle w:val="BodyText"/>
        <w:numPr>
          <w:ilvl w:val="0"/>
          <w:numId w:val="17"/>
        </w:numPr>
        <w:rPr>
          <w:rFonts w:ascii="Times" w:hAnsi="Times" w:cs="Times"/>
        </w:rPr>
      </w:pPr>
      <w:proofErr w:type="spellStart"/>
      <w:r w:rsidRPr="00E86B52">
        <w:rPr>
          <w:i/>
        </w:rPr>
        <w:t>MaturityLevel</w:t>
      </w:r>
      <w:proofErr w:type="spellEnd"/>
      <w:r w:rsidRPr="001F4E22">
        <w:t xml:space="preserve"> </w:t>
      </w:r>
      <w:r w:rsidR="00E86B52">
        <w:t>– label represent</w:t>
      </w:r>
      <w:r w:rsidRPr="001F4E22">
        <w:t xml:space="preserve">ing </w:t>
      </w:r>
      <w:r w:rsidR="00E86B52">
        <w:t xml:space="preserve">reliability of </w:t>
      </w:r>
      <w:r w:rsidRPr="001F4E22">
        <w:t xml:space="preserve">programmable entity </w:t>
      </w:r>
      <w:r w:rsidR="00E86B52">
        <w:t>(</w:t>
      </w:r>
      <w:r w:rsidR="00E86B52" w:rsidRPr="00E86B52">
        <w:rPr>
          <w:i/>
        </w:rPr>
        <w:t>artifact</w:t>
      </w:r>
      <w:r w:rsidR="00E86B52">
        <w:t>) in terms of estimated expectancy</w:t>
      </w:r>
      <w:r w:rsidR="00DA06E5">
        <w:t>/threshold</w:t>
      </w:r>
      <w:r w:rsidR="00E86B52">
        <w:t xml:space="preserve"> of errors generated by </w:t>
      </w:r>
      <w:r w:rsidR="00E86B52" w:rsidRPr="001F4E22">
        <w:t xml:space="preserve">programmable entity </w:t>
      </w:r>
      <w:r w:rsidR="00E86B52">
        <w:t>(</w:t>
      </w:r>
      <w:r w:rsidR="00E86B52" w:rsidRPr="00E86B52">
        <w:rPr>
          <w:i/>
        </w:rPr>
        <w:t>artifact</w:t>
      </w:r>
      <w:r w:rsidR="00E86B52">
        <w:t xml:space="preserve">)  </w:t>
      </w:r>
    </w:p>
    <w:p w14:paraId="7FAC39F8" w14:textId="40C4528B" w:rsidR="007E7340" w:rsidRPr="007E7340" w:rsidRDefault="007E7340" w:rsidP="007E7340">
      <w:pPr>
        <w:pStyle w:val="BodyText"/>
        <w:ind w:left="648" w:firstLine="0"/>
      </w:pPr>
      <w:r w:rsidRPr="007E7340">
        <w:t xml:space="preserve">Set: </w:t>
      </w:r>
      <w:r w:rsidR="0028653C">
        <w:t xml:space="preserve">ML = </w:t>
      </w:r>
      <w:r>
        <w:t>{</w:t>
      </w:r>
      <w:r w:rsidR="005A2E55">
        <w:t xml:space="preserve">1 =&gt; Branch, 2 =&gt; </w:t>
      </w:r>
      <w:proofErr w:type="spellStart"/>
      <w:r>
        <w:t>Dev</w:t>
      </w:r>
      <w:proofErr w:type="spellEnd"/>
      <w:r>
        <w:t xml:space="preserve">, </w:t>
      </w:r>
      <w:r w:rsidR="005A2E55">
        <w:t xml:space="preserve">3 =&gt; </w:t>
      </w:r>
      <w:r>
        <w:t xml:space="preserve">Test, </w:t>
      </w:r>
      <w:r w:rsidR="005A2E55">
        <w:t xml:space="preserve">4 =&gt; </w:t>
      </w:r>
      <w:r>
        <w:t xml:space="preserve">User, </w:t>
      </w:r>
      <w:r w:rsidR="005A2E55">
        <w:t xml:space="preserve">5 =&gt; </w:t>
      </w:r>
      <w:proofErr w:type="spellStart"/>
      <w:r w:rsidR="005A2E55">
        <w:t>ReleaseCandidate</w:t>
      </w:r>
      <w:proofErr w:type="spellEnd"/>
      <w:r w:rsidR="005A2E55">
        <w:t>, 6 =&gt; Production, 7 =&gt; Stable</w:t>
      </w:r>
      <w:r>
        <w:t>}</w:t>
      </w:r>
    </w:p>
    <w:p w14:paraId="76D67348" w14:textId="6FB2C315" w:rsidR="001F4E22" w:rsidRPr="0028653C" w:rsidRDefault="001F4E22" w:rsidP="001F4E22">
      <w:pPr>
        <w:pStyle w:val="BodyText"/>
        <w:numPr>
          <w:ilvl w:val="0"/>
          <w:numId w:val="17"/>
        </w:numPr>
        <w:rPr>
          <w:rFonts w:ascii="Times" w:hAnsi="Times" w:cs="Times"/>
        </w:rPr>
      </w:pPr>
      <w:r w:rsidRPr="00E86B52">
        <w:rPr>
          <w:i/>
        </w:rPr>
        <w:t>Version</w:t>
      </w:r>
      <w:r w:rsidR="00E86B52">
        <w:t xml:space="preserve"> – </w:t>
      </w:r>
      <w:r w:rsidRPr="001F4E22">
        <w:t xml:space="preserve">unique identifier of programmable entity </w:t>
      </w:r>
      <w:r w:rsidR="00E86B52">
        <w:t>(</w:t>
      </w:r>
      <w:r w:rsidR="00E86B52" w:rsidRPr="00E86B52">
        <w:rPr>
          <w:i/>
        </w:rPr>
        <w:t>artifact</w:t>
      </w:r>
      <w:r w:rsidR="0028653C">
        <w:t>) with regard to possible maturity levels.</w:t>
      </w:r>
    </w:p>
    <w:p w14:paraId="469F7E08" w14:textId="1B404A9C" w:rsidR="0028653C" w:rsidRDefault="0028653C" w:rsidP="0028653C">
      <w:pPr>
        <w:pStyle w:val="BodyText"/>
        <w:ind w:left="648" w:firstLine="0"/>
      </w:pPr>
      <w:r w:rsidRPr="0028653C">
        <w:t xml:space="preserve">Set: </w:t>
      </w:r>
      <w:r>
        <w:t xml:space="preserve">V = VN </w:t>
      </w:r>
      <w:r w:rsidRPr="0028653C">
        <w:t>×</w:t>
      </w:r>
      <w:r>
        <w:t xml:space="preserve"> ML</w:t>
      </w:r>
    </w:p>
    <w:p w14:paraId="0C7AFA59" w14:textId="617B5FE3" w:rsidR="0028653C" w:rsidRPr="0028653C" w:rsidRDefault="0028653C" w:rsidP="0028653C">
      <w:pPr>
        <w:pStyle w:val="BodyText"/>
        <w:ind w:left="648" w:firstLine="0"/>
      </w:pPr>
      <w:r>
        <w:t xml:space="preserve">Examples: </w:t>
      </w:r>
      <w:r w:rsidRPr="00DA06E5">
        <w:rPr>
          <w:b/>
        </w:rPr>
        <w:t>Branch/1.x.x</w:t>
      </w:r>
      <w:r>
        <w:t xml:space="preserve">, </w:t>
      </w:r>
      <w:r w:rsidRPr="00DA06E5">
        <w:rPr>
          <w:b/>
        </w:rPr>
        <w:t>Branch/x</w:t>
      </w:r>
      <w:r>
        <w:t>,</w:t>
      </w:r>
      <w:r w:rsidR="00DA06E5">
        <w:t xml:space="preserve"> </w:t>
      </w:r>
      <w:r w:rsidR="00DA06E5" w:rsidRPr="00DA06E5">
        <w:rPr>
          <w:b/>
        </w:rPr>
        <w:t>Branch/3.0.x</w:t>
      </w:r>
      <w:r>
        <w:t xml:space="preserve"> </w:t>
      </w:r>
      <w:proofErr w:type="spellStart"/>
      <w:r w:rsidRPr="00DA06E5">
        <w:rPr>
          <w:b/>
        </w:rPr>
        <w:t>De</w:t>
      </w:r>
      <w:r w:rsidR="00DA06E5" w:rsidRPr="00DA06E5">
        <w:rPr>
          <w:b/>
        </w:rPr>
        <w:t>v</w:t>
      </w:r>
      <w:proofErr w:type="spellEnd"/>
      <w:r w:rsidR="00DA06E5" w:rsidRPr="00DA06E5">
        <w:rPr>
          <w:b/>
        </w:rPr>
        <w:t>/0.x.1</w:t>
      </w:r>
      <w:r w:rsidR="00DA06E5">
        <w:t xml:space="preserve">, </w:t>
      </w:r>
      <w:proofErr w:type="spellStart"/>
      <w:r w:rsidR="00DA06E5" w:rsidRPr="00DA06E5">
        <w:rPr>
          <w:b/>
        </w:rPr>
        <w:t>Dev</w:t>
      </w:r>
      <w:proofErr w:type="spellEnd"/>
      <w:r w:rsidR="00DA06E5" w:rsidRPr="00DA06E5">
        <w:rPr>
          <w:b/>
        </w:rPr>
        <w:t>/5.0.x.2</w:t>
      </w:r>
      <w:r w:rsidR="00DA06E5">
        <w:t xml:space="preserve">, </w:t>
      </w:r>
      <w:r w:rsidR="00DA06E5" w:rsidRPr="00DA06E5">
        <w:rPr>
          <w:b/>
        </w:rPr>
        <w:t>Test/0.x.1</w:t>
      </w:r>
      <w:r w:rsidR="00DA06E5">
        <w:t xml:space="preserve">, </w:t>
      </w:r>
      <w:r w:rsidR="00DA06E5" w:rsidRPr="00DA06E5">
        <w:rPr>
          <w:b/>
        </w:rPr>
        <w:t>User/1.x.0</w:t>
      </w:r>
      <w:r w:rsidR="00DA06E5">
        <w:t xml:space="preserve">, </w:t>
      </w:r>
      <w:r w:rsidR="00DA06E5" w:rsidRPr="00DA06E5">
        <w:rPr>
          <w:b/>
        </w:rPr>
        <w:t>Test/2.4.3</w:t>
      </w:r>
      <w:r w:rsidR="00DA06E5">
        <w:t xml:space="preserve">, </w:t>
      </w:r>
      <w:r w:rsidR="00DA06E5" w:rsidRPr="00DA06E5">
        <w:rPr>
          <w:b/>
        </w:rPr>
        <w:t>User/2.4.3</w:t>
      </w:r>
      <w:r w:rsidR="00DA06E5">
        <w:t xml:space="preserve">, </w:t>
      </w:r>
      <w:proofErr w:type="spellStart"/>
      <w:r w:rsidR="00DA06E5" w:rsidRPr="00DA06E5">
        <w:rPr>
          <w:b/>
        </w:rPr>
        <w:t>ReleaseCandidate</w:t>
      </w:r>
      <w:proofErr w:type="spellEnd"/>
      <w:r w:rsidR="00DA06E5" w:rsidRPr="00DA06E5">
        <w:rPr>
          <w:b/>
        </w:rPr>
        <w:t>/3.0.6</w:t>
      </w:r>
      <w:r w:rsidR="00DA06E5">
        <w:t xml:space="preserve">, </w:t>
      </w:r>
      <w:r w:rsidR="00DA06E5" w:rsidRPr="00DA06E5">
        <w:rPr>
          <w:b/>
        </w:rPr>
        <w:t>Production/4.1.34</w:t>
      </w:r>
      <w:r w:rsidR="00DA06E5">
        <w:t xml:space="preserve">, </w:t>
      </w:r>
      <w:r w:rsidR="00DA06E5" w:rsidRPr="00DA06E5">
        <w:rPr>
          <w:b/>
        </w:rPr>
        <w:t>Stable/25.3.89.23</w:t>
      </w:r>
    </w:p>
    <w:p w14:paraId="68DB4794" w14:textId="5B15AF20" w:rsidR="00477034" w:rsidRDefault="00477034" w:rsidP="00477034">
      <w:pPr>
        <w:pStyle w:val="Heading1"/>
      </w:pPr>
      <w:r>
        <w:t>Graphical representation of version trees</w:t>
      </w:r>
    </w:p>
    <w:p w14:paraId="654E32CC" w14:textId="4AC258A0" w:rsidR="00477034" w:rsidRDefault="00A268EF" w:rsidP="00477034">
      <w:hyperlink r:id="rId10" w:history="1">
        <w:r w:rsidRPr="00D93A0B">
          <w:rPr>
            <w:rStyle w:val="Hyperlink"/>
          </w:rPr>
          <w:t>http://bit.ly/1AxFcCg</w:t>
        </w:r>
      </w:hyperlink>
      <w:r>
        <w:t xml:space="preserve"> </w:t>
      </w:r>
    </w:p>
    <w:p w14:paraId="0138C3A3" w14:textId="77777777" w:rsidR="00B401DC" w:rsidRPr="00477034" w:rsidRDefault="00B401DC" w:rsidP="00477034"/>
    <w:p w14:paraId="1F2452DF" w14:textId="469121E8" w:rsidR="008A55B5" w:rsidRDefault="00B634D5" w:rsidP="00CB1404">
      <w:pPr>
        <w:pStyle w:val="Heading1"/>
      </w:pPr>
      <w:r>
        <w:t>Toolset</w:t>
      </w:r>
    </w:p>
    <w:p w14:paraId="64B0FC7C" w14:textId="0C0FF066" w:rsidR="00B634D5" w:rsidRPr="00B634D5" w:rsidRDefault="00B634D5" w:rsidP="00B634D5">
      <w:pPr>
        <w:jc w:val="both"/>
      </w:pPr>
      <w:r>
        <w:t>TODO</w:t>
      </w:r>
    </w:p>
    <w:p w14:paraId="77E51EDF" w14:textId="087DFF1F" w:rsidR="00B634D5" w:rsidRDefault="00B634D5" w:rsidP="00B634D5">
      <w:pPr>
        <w:pStyle w:val="Heading1"/>
      </w:pPr>
      <w:r>
        <w:lastRenderedPageBreak/>
        <w:t>Evaluation</w:t>
      </w:r>
    </w:p>
    <w:p w14:paraId="038B34E0" w14:textId="7A0BF2AB" w:rsidR="00B634D5" w:rsidRDefault="00B634D5" w:rsidP="00B634D5">
      <w:pPr>
        <w:jc w:val="both"/>
      </w:pPr>
      <w:r>
        <w:t>TODO</w:t>
      </w:r>
    </w:p>
    <w:p w14:paraId="1418A511" w14:textId="2EBF099E" w:rsidR="00B634D5" w:rsidRDefault="00B634D5" w:rsidP="00B634D5">
      <w:pPr>
        <w:pStyle w:val="Heading1"/>
      </w:pPr>
      <w:r>
        <w:t>Conclusion</w:t>
      </w:r>
    </w:p>
    <w:p w14:paraId="650F395E" w14:textId="23E27319" w:rsidR="00B634D5" w:rsidRPr="00B634D5" w:rsidRDefault="00B634D5" w:rsidP="00B634D5">
      <w:pPr>
        <w:jc w:val="both"/>
      </w:pPr>
      <w:r>
        <w:t>TODO</w:t>
      </w:r>
    </w:p>
    <w:p w14:paraId="43B7BC70" w14:textId="23FD7B9D" w:rsidR="008A55B5" w:rsidRDefault="008A55B5">
      <w:pPr>
        <w:pStyle w:val="Heading5"/>
        <w:rPr>
          <w:rFonts w:eastAsia="MS Mincho"/>
          <w:i/>
          <w:iCs/>
        </w:rPr>
      </w:pPr>
      <w:r>
        <w:rPr>
          <w:rFonts w:eastAsia="MS Mincho"/>
        </w:rPr>
        <w:t xml:space="preserve">Acknowledgment </w:t>
      </w:r>
    </w:p>
    <w:p w14:paraId="3070FFA4" w14:textId="77777777" w:rsidR="00B634D5" w:rsidRPr="00B634D5" w:rsidRDefault="00B634D5" w:rsidP="00B634D5">
      <w:pPr>
        <w:jc w:val="both"/>
      </w:pPr>
      <w:r>
        <w:t>TODO</w:t>
      </w:r>
    </w:p>
    <w:p w14:paraId="70E8583D" w14:textId="77777777" w:rsidR="00EE4362" w:rsidRDefault="00EE4362" w:rsidP="00EE4362">
      <w:pPr>
        <w:rPr>
          <w:rFonts w:eastAsia="MS Mincho"/>
        </w:rPr>
      </w:pPr>
    </w:p>
    <w:p w14:paraId="1C8E0117" w14:textId="77777777" w:rsidR="008A55B5" w:rsidRDefault="008A55B5">
      <w:pPr>
        <w:pStyle w:val="Heading5"/>
        <w:rPr>
          <w:rFonts w:eastAsia="MS Mincho"/>
        </w:rPr>
      </w:pPr>
      <w:r>
        <w:rPr>
          <w:rFonts w:eastAsia="MS Mincho"/>
        </w:rPr>
        <w:lastRenderedPageBreak/>
        <w:t>References</w:t>
      </w:r>
    </w:p>
    <w:p w14:paraId="23303887" w14:textId="77777777" w:rsidR="008A55B5" w:rsidRDefault="008A55B5">
      <w:pPr>
        <w:rPr>
          <w:rFonts w:eastAsia="MS Mincho"/>
        </w:rPr>
      </w:pPr>
    </w:p>
    <w:p w14:paraId="25B0F1F2" w14:textId="611D1140" w:rsidR="008A55B5" w:rsidRPr="00B634D5" w:rsidRDefault="00B634D5" w:rsidP="00B634D5">
      <w:pPr>
        <w:pStyle w:val="references"/>
      </w:pPr>
      <w:r w:rsidRPr="00B634D5">
        <w:t>Phillips, Sillito, and Walker, “Branching and Merging.”</w:t>
      </w:r>
    </w:p>
    <w:p w14:paraId="11FA03D8" w14:textId="77777777" w:rsidR="00B634D5" w:rsidRPr="00B634D5" w:rsidRDefault="00B634D5" w:rsidP="00B634D5">
      <w:pPr>
        <w:pStyle w:val="references"/>
      </w:pPr>
      <w:r w:rsidRPr="00B634D5">
        <w:t>Brindescu et al., “How Do Centralized and Distributed Version Control Systems Impact Software Changes?”.</w:t>
      </w:r>
    </w:p>
    <w:p w14:paraId="38B0BBFB" w14:textId="77777777" w:rsidR="00B634D5" w:rsidRPr="00B634D5" w:rsidRDefault="00B634D5" w:rsidP="00B634D5">
      <w:pPr>
        <w:pStyle w:val="references"/>
      </w:pPr>
      <w:r w:rsidRPr="00B634D5">
        <w:t>“The Commit Size Distribution of Open Source Software.”</w:t>
      </w:r>
    </w:p>
    <w:p w14:paraId="0741CCE8" w14:textId="77777777" w:rsidR="00B401DC" w:rsidRPr="00B401DC" w:rsidRDefault="00B401DC" w:rsidP="00B401DC">
      <w:pPr>
        <w:pStyle w:val="references"/>
      </w:pPr>
      <w:r w:rsidRPr="00B401DC">
        <w:t>Alali, Kagdi, and Maletic, “What’s a Typical Commit?”.</w:t>
      </w:r>
    </w:p>
    <w:p w14:paraId="547F91D4" w14:textId="69D20257" w:rsidR="00B634D5" w:rsidRDefault="00B634D5" w:rsidP="00B401DC">
      <w:pPr>
        <w:pStyle w:val="references"/>
        <w:numPr>
          <w:ilvl w:val="0"/>
          <w:numId w:val="0"/>
        </w:numPr>
      </w:pPr>
    </w:p>
    <w:p w14:paraId="3C51FDA8" w14:textId="77777777" w:rsidR="00B634D5" w:rsidRPr="00B634D5" w:rsidRDefault="00B634D5" w:rsidP="00B401DC">
      <w:pPr>
        <w:pStyle w:val="references"/>
        <w:numPr>
          <w:ilvl w:val="0"/>
          <w:numId w:val="0"/>
        </w:numPr>
      </w:pPr>
    </w:p>
    <w:p w14:paraId="538DB4F7" w14:textId="77777777" w:rsidR="00B634D5" w:rsidRDefault="00B634D5" w:rsidP="00B634D5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430A6ABE" w14:textId="77777777" w:rsidR="00B634D5" w:rsidRDefault="00B634D5" w:rsidP="00B634D5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  <w:sectPr w:rsidR="00B634D5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14:paraId="103E95B4" w14:textId="77777777" w:rsidR="008A55B5" w:rsidRDefault="008A55B5" w:rsidP="00276735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2A66F" w14:textId="77777777" w:rsidR="00211CB8" w:rsidRDefault="00211CB8" w:rsidP="009C60A1">
      <w:r>
        <w:separator/>
      </w:r>
    </w:p>
  </w:endnote>
  <w:endnote w:type="continuationSeparator" w:id="0">
    <w:p w14:paraId="39133C8B" w14:textId="77777777" w:rsidR="00211CB8" w:rsidRDefault="00211CB8" w:rsidP="009C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62747" w14:textId="77777777" w:rsidR="00211CB8" w:rsidRDefault="00211CB8" w:rsidP="009C60A1">
      <w:r>
        <w:separator/>
      </w:r>
    </w:p>
  </w:footnote>
  <w:footnote w:type="continuationSeparator" w:id="0">
    <w:p w14:paraId="1EDEE072" w14:textId="77777777" w:rsidR="00211CB8" w:rsidRDefault="00211CB8" w:rsidP="009C6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383A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5343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4724E4"/>
    <w:multiLevelType w:val="multilevel"/>
    <w:tmpl w:val="FCAE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526C7"/>
    <w:multiLevelType w:val="multilevel"/>
    <w:tmpl w:val="B2FA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ACF14F0"/>
    <w:multiLevelType w:val="multilevel"/>
    <w:tmpl w:val="F2A2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D74C3A"/>
    <w:multiLevelType w:val="multilevel"/>
    <w:tmpl w:val="FED4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>
    <w:nsid w:val="46B97243"/>
    <w:multiLevelType w:val="multilevel"/>
    <w:tmpl w:val="7FD0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A15874"/>
    <w:multiLevelType w:val="hybridMultilevel"/>
    <w:tmpl w:val="60F02C2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>
    <w:nsid w:val="5EA100F0"/>
    <w:multiLevelType w:val="multilevel"/>
    <w:tmpl w:val="5F72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27B0A"/>
    <w:multiLevelType w:val="multilevel"/>
    <w:tmpl w:val="0514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>
    <w:nsid w:val="76532A57"/>
    <w:multiLevelType w:val="hybridMultilevel"/>
    <w:tmpl w:val="2118E91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3"/>
  </w:num>
  <w:num w:numId="9">
    <w:abstractNumId w:val="17"/>
  </w:num>
  <w:num w:numId="10">
    <w:abstractNumId w:val="9"/>
  </w:num>
  <w:num w:numId="11">
    <w:abstractNumId w:val="4"/>
  </w:num>
  <w:num w:numId="12">
    <w:abstractNumId w:val="19"/>
  </w:num>
  <w:num w:numId="13">
    <w:abstractNumId w:val="0"/>
  </w:num>
  <w:num w:numId="14">
    <w:abstractNumId w:val="1"/>
  </w:num>
  <w:num w:numId="15">
    <w:abstractNumId w:val="12"/>
  </w:num>
  <w:num w:numId="16">
    <w:abstractNumId w:val="10"/>
  </w:num>
  <w:num w:numId="17">
    <w:abstractNumId w:val="18"/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6"/>
  </w:num>
  <w:num w:numId="22">
    <w:abstractNumId w:val="11"/>
  </w:num>
  <w:num w:numId="23">
    <w:abstractNumId w:val="13"/>
  </w:num>
  <w:num w:numId="24">
    <w:abstractNumId w:val="3"/>
  </w:num>
  <w:num w:numId="25">
    <w:abstractNumId w:val="15"/>
  </w:num>
  <w:num w:numId="26">
    <w:abstractNumId w:val="7"/>
  </w:num>
  <w:num w:numId="27">
    <w:abstractNumId w:val="2"/>
  </w:num>
  <w:num w:numId="28">
    <w:abstractNumId w:val="14"/>
  </w:num>
  <w:num w:numId="29">
    <w:abstractNumId w:val="10"/>
  </w:num>
  <w:num w:numId="30">
    <w:abstractNumId w:val="1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A6"/>
    <w:rsid w:val="00034339"/>
    <w:rsid w:val="0004390D"/>
    <w:rsid w:val="00072D78"/>
    <w:rsid w:val="00085168"/>
    <w:rsid w:val="000B4641"/>
    <w:rsid w:val="0010711E"/>
    <w:rsid w:val="00127EDD"/>
    <w:rsid w:val="001672AB"/>
    <w:rsid w:val="001C6979"/>
    <w:rsid w:val="001F4E22"/>
    <w:rsid w:val="00211CB8"/>
    <w:rsid w:val="00211E0E"/>
    <w:rsid w:val="00230329"/>
    <w:rsid w:val="00276735"/>
    <w:rsid w:val="002864A3"/>
    <w:rsid w:val="0028653C"/>
    <w:rsid w:val="00295340"/>
    <w:rsid w:val="002B3B81"/>
    <w:rsid w:val="00342202"/>
    <w:rsid w:val="00390482"/>
    <w:rsid w:val="003A47B5"/>
    <w:rsid w:val="003A59A6"/>
    <w:rsid w:val="003F55EF"/>
    <w:rsid w:val="004059FE"/>
    <w:rsid w:val="004445B3"/>
    <w:rsid w:val="00477034"/>
    <w:rsid w:val="005A2E55"/>
    <w:rsid w:val="005B520E"/>
    <w:rsid w:val="005B535B"/>
    <w:rsid w:val="005C07F0"/>
    <w:rsid w:val="005E1E85"/>
    <w:rsid w:val="006108A4"/>
    <w:rsid w:val="006B55B3"/>
    <w:rsid w:val="006C4648"/>
    <w:rsid w:val="0072064C"/>
    <w:rsid w:val="007442B3"/>
    <w:rsid w:val="00753F7B"/>
    <w:rsid w:val="0078398E"/>
    <w:rsid w:val="00787C5A"/>
    <w:rsid w:val="007919DE"/>
    <w:rsid w:val="007C0308"/>
    <w:rsid w:val="007E7340"/>
    <w:rsid w:val="008014D2"/>
    <w:rsid w:val="008054BC"/>
    <w:rsid w:val="008A55B5"/>
    <w:rsid w:val="008A75C8"/>
    <w:rsid w:val="0096082C"/>
    <w:rsid w:val="00964CD4"/>
    <w:rsid w:val="0097508D"/>
    <w:rsid w:val="009C60A1"/>
    <w:rsid w:val="00A268EF"/>
    <w:rsid w:val="00A510F7"/>
    <w:rsid w:val="00AC6519"/>
    <w:rsid w:val="00B251E3"/>
    <w:rsid w:val="00B401DC"/>
    <w:rsid w:val="00B54905"/>
    <w:rsid w:val="00B634D5"/>
    <w:rsid w:val="00C765F0"/>
    <w:rsid w:val="00CB1404"/>
    <w:rsid w:val="00CB66E6"/>
    <w:rsid w:val="00D9156D"/>
    <w:rsid w:val="00DA06E5"/>
    <w:rsid w:val="00E13BE9"/>
    <w:rsid w:val="00E86B52"/>
    <w:rsid w:val="00E91219"/>
    <w:rsid w:val="00EA506F"/>
    <w:rsid w:val="00EE4362"/>
    <w:rsid w:val="00EF18D7"/>
    <w:rsid w:val="00EF1E8A"/>
    <w:rsid w:val="00EF3A1A"/>
    <w:rsid w:val="00F34651"/>
    <w:rsid w:val="00F9507F"/>
    <w:rsid w:val="00FB0314"/>
    <w:rsid w:val="00FE283F"/>
    <w:rsid w:val="00F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489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6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6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6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E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E8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01D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C60A1"/>
  </w:style>
  <w:style w:type="character" w:customStyle="1" w:styleId="FootnoteTextChar">
    <w:name w:val="Footnote Text Char"/>
    <w:basedOn w:val="DefaultParagraphFont"/>
    <w:link w:val="FootnoteText"/>
    <w:uiPriority w:val="99"/>
    <w:rsid w:val="009C60A1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9C60A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6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6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6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E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E8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01D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C60A1"/>
  </w:style>
  <w:style w:type="character" w:customStyle="1" w:styleId="FootnoteTextChar">
    <w:name w:val="Footnote Text Char"/>
    <w:basedOn w:val="DefaultParagraphFont"/>
    <w:link w:val="FootnoteText"/>
    <w:uiPriority w:val="99"/>
    <w:rsid w:val="009C60A1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9C60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bit.ly/1AxFc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1002</Words>
  <Characters>5714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Sergii Shmarkatiuk</cp:lastModifiedBy>
  <cp:revision>2</cp:revision>
  <cp:lastPrinted>2014-08-11T21:43:00Z</cp:lastPrinted>
  <dcterms:created xsi:type="dcterms:W3CDTF">2014-07-30T09:14:00Z</dcterms:created>
  <dcterms:modified xsi:type="dcterms:W3CDTF">2014-08-23T18:05:00Z</dcterms:modified>
</cp:coreProperties>
</file>