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Calibri" w:cs="Calibri" w:eastAsia="Calibri" w:hAnsi="Calibri"/>
          <w:b/>
          <w:bCs/>
          <w:i w:val="false"/>
          <w:iCs w:val="false"/>
          <w:color w:val="8B6914"/>
          <w:sz w:val="16"/>
          <w:szCs w:val="16"/>
        </w:rPr>
        <w:t xml:space="preserve">HISTORY AND SOURCE MAP</w:t>
      </w:r>
    </w:p>
    <w:p>
      <w:pPr>
        <w:spacing w:after="40" w:before="0" w:line="276"/>
        <w:jc w:val="center"/>
      </w:pPr>
      <w:r>
        <w:rPr>
          <w:rFonts w:ascii="Calibri" w:cs="Calibri" w:eastAsia="Calibri" w:hAnsi="Calibri"/>
          <w:b/>
          <w:bCs/>
          <w:i w:val="false"/>
          <w:iCs w:val="false"/>
          <w:color w:val="1B365D"/>
          <w:sz w:val="40"/>
          <w:szCs w:val="40"/>
        </w:rPr>
        <w:t xml:space="preserve">Neurofeedback Practice Standards</w:t>
      </w:r>
    </w:p>
    <w:p>
      <w:pPr>
        <w:spacing w:after="200" w:before="0" w:line="276"/>
        <w:jc w:val="center"/>
      </w:pPr>
      <w:r>
        <w:rPr>
          <w:rFonts w:ascii="Calibri" w:cs="Calibri" w:eastAsia="Calibri" w:hAnsi="Calibri"/>
          <w:b w:val="false"/>
          <w:bCs w:val="false"/>
          <w:i/>
          <w:iCs/>
          <w:color w:val="2C5F6E"/>
          <w:sz w:val="20"/>
          <w:szCs w:val="20"/>
        </w:rPr>
        <w:t xml:space="preserve">What the field has published, what those documents are, and what they are not</w:t>
      </w:r>
    </w:p>
    <w:p>
      <w:pPr>
        <w:pStyle w:val="Heading1"/>
        <w:pBdr>
          <w:bottom w:val="single" w:color="1B365D" w:sz="12" w:space="4"/>
        </w:pBdr>
        <w:spacing w:after="120" w:before="280"/>
      </w:pPr>
      <w:r>
        <w:rPr>
          <w:rFonts w:ascii="Calibri" w:cs="Calibri" w:eastAsia="Calibri" w:hAnsi="Calibri"/>
          <w:b/>
          <w:bCs/>
          <w:color w:val="1B365D"/>
          <w:sz w:val="30"/>
          <w:szCs w:val="30"/>
        </w:rPr>
        <w:t xml:space="preserve">How to read this history</w:t>
      </w:r>
    </w:p>
    <w:p>
      <w:pPr>
        <w:spacing w:after="140" w:before="0" w:line="276"/>
      </w:pPr>
      <w:r>
        <w:rPr>
          <w:rFonts w:ascii="Calibri" w:cs="Calibri" w:eastAsia="Calibri" w:hAnsi="Calibri"/>
          <w:b w:val="false"/>
          <w:bCs w:val="false"/>
          <w:i w:val="false"/>
          <w:iCs w:val="false"/>
          <w:color w:val="222222"/>
          <w:sz w:val="22"/>
          <w:szCs w:val="22"/>
        </w:rPr>
        <w:t xml:space="preserve">Neurofeedback has ethics codes, practice guidelines, voluntary certification, equipment-documentation rules, device classifications, and purchaser credentialing. It does not have a single, field-wide, membership-ratified Standards of Care. Those categories are not interchangeable. The table below labels each document so later public copy cannot treat all of them as the same instrument.</w:t>
      </w:r>
    </w:p>
    <w:p>
      <w:pPr>
        <w:pStyle w:val="Heading1"/>
        <w:pBdr>
          <w:bottom w:val="single" w:color="1B365D" w:sz="12" w:space="4"/>
        </w:pBdr>
        <w:spacing w:after="120" w:before="280"/>
      </w:pPr>
      <w:r>
        <w:rPr>
          <w:rFonts w:ascii="Calibri" w:cs="Calibri" w:eastAsia="Calibri" w:hAnsi="Calibri"/>
          <w:b/>
          <w:bCs/>
          <w:color w:val="1B365D"/>
          <w:sz w:val="30"/>
          <w:szCs w:val="30"/>
        </w:rPr>
        <w:t xml:space="preserve">Chronology</w:t>
      </w:r>
    </w:p>
    <w:p>
      <w:pPr>
        <w:pStyle w:val="Heading2"/>
        <w:spacing w:after="80" w:before="220"/>
      </w:pPr>
      <w:r>
        <w:rPr>
          <w:rFonts w:ascii="Calibri" w:cs="Calibri" w:eastAsia="Calibri" w:hAnsi="Calibri"/>
          <w:b/>
          <w:bCs/>
          <w:color w:val="2C5F6E"/>
          <w:sz w:val="24"/>
          <w:szCs w:val="24"/>
        </w:rPr>
        <w:t xml:space="preserve">Certification ethics, from 1990</w:t>
      </w:r>
    </w:p>
    <w:p>
      <w:pPr>
        <w:spacing w:after="140" w:before="0" w:line="276"/>
      </w:pPr>
      <w:r>
        <w:rPr>
          <w:rFonts w:ascii="Calibri" w:cs="Calibri" w:eastAsia="Calibri" w:hAnsi="Calibri"/>
          <w:b w:val="false"/>
          <w:bCs w:val="false"/>
          <w:i w:val="false"/>
          <w:iCs w:val="false"/>
          <w:color w:val="222222"/>
          <w:sz w:val="22"/>
          <w:szCs w:val="22"/>
        </w:rPr>
        <w:t xml:space="preserve">The Biofeedback Certification International Alliance adopted Professional Standards and Ethical Principles in 1990 and has revised them repeatedly. The tenth revision was adopted on 2 May 2026. The document governs certificants and applicants. It states that certification is not a license to practice independently.</w:t>
      </w:r>
    </w:p>
    <w:p>
      <w:pPr>
        <w:pStyle w:val="Heading2"/>
        <w:spacing w:after="80" w:before="220"/>
      </w:pPr>
      <w:r>
        <w:rPr>
          <w:rFonts w:ascii="Calibri" w:cs="Calibri" w:eastAsia="Calibri" w:hAnsi="Calibri"/>
          <w:b/>
          <w:bCs/>
          <w:color w:val="2C5F6E"/>
          <w:sz w:val="24"/>
          <w:szCs w:val="24"/>
        </w:rPr>
        <w:t xml:space="preserve">Quantitative EEG used to guide training, 2004</w:t>
      </w:r>
    </w:p>
    <w:p>
      <w:pPr>
        <w:spacing w:after="140" w:before="0" w:line="276"/>
      </w:pPr>
      <w:r>
        <w:rPr>
          <w:rFonts w:ascii="Calibri" w:cs="Calibri" w:eastAsia="Calibri" w:hAnsi="Calibri"/>
          <w:b w:val="false"/>
          <w:bCs w:val="false"/>
          <w:i w:val="false"/>
          <w:iCs w:val="false"/>
          <w:color w:val="222222"/>
          <w:sz w:val="22"/>
          <w:szCs w:val="22"/>
        </w:rPr>
        <w:t xml:space="preserve">An ISNR Board-accepted position paper in 2004 addressed quantitative EEG when used to guide neurofeedback. It distinguished that use from QEEG as a medical diagnostic test and made recommendations on training, certification, equipment, and data collection. It is a QEEG paper, not a general Standard of Care.</w:t>
      </w:r>
    </w:p>
    <w:p>
      <w:pPr>
        <w:pStyle w:val="Heading2"/>
        <w:spacing w:after="80" w:before="220"/>
      </w:pPr>
      <w:r>
        <w:rPr>
          <w:rFonts w:ascii="Calibri" w:cs="Calibri" w:eastAsia="Calibri" w:hAnsi="Calibri"/>
          <w:b/>
          <w:bCs/>
          <w:color w:val="2C5F6E"/>
          <w:sz w:val="24"/>
          <w:szCs w:val="24"/>
        </w:rPr>
        <w:t xml:space="preserve">A published call for standards, 2008</w:t>
      </w:r>
    </w:p>
    <w:p>
      <w:pPr>
        <w:spacing w:after="140" w:before="0" w:line="276"/>
      </w:pPr>
      <w:r>
        <w:rPr>
          <w:rFonts w:ascii="Calibri" w:cs="Calibri" w:eastAsia="Calibri" w:hAnsi="Calibri"/>
          <w:b w:val="false"/>
          <w:bCs w:val="false"/>
          <w:i w:val="false"/>
          <w:iCs w:val="false"/>
          <w:color w:val="222222"/>
          <w:sz w:val="22"/>
          <w:szCs w:val="22"/>
        </w:rPr>
        <w:t xml:space="preserve">Hammond and Kirk (2008) documented adverse effects and argued that uneven training created a need for practice standards and licensed scope. The article is an argument in the literature, not an adopted instrument.</w:t>
      </w:r>
    </w:p>
    <w:p>
      <w:pPr>
        <w:pStyle w:val="Heading2"/>
        <w:spacing w:after="80" w:before="220"/>
      </w:pPr>
      <w:r>
        <w:rPr>
          <w:rFonts w:ascii="Calibri" w:cs="Calibri" w:eastAsia="Calibri" w:hAnsi="Calibri"/>
          <w:b/>
          <w:bCs/>
          <w:color w:val="2C5F6E"/>
          <w:sz w:val="24"/>
          <w:szCs w:val="24"/>
        </w:rPr>
        <w:t xml:space="preserve">The 2011 position paper</w:t>
      </w:r>
    </w:p>
    <w:p>
      <w:pPr>
        <w:spacing w:after="140" w:before="0" w:line="276"/>
      </w:pPr>
      <w:r>
        <w:rPr>
          <w:rFonts w:ascii="Calibri" w:cs="Calibri" w:eastAsia="Calibri" w:hAnsi="Calibri"/>
          <w:b w:val="false"/>
          <w:bCs w:val="false"/>
          <w:i w:val="false"/>
          <w:iCs w:val="false"/>
          <w:color w:val="222222"/>
          <w:sz w:val="22"/>
          <w:szCs w:val="22"/>
        </w:rPr>
        <w:t xml:space="preserve">In 2011 the Journal of Neurotherapy published “Standards of Practice for Neurofeedback and Neurotherapy,” by Hammond, Bodenhamer-Davis, Gluck, Stokes, Harper, Trudeau, MacDonald, Lunt, and Kirk (volume 15, pages 54–64). The paper was received on 1 November 2010, accepted on 3 December 2010, and published online on 26 February 2011. It states that it was accepted by the ISNR Board of Directors as a position paper of the Society.</w:t>
      </w:r>
    </w:p>
    <w:p>
      <w:pPr>
        <w:spacing w:after="140" w:before="0" w:line="276"/>
      </w:pPr>
      <w:r>
        <w:rPr>
          <w:rFonts w:ascii="Calibri" w:cs="Calibri" w:eastAsia="Calibri" w:hAnsi="Calibri"/>
          <w:b w:val="false"/>
          <w:bCs w:val="false"/>
          <w:i w:val="false"/>
          <w:iCs w:val="false"/>
          <w:color w:val="222222"/>
          <w:sz w:val="22"/>
          <w:szCs w:val="22"/>
        </w:rPr>
        <w:t xml:space="preserve">A later project memorandum dates that same digital object identifier to 16 March 2014 and treats the text as not endorsed as official Standards of Care after membership pushback over process: the draft had not been circulated and members had not been given a chance to vote. Both facts stand. The Board accepted a 2011 position paper. The Society later emphasized ethics principles and Guidelines for Practice rather than a voted Standards of Care document. It is not accurate to write that ISNR “rejected” the 2011 paper.</w:t>
      </w:r>
    </w:p>
    <w:p>
      <w:pPr>
        <w:pStyle w:val="Heading2"/>
        <w:spacing w:after="80" w:before="220"/>
      </w:pPr>
      <w:r>
        <w:rPr>
          <w:rFonts w:ascii="Calibri" w:cs="Calibri" w:eastAsia="Calibri" w:hAnsi="Calibri"/>
          <w:b/>
          <w:bCs/>
          <w:color w:val="2C5F6E"/>
          <w:sz w:val="24"/>
          <w:szCs w:val="24"/>
        </w:rPr>
        <w:t xml:space="preserve">Ethics and guidelines after 2011</w:t>
      </w:r>
    </w:p>
    <w:p>
      <w:pPr>
        <w:spacing w:after="140" w:before="0" w:line="276"/>
      </w:pPr>
      <w:r>
        <w:rPr>
          <w:rFonts w:ascii="Calibri" w:cs="Calibri" w:eastAsia="Calibri" w:hAnsi="Calibri"/>
          <w:b w:val="false"/>
          <w:bCs w:val="false"/>
          <w:i w:val="false"/>
          <w:iCs w:val="false"/>
          <w:color w:val="222222"/>
          <w:sz w:val="22"/>
          <w:szCs w:val="22"/>
        </w:rPr>
        <w:t xml:space="preserve">ISNR’s Professional Standards and Ethical Principles were modified in August 2020, with Board-ratified definitions of neuroregulation and neuromodulation on 9 August 2020. The Guidelines for Practice extend that code and state that membership and BCIA certification are voluntary. A Board-approved home and remote training toolkit followed in 2020. A “What is Neurofeedback” page was Board-ratified on 28 July 2024. Those documents are guardrails. They do not fill the empty Standards of Care cell.</w:t>
      </w:r>
    </w:p>
    <w:p>
      <w:pPr>
        <w:pStyle w:val="Heading2"/>
        <w:spacing w:after="80" w:before="220"/>
      </w:pPr>
      <w:r>
        <w:rPr>
          <w:rFonts w:ascii="Calibri" w:cs="Calibri" w:eastAsia="Calibri" w:hAnsi="Calibri"/>
          <w:b/>
          <w:bCs/>
          <w:color w:val="2C5F6E"/>
          <w:sz w:val="24"/>
          <w:szCs w:val="24"/>
        </w:rPr>
        <w:t xml:space="preserve">Association standards, equipment rules, and purchaser rules</w:t>
      </w:r>
    </w:p>
    <w:p>
      <w:pPr>
        <w:spacing w:after="140" w:before="0" w:line="276"/>
      </w:pPr>
      <w:r>
        <w:rPr>
          <w:rFonts w:ascii="Calibri" w:cs="Calibri" w:eastAsia="Calibri" w:hAnsi="Calibri"/>
          <w:b w:val="false"/>
          <w:bCs w:val="false"/>
          <w:i w:val="false"/>
          <w:iCs w:val="false"/>
          <w:color w:val="222222"/>
          <w:sz w:val="22"/>
          <w:szCs w:val="22"/>
        </w:rPr>
        <w:t xml:space="preserve">AAPB’s Standards for Performing Biofeedback (2013 committee) are written to apply to every provider of biofeedback-related services, member or not. IEEE Std 2010-2023 is a recommended practice for documenting EEG neurofeedback systems and software, not a clinical standard. U.S. device rules classify certain biofeedback and EEG equipment; they do not license practitioners. The Department of Veterans Affairs Community Care Network sets credentialing minima for network providers. Those are purchaser rules.</w:t>
      </w:r>
    </w:p>
    <w:p>
      <w:pPr>
        <w:pStyle w:val="Heading2"/>
        <w:spacing w:after="80" w:before="220"/>
      </w:pPr>
      <w:r>
        <w:rPr>
          <w:rFonts w:ascii="Calibri" w:cs="Calibri" w:eastAsia="Calibri" w:hAnsi="Calibri"/>
          <w:b/>
          <w:bCs/>
          <w:color w:val="2C5F6E"/>
          <w:sz w:val="24"/>
          <w:szCs w:val="24"/>
        </w:rPr>
        <w:t xml:space="preserve">Quantitative EEG credentials and research reporting</w:t>
      </w:r>
    </w:p>
    <w:p>
      <w:pPr>
        <w:spacing w:after="140" w:before="0" w:line="276"/>
      </w:pPr>
      <w:r>
        <w:rPr>
          <w:rFonts w:ascii="Calibri" w:cs="Calibri" w:eastAsia="Calibri" w:hAnsi="Calibri"/>
          <w:b w:val="false"/>
          <w:bCs w:val="false"/>
          <w:i w:val="false"/>
          <w:iCs w:val="false"/>
          <w:color w:val="222222"/>
          <w:sz w:val="22"/>
          <w:szCs w:val="22"/>
        </w:rPr>
        <w:t xml:space="preserve">The International QEEG Certification Board certifies at diplomate and technologist levels. In 2025 it supported two further instruments. Collura and colleagues published minimum technical requirements for clinical quantitative EEG in Clinical EEG and Neuroscience (received 7 June 2023, accepted 3 December 2024): a 19-site recording, eyes-open and eyes-closed samples, visual inspection of the whole raw tracing, and a check of automated artifacting or computer-generated maps against that tracing. An IQCB committee, dated 16 March 2025, recommended a seven-part report, a disclaimer that the report does not diagnose, and a signature by a qualified clinician. Software and artificial intelligence may help gather or summarize. They are not the interpretation. These are quantitative-EEG guidelines, not a field-wide Standard of Care for neurofeedback. CRED-nf (2020) is a consensus checklist for the design and reporting of neurofeedback experiments. It belongs with research practice, not with clinical Standards of Care.</w:t>
      </w:r>
    </w:p>
    <w:p>
      <w:pPr>
        <w:pStyle w:val="Heading1"/>
        <w:pBdr>
          <w:bottom w:val="single" w:color="1B365D" w:sz="12" w:space="4"/>
        </w:pBdr>
        <w:spacing w:after="120" w:before="280"/>
      </w:pPr>
      <w:r>
        <w:rPr>
          <w:rFonts w:ascii="Calibri" w:cs="Calibri" w:eastAsia="Calibri" w:hAnsi="Calibri"/>
          <w:b/>
          <w:bCs/>
          <w:color w:val="1B365D"/>
          <w:sz w:val="30"/>
          <w:szCs w:val="30"/>
        </w:rPr>
        <w:t xml:space="preserve">Source documents</w:t>
      </w:r>
    </w:p>
    <w:p>
      <w:pPr>
        <w:spacing w:after="140" w:before="0" w:line="276"/>
      </w:pPr>
      <w:r>
        <w:rPr>
          <w:rFonts w:ascii="Calibri" w:cs="Calibri" w:eastAsia="Calibri" w:hAnsi="Calibri"/>
          <w:b w:val="false"/>
          <w:bCs w:val="false"/>
          <w:i w:val="false"/>
          <w:iCs w:val="false"/>
          <w:color w:val="222222"/>
          <w:sz w:val="22"/>
          <w:szCs w:val="22"/>
        </w:rPr>
        <w:t xml:space="preserve">Links are given where a stable public address exists. Blank link cells are documents that live in a project file or that vary by jurisdiction.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3720"/>
        <w:gridCol w:w="3720"/>
        <w:gridCol w:w="2880"/>
      </w:tblGrid>
      <w:tr>
        <w:trPr>
          <w:tblHeader/>
        </w:trPr>
        <w:tc>
          <w:tcPr>
            <w:tcW w:type="dxa" w:w="2400"/>
            <w:tcBorders>
              <w:top w:val="single" w:color="C5CDD4" w:sz="4"/>
              <w:left w:val="single" w:color="C5CDD4" w:sz="4"/>
              <w:bottom w:val="single" w:color="C5CDD4" w:sz="4"/>
              <w:right w:val="single" w:color="C5CDD4" w:sz="4"/>
            </w:tcBorders>
            <w:shd w:fill="1B365D" w:val="clear"/>
            <w:tcMar>
              <w:top w:type="dxa" w:w="50"/>
              <w:left w:type="dxa" w:w="60"/>
              <w:bottom w:type="dxa" w:w="50"/>
              <w:right w:type="dxa" w:w="60"/>
            </w:tcMar>
            <w:vAlign w:val="top"/>
          </w:tcPr>
          <w:p>
            <w:pPr>
              <w:spacing w:after="0" w:line="230"/>
            </w:pPr>
            <w:r>
              <w:rPr>
                <w:rFonts w:ascii="Calibri" w:cs="Calibri" w:eastAsia="Calibri" w:hAnsi="Calibri"/>
                <w:b/>
                <w:bCs/>
                <w:color w:val="FFFFFF"/>
                <w:sz w:val="16"/>
                <w:szCs w:val="16"/>
              </w:rPr>
              <w:t xml:space="preserve">Source</w:t>
            </w:r>
          </w:p>
        </w:tc>
        <w:tc>
          <w:tcPr>
            <w:tcW w:type="dxa" w:w="1680"/>
            <w:tcBorders>
              <w:top w:val="single" w:color="C5CDD4" w:sz="4"/>
              <w:left w:val="single" w:color="C5CDD4" w:sz="4"/>
              <w:bottom w:val="single" w:color="C5CDD4" w:sz="4"/>
              <w:right w:val="single" w:color="C5CDD4" w:sz="4"/>
            </w:tcBorders>
            <w:shd w:fill="1B365D" w:val="clear"/>
            <w:tcMar>
              <w:top w:type="dxa" w:w="50"/>
              <w:left w:type="dxa" w:w="60"/>
              <w:bottom w:type="dxa" w:w="50"/>
              <w:right w:type="dxa" w:w="60"/>
            </w:tcMar>
            <w:vAlign w:val="top"/>
          </w:tcPr>
          <w:p>
            <w:pPr>
              <w:spacing w:after="0" w:line="230"/>
            </w:pPr>
            <w:r>
              <w:rPr>
                <w:rFonts w:ascii="Calibri" w:cs="Calibri" w:eastAsia="Calibri" w:hAnsi="Calibri"/>
                <w:b/>
                <w:bCs/>
                <w:color w:val="FFFFFF"/>
                <w:sz w:val="16"/>
                <w:szCs w:val="16"/>
              </w:rPr>
              <w:t xml:space="preserve">Type</w:t>
            </w:r>
          </w:p>
        </w:tc>
        <w:tc>
          <w:tcPr>
            <w:tcW w:type="dxa" w:w="3720"/>
            <w:tcBorders>
              <w:top w:val="single" w:color="C5CDD4" w:sz="4"/>
              <w:left w:val="single" w:color="C5CDD4" w:sz="4"/>
              <w:bottom w:val="single" w:color="C5CDD4" w:sz="4"/>
              <w:right w:val="single" w:color="C5CDD4" w:sz="4"/>
            </w:tcBorders>
            <w:shd w:fill="1B365D" w:val="clear"/>
            <w:tcMar>
              <w:top w:type="dxa" w:w="50"/>
              <w:left w:type="dxa" w:w="60"/>
              <w:bottom w:type="dxa" w:w="50"/>
              <w:right w:type="dxa" w:w="60"/>
            </w:tcMar>
            <w:vAlign w:val="top"/>
          </w:tcPr>
          <w:p>
            <w:pPr>
              <w:spacing w:after="0" w:line="230"/>
            </w:pPr>
            <w:r>
              <w:rPr>
                <w:rFonts w:ascii="Calibri" w:cs="Calibri" w:eastAsia="Calibri" w:hAnsi="Calibri"/>
                <w:b/>
                <w:bCs/>
                <w:color w:val="FFFFFF"/>
                <w:sz w:val="16"/>
                <w:szCs w:val="16"/>
              </w:rPr>
              <w:t xml:space="preserve">What it is</w:t>
            </w:r>
          </w:p>
        </w:tc>
        <w:tc>
          <w:tcPr>
            <w:tcW w:type="dxa" w:w="3720"/>
            <w:tcBorders>
              <w:top w:val="single" w:color="C5CDD4" w:sz="4"/>
              <w:left w:val="single" w:color="C5CDD4" w:sz="4"/>
              <w:bottom w:val="single" w:color="C5CDD4" w:sz="4"/>
              <w:right w:val="single" w:color="C5CDD4" w:sz="4"/>
            </w:tcBorders>
            <w:shd w:fill="1B365D" w:val="clear"/>
            <w:tcMar>
              <w:top w:type="dxa" w:w="50"/>
              <w:left w:type="dxa" w:w="60"/>
              <w:bottom w:type="dxa" w:w="50"/>
              <w:right w:type="dxa" w:w="60"/>
            </w:tcMar>
            <w:vAlign w:val="top"/>
          </w:tcPr>
          <w:p>
            <w:pPr>
              <w:spacing w:after="0" w:line="230"/>
            </w:pPr>
            <w:r>
              <w:rPr>
                <w:rFonts w:ascii="Calibri" w:cs="Calibri" w:eastAsia="Calibri" w:hAnsi="Calibri"/>
                <w:b/>
                <w:bCs/>
                <w:color w:val="FFFFFF"/>
                <w:sz w:val="16"/>
                <w:szCs w:val="16"/>
              </w:rPr>
              <w:t xml:space="preserve">What it is not</w:t>
            </w:r>
          </w:p>
        </w:tc>
        <w:tc>
          <w:tcPr>
            <w:tcW w:type="dxa" w:w="2880"/>
            <w:tcBorders>
              <w:top w:val="single" w:color="C5CDD4" w:sz="4"/>
              <w:left w:val="single" w:color="C5CDD4" w:sz="4"/>
              <w:bottom w:val="single" w:color="C5CDD4" w:sz="4"/>
              <w:right w:val="single" w:color="C5CDD4" w:sz="4"/>
            </w:tcBorders>
            <w:shd w:fill="1B365D" w:val="clear"/>
            <w:tcMar>
              <w:top w:type="dxa" w:w="50"/>
              <w:left w:type="dxa" w:w="60"/>
              <w:bottom w:type="dxa" w:w="50"/>
              <w:right w:type="dxa" w:w="60"/>
            </w:tcMar>
            <w:vAlign w:val="top"/>
          </w:tcPr>
          <w:p>
            <w:pPr>
              <w:spacing w:after="0" w:line="230"/>
            </w:pPr>
            <w:r>
              <w:rPr>
                <w:rFonts w:ascii="Calibri" w:cs="Calibri" w:eastAsia="Calibri" w:hAnsi="Calibri"/>
                <w:b/>
                <w:bCs/>
                <w:color w:val="FFFFFF"/>
                <w:sz w:val="16"/>
                <w:szCs w:val="16"/>
              </w:rPr>
              <w:t xml:space="preserve">Link</w:t>
            </w:r>
          </w:p>
        </w:tc>
      </w:tr>
      <w:tr>
        <w:tc>
          <w:tcPr>
            <w:tcW w:type="dxa" w:w="240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Hammond, D. C., and Kirk, L. (2008). First, do no harm: Adverse effects and the need for practice standards in neurofeedback. Journal of Neurotherapy, 12(1), 79–88.</w:t>
            </w:r>
          </w:p>
        </w:tc>
        <w:tc>
          <w:tcPr>
            <w:tcW w:type="dxa" w:w="16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Journal article / call for standards</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Documents adverse effects and argues that uneven training created a need for practice standards and licensed scope.</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society-adopted standard. Advocacy and argument, not an official instrument.</w:t>
            </w:r>
          </w:p>
        </w:tc>
        <w:tc>
          <w:tcPr>
            <w:tcW w:type="dxa" w:w="28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20"/>
            </w:pPr>
            <w:hyperlink w:history="1" r:id="rId2jbkzzbqn7rplv53gnbpp">
              <w:r>
                <w:rPr>
                  <w:rFonts w:ascii="Calibri" w:cs="Calibri" w:eastAsia="Calibri" w:hAnsi="Calibri"/>
                  <w:color w:val="1B4F8A"/>
                  <w:sz w:val="15"/>
                  <w:szCs w:val="15"/>
                  <w:u w:val="single"/>
                </w:rPr>
                <w:t xml:space="preserve">doi.org/10.1080/10874200802219947</w:t>
              </w:r>
            </w:hyperlink>
          </w:p>
        </w:tc>
      </w:tr>
      <w:tr>
        <w:tc>
          <w:tcPr>
            <w:tcW w:type="dxa" w:w="240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Hammond, Walker, Hoffman, Lubar, Trudeau, Gurnee, and Horvat (2004). Journal of Neurotherapy, 8(1), 5–27.</w:t>
            </w:r>
          </w:p>
        </w:tc>
        <w:tc>
          <w:tcPr>
            <w:tcW w:type="dxa" w:w="16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ISNR Board position paper (QEEG)</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Board-accepted recommendations on training, certification, equipment, and data collection when quantitative EEG is used to guide neurofeedback rather than to make a medical diagnosis.</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general Standard of Care for neurofeedback. Twenty-two years old; literature claims in the paper should be dated, not recycled as current evidence.</w:t>
            </w:r>
          </w:p>
        </w:tc>
        <w:tc>
          <w:tcPr>
            <w:tcW w:type="dxa" w:w="28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20"/>
            </w:pPr>
            <w:hyperlink w:history="1" r:id="rIdjecjemkpjzsx69wi-9x3l">
              <w:r>
                <w:rPr>
                  <w:rFonts w:ascii="Calibri" w:cs="Calibri" w:eastAsia="Calibri" w:hAnsi="Calibri"/>
                  <w:color w:val="1B4F8A"/>
                  <w:sz w:val="15"/>
                  <w:szCs w:val="15"/>
                  <w:u w:val="single"/>
                </w:rPr>
                <w:t xml:space="preserve">doi.org/10.1300/J184v08n01_02</w:t>
              </w:r>
            </w:hyperlink>
          </w:p>
        </w:tc>
      </w:tr>
      <w:tr>
        <w:tc>
          <w:tcPr>
            <w:tcW w:type="dxa" w:w="240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Hammond, Bodenhamer-Davis, Gluck, Stokes, Harper, Trudeau, MacDonald, Lunt, and Kirk (2011). Journal of Neurotherapy, 15(1), 54–64. Received 1 Nov 2010; published online 26 Feb 2011.</w:t>
            </w:r>
          </w:p>
        </w:tc>
        <w:tc>
          <w:tcPr>
            <w:tcW w:type="dxa" w:w="16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ISNR Board position paper</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Committee product accepted by the ISNR Board as a position paper on standards and guidelines. Covers competence, scope, consent, assessment, remote training, records, coaching, advertising, societies, and equipment sales.</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membership-ratified Standard of Care. Not the language of the current ISNR Guidelines for Practice page. Do not date this paper to 16 March 2014.</w:t>
            </w:r>
          </w:p>
        </w:tc>
        <w:tc>
          <w:tcPr>
            <w:tcW w:type="dxa" w:w="28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30" w:line="220"/>
            </w:pPr>
            <w:hyperlink w:history="1" r:id="rId1qqwwr0_ch3pa9kmtmbpu">
              <w:r>
                <w:rPr>
                  <w:rFonts w:ascii="Calibri" w:cs="Calibri" w:eastAsia="Calibri" w:hAnsi="Calibri"/>
                  <w:color w:val="1B4F8A"/>
                  <w:sz w:val="15"/>
                  <w:szCs w:val="15"/>
                  <w:u w:val="single"/>
                </w:rPr>
                <w:t xml:space="preserve">doi.org/10.1080/10874208.2010.545760</w:t>
              </w:r>
            </w:hyperlink>
          </w:p>
          <w:p>
            <w:pPr>
              <w:spacing w:after="0" w:line="220"/>
            </w:pPr>
            <w:hyperlink w:history="1" r:id="rIdhblt_9tj7cheqwchmlo49">
              <w:r>
                <w:rPr>
                  <w:rFonts w:ascii="Calibri" w:cs="Calibri" w:eastAsia="Calibri" w:hAnsi="Calibri"/>
                  <w:color w:val="1B4F8A"/>
                  <w:sz w:val="15"/>
                  <w:szCs w:val="15"/>
                  <w:u w:val="single"/>
                </w:rPr>
                <w:t xml:space="preserve">Taylor &amp; Francis page</w:t>
              </w:r>
            </w:hyperlink>
          </w:p>
        </w:tc>
      </w:tr>
      <w:tr>
        <w:tc>
          <w:tcPr>
            <w:tcW w:type="dxa" w:w="240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ISNR Professional Standards and Ethical Principles (PSEP), modified August 2020. Definitions ratified 9 August 2020 (neuroregulation, neuromodulation; neurofeedback definition originally 10 January 2009).</w:t>
            </w:r>
          </w:p>
        </w:tc>
        <w:tc>
          <w:tcPr>
            <w:tcW w:type="dxa" w:w="16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Ethics code</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Binding on ISNR members, applicants, staff, and agents. Defines neurofeedback, biofeedback, neuroregulation, and neuromodulation. Violation may lead to loss of membership.</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Standard of Care. Applies to members and agents, not to every unlicensed or non-member provider.</w:t>
            </w:r>
          </w:p>
        </w:tc>
        <w:tc>
          <w:tcPr>
            <w:tcW w:type="dxa" w:w="28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20"/>
            </w:pPr>
            <w:hyperlink w:history="1" r:id="rIdxduwc30n9bq7it-idm4gg">
              <w:r>
                <w:rPr>
                  <w:rFonts w:ascii="Calibri" w:cs="Calibri" w:eastAsia="Calibri" w:hAnsi="Calibri"/>
                  <w:color w:val="1B4F8A"/>
                  <w:sz w:val="15"/>
                  <w:szCs w:val="15"/>
                  <w:u w:val="single"/>
                </w:rPr>
                <w:t xml:space="preserve">isnr.org/isnr-code-of-ethics</w:t>
              </w:r>
            </w:hyperlink>
          </w:p>
        </w:tc>
      </w:tr>
      <w:tr>
        <w:tc>
          <w:tcPr>
            <w:tcW w:type="dxa" w:w="240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ISNR Guidelines for Practice</w:t>
            </w:r>
          </w:p>
        </w:tc>
        <w:tc>
          <w:tcPr>
            <w:tcW w:type="dxa" w:w="16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Practice guidelines</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Public-facing methods reference and an extension of the ethics code. States that ISNR membership and BCIA certification are voluntary. Covers consent, assessment including a pre-training EEG, coaching, hygiene, equipment, and remote training.</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replacement for Standards of Care. The live page does not print an adoption date.</w:t>
            </w:r>
          </w:p>
        </w:tc>
        <w:tc>
          <w:tcPr>
            <w:tcW w:type="dxa" w:w="28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20"/>
            </w:pPr>
            <w:hyperlink w:history="1" r:id="rIdvpksgznz468nc0wcxij_0">
              <w:r>
                <w:rPr>
                  <w:rFonts w:ascii="Calibri" w:cs="Calibri" w:eastAsia="Calibri" w:hAnsi="Calibri"/>
                  <w:color w:val="1B4F8A"/>
                  <w:sz w:val="15"/>
                  <w:szCs w:val="15"/>
                  <w:u w:val="single"/>
                </w:rPr>
                <w:t xml:space="preserve">isnr.org/guidelines-for-practice</w:t>
              </w:r>
            </w:hyperlink>
          </w:p>
        </w:tc>
      </w:tr>
      <w:tr>
        <w:tc>
          <w:tcPr>
            <w:tcW w:type="dxa" w:w="240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ISNR “What is Neurofeedback” / practice-guidelines page, Board-ratified 28 July 2024</w:t>
            </w:r>
          </w:p>
        </w:tc>
        <w:tc>
          <w:tcPr>
            <w:tcW w:type="dxa" w:w="16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Board-ratified society page</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Current ISNR public definition and practice-guidance page, including equipment-sales language and licensed / unlicensed practice categories.</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membership-ratified Standard of Care. Category language on the page should be quoted carefully if reused.</w:t>
            </w:r>
          </w:p>
        </w:tc>
        <w:tc>
          <w:tcPr>
            <w:tcW w:type="dxa" w:w="28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20"/>
            </w:pPr>
            <w:hyperlink w:history="1" r:id="rIdxn1ausowr3vsynldndcs5">
              <w:r>
                <w:rPr>
                  <w:rFonts w:ascii="Calibri" w:cs="Calibri" w:eastAsia="Calibri" w:hAnsi="Calibri"/>
                  <w:color w:val="1B4F8A"/>
                  <w:sz w:val="15"/>
                  <w:szCs w:val="15"/>
                  <w:u w:val="single"/>
                </w:rPr>
                <w:t xml:space="preserve">isnr.org/what-is-neurofeedback</w:t>
              </w:r>
            </w:hyperlink>
          </w:p>
        </w:tc>
      </w:tr>
      <w:tr>
        <w:tc>
          <w:tcPr>
            <w:tcW w:type="dxa" w:w="240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ISNR Home / Remote Training Best Practices (document dated 15 September 2020)</w:t>
            </w:r>
          </w:p>
        </w:tc>
        <w:tc>
          <w:tcPr>
            <w:tcW w:type="dxa" w:w="16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Board-approved toolkit</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Methodological, clinical, technical, and legal considerations for home and remote neurofeedback.</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general Standard of Care. Narrow scope.</w:t>
            </w:r>
          </w:p>
        </w:tc>
        <w:tc>
          <w:tcPr>
            <w:tcW w:type="dxa" w:w="28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20"/>
            </w:pPr>
            <w:hyperlink w:history="1" r:id="rIdyssaeojbznh28hkyzpoq1">
              <w:r>
                <w:rPr>
                  <w:rFonts w:ascii="Calibri" w:cs="Calibri" w:eastAsia="Calibri" w:hAnsi="Calibri"/>
                  <w:color w:val="1B4F8A"/>
                  <w:sz w:val="15"/>
                  <w:szCs w:val="15"/>
                  <w:u w:val="single"/>
                </w:rPr>
                <w:t xml:space="preserve">ISNR resources page</w:t>
              </w:r>
            </w:hyperlink>
          </w:p>
        </w:tc>
      </w:tr>
      <w:tr>
        <w:tc>
          <w:tcPr>
            <w:tcW w:type="dxa" w:w="240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BCIA Professional Standards and Ethical Principles of Biofeedback, 10th revision, adopted 2 May 2026 (original 26 August 1990; 9th revision 2 May 2016).</w:t>
            </w:r>
          </w:p>
        </w:tc>
        <w:tc>
          <w:tcPr>
            <w:tcW w:type="dxa" w:w="16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Certification ethics</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Living ethics document for BCIA certificants and applicants, used beside the ethics of the primary profession and state law. States that certification is not a license to practice independently. Written consent required for assessment, treatment, and experimental applications.</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field-wide Standard of Care. Not a substitute for a state license.</w:t>
            </w:r>
          </w:p>
        </w:tc>
        <w:tc>
          <w:tcPr>
            <w:tcW w:type="dxa" w:w="28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30" w:line="220"/>
            </w:pPr>
            <w:hyperlink w:history="1" r:id="rIdrpdwz-rtnvb-yxumv9uvn">
              <w:r>
                <w:rPr>
                  <w:rFonts w:ascii="Calibri" w:cs="Calibri" w:eastAsia="Calibri" w:hAnsi="Calibri"/>
                  <w:color w:val="1B4F8A"/>
                  <w:sz w:val="15"/>
                  <w:szCs w:val="15"/>
                  <w:u w:val="single"/>
                </w:rPr>
                <w:t xml:space="preserve">PSEP PDF</w:t>
              </w:r>
            </w:hyperlink>
          </w:p>
          <w:p>
            <w:pPr>
              <w:spacing w:after="0" w:line="220"/>
            </w:pPr>
            <w:hyperlink w:history="1" r:id="rIdpywt4bnaxzuegspmvxkvr">
              <w:r>
                <w:rPr>
                  <w:rFonts w:ascii="Calibri" w:cs="Calibri" w:eastAsia="Calibri" w:hAnsi="Calibri"/>
                  <w:color w:val="1B4F8A"/>
                  <w:sz w:val="15"/>
                  <w:szCs w:val="15"/>
                  <w:u w:val="single"/>
                </w:rPr>
                <w:t xml:space="preserve">BCIA PSEP page</w:t>
              </w:r>
            </w:hyperlink>
          </w:p>
        </w:tc>
      </w:tr>
      <w:tr>
        <w:tc>
          <w:tcPr>
            <w:tcW w:type="dxa" w:w="240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BCIA Neurofeedback entry-level certification (BCN), Blueprint of Knowledge, and mentoring requirements</w:t>
            </w:r>
          </w:p>
        </w:tc>
        <w:tc>
          <w:tcPr>
            <w:tcW w:type="dxa" w:w="16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Voluntary certification standard</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36-hour didactic blueprint; separate neuroanatomy course; 25 mentor hours covering 10 personal sessions, 100 client sessions, and 10 case presentations; examination; four-year recertification with continuing education including ethics. Pathways distinguish licensed, performance, and technician designations.</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license. Not legally required to practice. Does not enlarge statutory scope.</w:t>
            </w:r>
          </w:p>
        </w:tc>
        <w:tc>
          <w:tcPr>
            <w:tcW w:type="dxa" w:w="28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20"/>
            </w:pPr>
            <w:hyperlink w:history="1" r:id="rIdnksskkybeowmdksfpizqb">
              <w:r>
                <w:rPr>
                  <w:rFonts w:ascii="Calibri" w:cs="Calibri" w:eastAsia="Calibri" w:hAnsi="Calibri"/>
                  <w:color w:val="1B4F8A"/>
                  <w:sz w:val="15"/>
                  <w:szCs w:val="15"/>
                  <w:u w:val="single"/>
                </w:rPr>
                <w:t xml:space="preserve">bcia.org/nf-entry-level</w:t>
              </w:r>
            </w:hyperlink>
          </w:p>
        </w:tc>
      </w:tr>
      <w:tr>
        <w:tc>
          <w:tcPr>
            <w:tcW w:type="dxa" w:w="240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AAPB Standards Committee (2013; Richard Sherman, chair). Standards for Performing Biofeedback.</w:t>
            </w:r>
          </w:p>
        </w:tc>
        <w:tc>
          <w:tcPr>
            <w:tcW w:type="dxa" w:w="16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Association standards intended for all providers</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AAPB intends these to apply to every provider of biofeedback-related services, member or not. Urges BCIA certification. States it is neither ethical nor appropriate to identify as a “biofeedback therapist.” Technician work requires on-site supervision.</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statute. Not a neurofeedback-only Standard of Care.</w:t>
            </w:r>
          </w:p>
        </w:tc>
        <w:tc>
          <w:tcPr>
            <w:tcW w:type="dxa" w:w="28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20"/>
            </w:pPr>
            <w:hyperlink w:history="1" r:id="rIdjy5qmvy_zqjpnudgjapmx">
              <w:r>
                <w:rPr>
                  <w:rFonts w:ascii="Calibri" w:cs="Calibri" w:eastAsia="Calibri" w:hAnsi="Calibri"/>
                  <w:color w:val="1B4F8A"/>
                  <w:sz w:val="15"/>
                  <w:szCs w:val="15"/>
                  <w:u w:val="single"/>
                </w:rPr>
                <w:t xml:space="preserve">aapb.org/Standards_for_Performing_Biofeedback</w:t>
              </w:r>
            </w:hyperlink>
          </w:p>
        </w:tc>
      </w:tr>
      <w:tr>
        <w:tc>
          <w:tcPr>
            <w:tcW w:type="dxa" w:w="240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AAPB Code of Ethics (page dated 2 December 2016)</w:t>
            </w:r>
          </w:p>
        </w:tc>
        <w:tc>
          <w:tcPr>
            <w:tcW w:type="dxa" w:w="16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Ethics code</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Member ethics: autonomy, non-maleficence, beneficence, justice, fidelity, veracity. Written consent required for non-validated procedures.</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neurofeedback Standard of Care. Applies to AAPB members.</w:t>
            </w:r>
          </w:p>
        </w:tc>
        <w:tc>
          <w:tcPr>
            <w:tcW w:type="dxa" w:w="28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20"/>
            </w:pPr>
            <w:hyperlink w:history="1" r:id="rIdvjpkfv0mabhyvahgetqge">
              <w:r>
                <w:rPr>
                  <w:rFonts w:ascii="Calibri" w:cs="Calibri" w:eastAsia="Calibri" w:hAnsi="Calibri"/>
                  <w:color w:val="1B4F8A"/>
                  <w:sz w:val="15"/>
                  <w:szCs w:val="15"/>
                  <w:u w:val="single"/>
                </w:rPr>
                <w:t xml:space="preserve">aapb.org/Code_of_Ethics</w:t>
              </w:r>
            </w:hyperlink>
          </w:p>
        </w:tc>
      </w:tr>
      <w:tr>
        <w:tc>
          <w:tcPr>
            <w:tcW w:type="dxa" w:w="240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AAPB and ISNR. Evidence-Based Practice in Biofeedback and Neurofeedback, 4th edition (2023).</w:t>
            </w:r>
          </w:p>
        </w:tc>
        <w:tc>
          <w:tcPr>
            <w:tcW w:type="dxa" w:w="16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Condition-by-condition efficacy ratings</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Field-internal ratings on a 1–5 scale derived from the 2002 LaVaque task force. Ratings vary by condition and modality.</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practice Standard of Care. Not a substitute for external systematic reviews. Do not headline condition ratings as universal medical consensus.</w:t>
            </w:r>
          </w:p>
        </w:tc>
        <w:tc>
          <w:tcPr>
            <w:tcW w:type="dxa" w:w="28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20"/>
            </w:pPr>
            <w:hyperlink w:history="1" r:id="rIdq7mdsb3ypd1lkasjdjdao">
              <w:r>
                <w:rPr>
                  <w:rFonts w:ascii="Calibri" w:cs="Calibri" w:eastAsia="Calibri" w:hAnsi="Calibri"/>
                  <w:color w:val="1B4F8A"/>
                  <w:sz w:val="15"/>
                  <w:szCs w:val="15"/>
                  <w:u w:val="single"/>
                </w:rPr>
                <w:t xml:space="preserve">AAPB publications</w:t>
              </w:r>
            </w:hyperlink>
          </w:p>
        </w:tc>
      </w:tr>
      <w:tr>
        <w:tc>
          <w:tcPr>
            <w:tcW w:type="dxa" w:w="240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IEEE Std 2010-2023. Recommended Practice for Electroencephalography (EEG) Neurofeedback Systems. Published 11 July 2023; supersedes 2010-2012.</w:t>
            </w:r>
          </w:p>
        </w:tc>
        <w:tc>
          <w:tcPr>
            <w:tcW w:type="dxa" w:w="16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Equipment / documentation standard</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Minimum documentation so conforming EEG neurofeedback systems and software give users clear, quality information. Recognized in FDA consensus-standard lists for certain device categories.</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clinical Standard of Care for practitioners.</w:t>
            </w:r>
          </w:p>
        </w:tc>
        <w:tc>
          <w:tcPr>
            <w:tcW w:type="dxa" w:w="28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30" w:line="220"/>
            </w:pPr>
            <w:hyperlink w:history="1" r:id="rIdmwicgxupdpyi_upct0eay">
              <w:r>
                <w:rPr>
                  <w:rFonts w:ascii="Calibri" w:cs="Calibri" w:eastAsia="Calibri" w:hAnsi="Calibri"/>
                  <w:color w:val="1B4F8A"/>
                  <w:sz w:val="15"/>
                  <w:szCs w:val="15"/>
                  <w:u w:val="single"/>
                </w:rPr>
                <w:t xml:space="preserve">doi.org/10.1109/IEEESTD.2023.10186304</w:t>
              </w:r>
            </w:hyperlink>
          </w:p>
          <w:p>
            <w:pPr>
              <w:spacing w:after="0" w:line="220"/>
            </w:pPr>
            <w:hyperlink w:history="1" r:id="rIdcvf3l3uzysw49pqsx7lbi">
              <w:r>
                <w:rPr>
                  <w:rFonts w:ascii="Calibri" w:cs="Calibri" w:eastAsia="Calibri" w:hAnsi="Calibri"/>
                  <w:color w:val="1B4F8A"/>
                  <w:sz w:val="15"/>
                  <w:szCs w:val="15"/>
                  <w:u w:val="single"/>
                </w:rPr>
                <w:t xml:space="preserve">IEEE SA page</w:t>
              </w:r>
            </w:hyperlink>
          </w:p>
        </w:tc>
      </w:tr>
      <w:tr>
        <w:tc>
          <w:tcPr>
            <w:tcW w:type="dxa" w:w="240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U.S. Food and Drug Administration. 21 CFR 882.5050 (biofeedback device) and 21 CFR 882.1400 (electroencephalograph).</w:t>
            </w:r>
          </w:p>
        </w:tc>
        <w:tc>
          <w:tcPr>
            <w:tcW w:type="dxa" w:w="16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U.S. device regulation</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Classifies certain biofeedback and EEG devices. Many biofeedback devices are Class II; some are 510(k)-exempt when prescription and indicated for relaxation training and muscle reeducation.</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practitioner Standard of Care. Does not authorize an unlicensed person to treat a diagnosed condition. Device listing is not approval to treat a named psychiatric diagnosis.</w:t>
            </w:r>
          </w:p>
        </w:tc>
        <w:tc>
          <w:tcPr>
            <w:tcW w:type="dxa" w:w="28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20"/>
            </w:pPr>
            <w:hyperlink w:history="1" r:id="rIdk2vanbma5cmhh8sli22tl">
              <w:r>
                <w:rPr>
                  <w:rFonts w:ascii="Calibri" w:cs="Calibri" w:eastAsia="Calibri" w:hAnsi="Calibri"/>
                  <w:color w:val="1B4F8A"/>
                  <w:sz w:val="15"/>
                  <w:szCs w:val="15"/>
                  <w:u w:val="single"/>
                </w:rPr>
                <w:t xml:space="preserve">21 CFR 882.5050</w:t>
              </w:r>
            </w:hyperlink>
          </w:p>
        </w:tc>
      </w:tr>
      <w:tr>
        <w:tc>
          <w:tcPr>
            <w:tcW w:type="dxa" w:w="240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International QEEG Certification Board. Certification levels QEEG-DL, QEEG-D, and QEEG-T.</w:t>
            </w:r>
          </w:p>
        </w:tc>
        <w:tc>
          <w:tcPr>
            <w:tcW w:type="dxa" w:w="16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Voluntary QEEG credential</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Board certification in quantitative EEG, with separate technologist and diplomate tracks. Recertification every three years.</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medical license. Not neurofeedback certification. Not a general Standard of Care.</w:t>
            </w:r>
          </w:p>
        </w:tc>
        <w:tc>
          <w:tcPr>
            <w:tcW w:type="dxa" w:w="28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20"/>
            </w:pPr>
            <w:hyperlink w:history="1" r:id="rId95ozboxbvogmfvup47too">
              <w:r>
                <w:rPr>
                  <w:rFonts w:ascii="Calibri" w:cs="Calibri" w:eastAsia="Calibri" w:hAnsi="Calibri"/>
                  <w:color w:val="1B4F8A"/>
                  <w:sz w:val="15"/>
                  <w:szCs w:val="15"/>
                  <w:u w:val="single"/>
                </w:rPr>
                <w:t xml:space="preserve">qeegcertificationboard.org</w:t>
              </w:r>
            </w:hyperlink>
          </w:p>
        </w:tc>
      </w:tr>
      <w:tr>
        <w:tc>
          <w:tcPr>
            <w:tcW w:type="dxa" w:w="240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Collura and colleagues (2025). IQCB Guideline: Minimum Technical Requirements for Performing Clinical Quantitative Electroencephalography. Clinical EEG and Neuroscience, 56(5), 391–399.</w:t>
            </w:r>
          </w:p>
        </w:tc>
        <w:tc>
          <w:tcPr>
            <w:tcW w:type="dxa" w:w="16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QEEG technical guideline</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IQCB-supported minimum for clinical QEEG. A 19-site 10-20 recording, about ten minutes eyes open and ten minutes eyes closed, then visual inspection of the whole raw tracing. Quantification uses about two to five minutes of artifact-free data in each condition. Automated artifact rejection, source imaging, and discriminant functions may assist. They do not replace inspection of the original traces. Intended for practicum submissions, intakes, baselines, and comparative use.</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general neurofeedback Standard of Care. QEEG-specific.</w:t>
            </w:r>
          </w:p>
        </w:tc>
        <w:tc>
          <w:tcPr>
            <w:tcW w:type="dxa" w:w="28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20"/>
            </w:pPr>
            <w:hyperlink w:history="1" r:id="rIdac2riwtlrjwh3kxp85ugy">
              <w:r>
                <w:rPr>
                  <w:rFonts w:ascii="Calibri" w:cs="Calibri" w:eastAsia="Calibri" w:hAnsi="Calibri"/>
                  <w:color w:val="1B4F8A"/>
                  <w:sz w:val="15"/>
                  <w:szCs w:val="15"/>
                  <w:u w:val="single"/>
                </w:rPr>
                <w:t xml:space="preserve">doi.org/10.1177/15500594241308654</w:t>
              </w:r>
            </w:hyperlink>
          </w:p>
        </w:tc>
      </w:tr>
      <w:tr>
        <w:tc>
          <w:tcPr>
            <w:tcW w:type="dxa" w:w="240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IQCB Recommended Guidelines for QEEG Report Writing (16 March 2025).</w:t>
            </w:r>
          </w:p>
        </w:tc>
        <w:tc>
          <w:tcPr>
            <w:tcW w:type="dxa" w:w="16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QEEG report-writing guidance</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IQCB committee guidance of 16 March 2025. Seven sections: clinician identity, client information, technical methods, surface EEG observations, quantitative findings, summary and recommendations within scope, and appendices. The report carries a disclaimer that it does not diagnose. A qualified clinician (QEEG-D or QEEG-DL) reviews and signs it. AI may help gather or summarize. It is not the interpretation, and it does not replace artifact review or clinical correlation.</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general neurofeedback Standard of Care.</w:t>
            </w:r>
          </w:p>
        </w:tc>
        <w:tc>
          <w:tcPr>
            <w:tcW w:type="dxa" w:w="28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20"/>
            </w:pPr>
            <w:hyperlink w:history="1" r:id="rIdtg99rrrp3dqtywrpoitag">
              <w:r>
                <w:rPr>
                  <w:rFonts w:ascii="Calibri" w:cs="Calibri" w:eastAsia="Calibri" w:hAnsi="Calibri"/>
                  <w:color w:val="1B4F8A"/>
                  <w:sz w:val="15"/>
                  <w:szCs w:val="15"/>
                  <w:u w:val="single"/>
                </w:rPr>
                <w:t xml:space="preserve">Report-writing PDF</w:t>
              </w:r>
            </w:hyperlink>
          </w:p>
        </w:tc>
      </w:tr>
      <w:tr>
        <w:tc>
          <w:tcPr>
            <w:tcW w:type="dxa" w:w="240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American Clinical Neurophysiology Society. Guideline 1 (2016). Minimum Technical Requirements for Performing Clinical EEG. Journal of Clinical Neurophysiology, 33(4), 303–307.</w:t>
            </w:r>
          </w:p>
        </w:tc>
        <w:tc>
          <w:tcPr>
            <w:tcW w:type="dxa" w:w="16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Clinical EEG technical guideline</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Minimum technical conditions for clinical EEG recording. Later quantitative-EEG technical guidance builds on this baseline.</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neurofeedback practice standard.</w:t>
            </w:r>
          </w:p>
        </w:tc>
        <w:tc>
          <w:tcPr>
            <w:tcW w:type="dxa" w:w="28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30" w:line="220"/>
            </w:pPr>
            <w:hyperlink w:history="1" r:id="rIdnj9mnue2rogha9s6xucpn">
              <w:r>
                <w:rPr>
                  <w:rFonts w:ascii="Calibri" w:cs="Calibri" w:eastAsia="Calibri" w:hAnsi="Calibri"/>
                  <w:color w:val="1B4F8A"/>
                  <w:sz w:val="15"/>
                  <w:szCs w:val="15"/>
                  <w:u w:val="single"/>
                </w:rPr>
                <w:t xml:space="preserve">doi.org/10.1097/WNP.0000000000000308</w:t>
              </w:r>
            </w:hyperlink>
          </w:p>
          <w:p>
            <w:pPr>
              <w:spacing w:after="0" w:line="220"/>
            </w:pPr>
            <w:hyperlink w:history="1" r:id="rIdsvssbjzpnspignxzmgugj">
              <w:r>
                <w:rPr>
                  <w:rFonts w:ascii="Calibri" w:cs="Calibri" w:eastAsia="Calibri" w:hAnsi="Calibri"/>
                  <w:color w:val="1B4F8A"/>
                  <w:sz w:val="15"/>
                  <w:szCs w:val="15"/>
                  <w:u w:val="single"/>
                </w:rPr>
                <w:t xml:space="preserve">ACNS guidelines</w:t>
              </w:r>
            </w:hyperlink>
          </w:p>
        </w:tc>
      </w:tr>
      <w:tr>
        <w:tc>
          <w:tcPr>
            <w:tcW w:type="dxa" w:w="240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AAPB, BCIA, and ISNR Task Force on Nomenclature (2008). Joint definition of biofeedback.</w:t>
            </w:r>
          </w:p>
        </w:tc>
        <w:tc>
          <w:tcPr>
            <w:tcW w:type="dxa" w:w="16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Nomenclature consensus</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Shared definition of biofeedback used across the three organizations and later reproduced in association and purchaser documents.</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practice standard.</w:t>
            </w:r>
          </w:p>
        </w:tc>
        <w:tc>
          <w:tcPr>
            <w:tcW w:type="dxa" w:w="28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20"/>
            </w:pPr>
            <w:hyperlink w:history="1" r:id="rId-83el4_llqddr1ig2ylu0">
              <w:r>
                <w:rPr>
                  <w:rFonts w:ascii="Calibri" w:cs="Calibri" w:eastAsia="Calibri" w:hAnsi="Calibri"/>
                  <w:color w:val="1B4F8A"/>
                  <w:sz w:val="15"/>
                  <w:szCs w:val="15"/>
                  <w:u w:val="single"/>
                </w:rPr>
                <w:t xml:space="preserve">Quoted on AAPB Standards page</w:t>
              </w:r>
            </w:hyperlink>
          </w:p>
        </w:tc>
      </w:tr>
      <w:tr>
        <w:tc>
          <w:tcPr>
            <w:tcW w:type="dxa" w:w="240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Ros, Enriquez-Geppert, Zotev, and colleagues (2020). Consensus on the reporting and experimental design of clinical and cognitive-behavioural neurofeedback studies (CRED-nf checklist). Brain, 143(6), 1674–1685.</w:t>
            </w:r>
          </w:p>
        </w:tc>
        <w:tc>
          <w:tcPr>
            <w:tcW w:type="dxa" w:w="16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Research reporting consensus</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Consensus checklist to improve experimental design and reporting of neurofeedback studies. Intended as a complement to CONSORT.</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clinical Standard of Care. Relevant to the research half of a dual clinical/research standards project.</w:t>
            </w:r>
          </w:p>
        </w:tc>
        <w:tc>
          <w:tcPr>
            <w:tcW w:type="dxa" w:w="28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30" w:line="220"/>
            </w:pPr>
            <w:hyperlink w:history="1" r:id="rIdquo0hgiwg9zazmskgnuln">
              <w:r>
                <w:rPr>
                  <w:rFonts w:ascii="Calibri" w:cs="Calibri" w:eastAsia="Calibri" w:hAnsi="Calibri"/>
                  <w:color w:val="1B4F8A"/>
                  <w:sz w:val="15"/>
                  <w:szCs w:val="15"/>
                  <w:u w:val="single"/>
                </w:rPr>
                <w:t xml:space="preserve">doi.org/10.1093/brain/awaa009</w:t>
              </w:r>
            </w:hyperlink>
          </w:p>
          <w:p>
            <w:pPr>
              <w:spacing w:after="0" w:line="220"/>
            </w:pPr>
            <w:hyperlink w:history="1" r:id="rIdmz--cxldtxn7mx92uea1-">
              <w:r>
                <w:rPr>
                  <w:rFonts w:ascii="Calibri" w:cs="Calibri" w:eastAsia="Calibri" w:hAnsi="Calibri"/>
                  <w:color w:val="1B4F8A"/>
                  <w:sz w:val="15"/>
                  <w:szCs w:val="15"/>
                  <w:u w:val="single"/>
                </w:rPr>
                <w:t xml:space="preserve">CRED-nf tool</w:t>
              </w:r>
            </w:hyperlink>
          </w:p>
        </w:tc>
      </w:tr>
      <w:tr>
        <w:tc>
          <w:tcPr>
            <w:tcW w:type="dxa" w:w="240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U.S. Department of Veterans Affairs. Guidance on standards for Community Care Network providers of biofeedback / neurofeedback.</w:t>
            </w:r>
          </w:p>
        </w:tc>
        <w:tc>
          <w:tcPr>
            <w:tcW w:type="dxa" w:w="16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Payer / network credentialing</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Requires an independent license plus specified didactic and supervised-hour minima (or listed attestations) for neurofeedback and related modalities used in the VA network.</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field-wide Standard of Care. A purchaser rule for one system.</w:t>
            </w:r>
          </w:p>
        </w:tc>
        <w:tc>
          <w:tcPr>
            <w:tcW w:type="dxa" w:w="28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20"/>
            </w:pPr>
            <w:hyperlink w:history="1" r:id="rIdvkvqxblil61k_mccailqm">
              <w:r>
                <w:rPr>
                  <w:rFonts w:ascii="Calibri" w:cs="Calibri" w:eastAsia="Calibri" w:hAnsi="Calibri"/>
                  <w:color w:val="1B4F8A"/>
                  <w:sz w:val="15"/>
                  <w:szCs w:val="15"/>
                  <w:u w:val="single"/>
                </w:rPr>
                <w:t xml:space="preserve">VA CCN guidance</w:t>
              </w:r>
            </w:hyperlink>
          </w:p>
        </w:tc>
      </w:tr>
      <w:tr>
        <w:tc>
          <w:tcPr>
            <w:tcW w:type="dxa" w:w="240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BrainFutures (2020/21). Neurofeedback: An Efficacious Treatment for Behavioral Health.</w:t>
            </w:r>
          </w:p>
        </w:tc>
        <w:tc>
          <w:tcPr>
            <w:tcW w:type="dxa" w:w="16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Advocacy evidence review</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Makes a policy case for neurofeedback in ADHD and anxiety and issues recommendations.</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practice standard. Do not import “first-line treatment” language into a standards document.</w:t>
            </w:r>
          </w:p>
        </w:tc>
        <w:tc>
          <w:tcPr>
            <w:tcW w:type="dxa" w:w="28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20"/>
            </w:pPr>
            <w:hyperlink w:history="1" r:id="rIdxqzih4j_npphztiajj024">
              <w:r>
                <w:rPr>
                  <w:rFonts w:ascii="Calibri" w:cs="Calibri" w:eastAsia="Calibri" w:hAnsi="Calibri"/>
                  <w:color w:val="1B4F8A"/>
                  <w:sz w:val="15"/>
                  <w:szCs w:val="15"/>
                  <w:u w:val="single"/>
                </w:rPr>
                <w:t xml:space="preserve">brainfutures.org/neurofeedback-report</w:t>
              </w:r>
            </w:hyperlink>
          </w:p>
        </w:tc>
      </w:tr>
      <w:tr>
        <w:tc>
          <w:tcPr>
            <w:tcW w:type="dxa" w:w="240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State and provincial practice acts</w:t>
            </w:r>
          </w:p>
        </w:tc>
        <w:tc>
          <w:tcPr>
            <w:tcW w:type="dxa" w:w="16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Law</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Determine who may diagnose and treat, and whether neurofeedback falls inside a given license. There is no national U.S. neurofeedback license.</w:t>
            </w:r>
          </w:p>
        </w:tc>
        <w:tc>
          <w:tcPr>
            <w:tcW w:type="dxa" w:w="372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a professional-society standard. A future Standard of Care cannot override statute.</w:t>
            </w:r>
          </w:p>
        </w:tc>
        <w:tc>
          <w:tcPr>
            <w:tcW w:type="dxa" w:w="2880"/>
            <w:tcBorders>
              <w:top w:val="single" w:color="C5CDD4" w:sz="4"/>
              <w:left w:val="single" w:color="C5CDD4" w:sz="4"/>
              <w:bottom w:val="single" w:color="C5CDD4" w:sz="4"/>
              <w:right w:val="single" w:color="C5CDD4" w:sz="4"/>
            </w:tcBorders>
            <w:shd w:fill="FFFFFF" w:val="clear"/>
            <w:tcMar>
              <w:top w:type="dxa" w:w="50"/>
              <w:left w:type="dxa" w:w="60"/>
              <w:bottom w:type="dxa" w:w="50"/>
              <w:right w:type="dxa" w:w="60"/>
            </w:tcMar>
            <w:vAlign w:val="top"/>
          </w:tcPr>
          <w:p>
            <w:pPr>
              <w:spacing w:after="0" w:line="220"/>
            </w:pPr>
            <w:r>
              <w:rPr>
                <w:rFonts w:ascii="Calibri" w:cs="Calibri" w:eastAsia="Calibri" w:hAnsi="Calibri"/>
                <w:color w:val="222222"/>
                <w:sz w:val="15"/>
                <w:szCs w:val="15"/>
              </w:rPr>
              <w:t xml:space="preserve">Varies by jurisdiction</w:t>
            </w:r>
          </w:p>
        </w:tc>
      </w:tr>
      <w:tr>
        <w:tc>
          <w:tcPr>
            <w:tcW w:type="dxa" w:w="240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Gary J. Schummer. Plan to Draft Standards of Care for Neurofeedback. Two-page project memorandum.</w:t>
            </w:r>
          </w:p>
        </w:tc>
        <w:tc>
          <w:tcPr>
            <w:tcW w:type="dxa" w:w="16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Project vision document</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States that the field lacks an agreed Standard of Care; that ethics codes and guidelines are guardrails and do not replace one; and that a later committee draft was not adopted as official Standards of Care after membership pushback over process.</w:t>
            </w:r>
          </w:p>
        </w:tc>
        <w:tc>
          <w:tcPr>
            <w:tcW w:type="dxa" w:w="372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30"/>
            </w:pPr>
            <w:r>
              <w:rPr>
                <w:rFonts w:ascii="Calibri" w:cs="Calibri" w:eastAsia="Calibri" w:hAnsi="Calibri"/>
                <w:b w:val="false"/>
                <w:bCs w:val="false"/>
                <w:color w:val="222222"/>
                <w:sz w:val="16"/>
                <w:szCs w:val="16"/>
              </w:rPr>
              <w:t xml:space="preserve">Not itself a Standard of Care. Not a peer-reviewed publication. Its 16 March 2014 dating of the Hammond DOI is incorrect; that paper was published in 2011.</w:t>
            </w:r>
          </w:p>
        </w:tc>
        <w:tc>
          <w:tcPr>
            <w:tcW w:type="dxa" w:w="2880"/>
            <w:tcBorders>
              <w:top w:val="single" w:color="C5CDD4" w:sz="4"/>
              <w:left w:val="single" w:color="C5CDD4" w:sz="4"/>
              <w:bottom w:val="single" w:color="C5CDD4" w:sz="4"/>
              <w:right w:val="single" w:color="C5CDD4" w:sz="4"/>
            </w:tcBorders>
            <w:shd w:fill="F3F6F9" w:val="clear"/>
            <w:tcMar>
              <w:top w:type="dxa" w:w="50"/>
              <w:left w:type="dxa" w:w="60"/>
              <w:bottom w:type="dxa" w:w="50"/>
              <w:right w:type="dxa" w:w="60"/>
            </w:tcMar>
            <w:vAlign w:val="top"/>
          </w:tcPr>
          <w:p>
            <w:pPr>
              <w:spacing w:after="0" w:line="220"/>
            </w:pPr>
            <w:r>
              <w:rPr>
                <w:rFonts w:ascii="Calibri" w:cs="Calibri" w:eastAsia="Calibri" w:hAnsi="Calibri"/>
                <w:color w:val="222222"/>
                <w:sz w:val="15"/>
                <w:szCs w:val="15"/>
              </w:rPr>
              <w:t xml:space="preserve">Project file (uploaded PDF)</w:t>
            </w:r>
          </w:p>
        </w:tc>
      </w:tr>
    </w:tbl>
    <w:p>
      <w:pPr>
        <w:spacing w:after="80" w:before="2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F3EDE2" w:val="clear"/>
            <w:tcMar>
              <w:top w:type="dxa" w:w="100"/>
              <w:left w:type="dxa" w:w="160"/>
              <w:bottom w:type="dxa" w:w="100"/>
              <w:right w:type="dxa" w:w="160"/>
            </w:tcMar>
          </w:tcPr>
          <w:p>
            <w:pPr>
              <w:spacing w:after="0" w:before="0" w:line="250"/>
            </w:pPr>
            <w:r>
              <w:rPr>
                <w:rFonts w:ascii="Calibri" w:cs="Calibri" w:eastAsia="Calibri" w:hAnsi="Calibri"/>
                <w:b/>
                <w:bCs/>
                <w:i w:val="false"/>
                <w:iCs w:val="false"/>
                <w:color w:val="1B365D"/>
                <w:sz w:val="20"/>
                <w:szCs w:val="20"/>
              </w:rPr>
              <w:t xml:space="preserve">The empty cell.  </w:t>
            </w:r>
            <w:r>
              <w:rPr>
                <w:rFonts w:ascii="Calibri" w:cs="Calibri" w:eastAsia="Calibri" w:hAnsi="Calibri"/>
                <w:b w:val="false"/>
                <w:bCs w:val="false"/>
                <w:i w:val="false"/>
                <w:iCs w:val="false"/>
                <w:color w:val="333333"/>
                <w:sz w:val="20"/>
                <w:szCs w:val="20"/>
              </w:rPr>
              <w:t xml:space="preserve">No row in this table is a single, field-wide, membership-ratified Standards of Care for neurofeedback. That absence is why a drafting project exists. Public pages should keep the 2011 Board-acceptance fact and the “no ratified Standard of Care” fact in the same account.</w:t>
            </w:r>
          </w:p>
        </w:tc>
      </w:tr>
    </w:tbl>
    <w:p>
      <w:pPr>
        <w:pStyle w:val="Heading1"/>
        <w:pBdr>
          <w:bottom w:val="single" w:color="1B365D" w:sz="12" w:space="4"/>
        </w:pBdr>
        <w:spacing w:after="120" w:before="280"/>
      </w:pPr>
      <w:r>
        <w:rPr>
          <w:rFonts w:ascii="Calibri" w:cs="Calibri" w:eastAsia="Calibri" w:hAnsi="Calibri"/>
          <w:b/>
          <w:bCs/>
          <w:color w:val="1B365D"/>
          <w:sz w:val="30"/>
          <w:szCs w:val="30"/>
        </w:rPr>
        <w:t xml:space="preserve">How these documents relate</w:t>
      </w:r>
    </w:p>
    <w:p>
      <w:pPr>
        <w:spacing w:after="140" w:before="0" w:line="276"/>
      </w:pPr>
      <w:r>
        <w:rPr>
          <w:rFonts w:ascii="Calibri" w:cs="Calibri" w:eastAsia="Calibri" w:hAnsi="Calibri"/>
          <w:b w:val="false"/>
          <w:bCs w:val="false"/>
          <w:i w:val="false"/>
          <w:iCs w:val="false"/>
          <w:color w:val="222222"/>
          <w:sz w:val="22"/>
          <w:szCs w:val="22"/>
        </w:rPr>
        <w:t xml:space="preserve">Ethics codes bind members of a society or certificants of a board. Practice guidelines tell members and the public how work is ordinarily done. Certification describes a voluntary training pathway. Equipment standards describe instruments and software documentation. Device rules classify products. Payer rules decide who a network will pay. Advocacy reports argue for coverage or adoption. A Standard of Care, in the sense this history is tracking, would be a consensus account of what reasonably skilled peers owe a client, adopted by a defined constituency after open comment. That document has not been published.</w:t>
      </w:r>
    </w:p>
    <w:sectPr>
      <w:headerReference w:type="default" r:id="rId7"/>
      <w:footerReference w:type="default" r:id="rId8"/>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4" w:sz="6" w:space="4"/>
      </w:pBdr>
      <w:spacing w:before="60"/>
    </w:pPr>
    <w:r>
      <w:rPr>
        <w:rFonts w:ascii="Calibri" w:cs="Calibri" w:eastAsia="Calibri" w:hAnsi="Calibri"/>
        <w:color w:val="555555"/>
        <w:sz w:val="15"/>
        <w:szCs w:val="15"/>
      </w:rPr>
      <w:t xml:space="preserve">Companion to Essential Practice Standards for Neurofeedback  ·  Page </w:t>
    </w:r>
    <w:r>
      <w:rPr>
        <w:rFonts w:ascii="Calibri" w:cs="Calibri" w:eastAsia="Calibri" w:hAnsi="Calibri"/>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8" w:space="4"/>
      </w:pBdr>
      <w:spacing w:after="40"/>
    </w:pPr>
    <w:r>
      <w:rPr>
        <w:rFonts w:ascii="Calibri" w:cs="Calibri" w:eastAsia="Calibri" w:hAnsi="Calibri"/>
        <w:i/>
        <w:iCs/>
        <w:color w:val="1B365D"/>
        <w:sz w:val="16"/>
        <w:szCs w:val="16"/>
      </w:rPr>
      <w:t xml:space="preserve">History of Neurofeedback Practice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B365D"/>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C5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jbkzzbqn7rplv53gnbpp" Type="http://schemas.openxmlformats.org/officeDocument/2006/relationships/hyperlink" Target="https://doi.org/10.1080/10874200802219947" TargetMode="External"/><Relationship Id="rIdjecjemkpjzsx69wi-9x3l" Type="http://schemas.openxmlformats.org/officeDocument/2006/relationships/hyperlink" Target="https://doi.org/10.1300/J184v08n01_02" TargetMode="External"/><Relationship Id="rId1qqwwr0_ch3pa9kmtmbpu" Type="http://schemas.openxmlformats.org/officeDocument/2006/relationships/hyperlink" Target="https://doi.org/10.1080/10874208.2010.545760" TargetMode="External"/><Relationship Id="rIdhblt_9tj7cheqwchmlo49" Type="http://schemas.openxmlformats.org/officeDocument/2006/relationships/hyperlink" Target="https://www.tandfonline.com/doi/full/10.1080/10874208.2010.545760" TargetMode="External"/><Relationship Id="rIdxduwc30n9bq7it-idm4gg" Type="http://schemas.openxmlformats.org/officeDocument/2006/relationships/hyperlink" Target="https://isnr.org/isnr-code-of-ethics/" TargetMode="External"/><Relationship Id="rIdvpksgznz468nc0wcxij_0" Type="http://schemas.openxmlformats.org/officeDocument/2006/relationships/hyperlink" Target="https://isnr.org/guidelines-for-practice" TargetMode="External"/><Relationship Id="rIdxn1ausowr3vsynldndcs5" Type="http://schemas.openxmlformats.org/officeDocument/2006/relationships/hyperlink" Target="https://isnr.org/what-is-neurofeedback" TargetMode="External"/><Relationship Id="rIdyssaeojbznh28hkyzpoq1" Type="http://schemas.openxmlformats.org/officeDocument/2006/relationships/hyperlink" Target="https://isnr.org/resources/" TargetMode="External"/><Relationship Id="rIdrpdwz-rtnvb-yxumv9uvn" Type="http://schemas.openxmlformats.org/officeDocument/2006/relationships/hyperlink" Target="https://bcia.memberclicks.net/assets/docs/ProfessionalStandardsAndEthicalPrinciplesofBiofeedback.pdf" TargetMode="External"/><Relationship Id="rIdpywt4bnaxzuegspmvxkvr" Type="http://schemas.openxmlformats.org/officeDocument/2006/relationships/hyperlink" Target="https://www.bcia.org/bcia-professional-standards-ethical-principles" TargetMode="External"/><Relationship Id="rIdnksskkybeowmdksfpizqb" Type="http://schemas.openxmlformats.org/officeDocument/2006/relationships/hyperlink" Target="https://www.bcia.org/nf-entry-level" TargetMode="External"/><Relationship Id="rIdjy5qmvy_zqjpnudgjapmx" Type="http://schemas.openxmlformats.org/officeDocument/2006/relationships/hyperlink" Target="https://aapb.org/Standards_for_Performing_Biofeedback" TargetMode="External"/><Relationship Id="rIdvjpkfv0mabhyvahgetqge" Type="http://schemas.openxmlformats.org/officeDocument/2006/relationships/hyperlink" Target="https://aapb.org/Code_of_Ethics" TargetMode="External"/><Relationship Id="rIdq7mdsb3ypd1lkasjdjdao" Type="http://schemas.openxmlformats.org/officeDocument/2006/relationships/hyperlink" Target="https://aapb.org/Publications" TargetMode="External"/><Relationship Id="rIdmwicgxupdpyi_upct0eay" Type="http://schemas.openxmlformats.org/officeDocument/2006/relationships/hyperlink" Target="https://doi.org/10.1109/IEEESTD.2023.10186304" TargetMode="External"/><Relationship Id="rIdcvf3l3uzysw49pqsx7lbi" Type="http://schemas.openxmlformats.org/officeDocument/2006/relationships/hyperlink" Target="https://standards.ieee.org/ieee/2010/10758/" TargetMode="External"/><Relationship Id="rIdk2vanbma5cmhh8sli22tl" Type="http://schemas.openxmlformats.org/officeDocument/2006/relationships/hyperlink" Target="https://www.ecfr.gov/current/title-21/chapter-I/subchapter-H/part-882/section-882.5050" TargetMode="External"/><Relationship Id="rId95ozboxbvogmfvup47too" Type="http://schemas.openxmlformats.org/officeDocument/2006/relationships/hyperlink" Target="https://qeegcertificationboard.org/" TargetMode="External"/><Relationship Id="rIdac2riwtlrjwh3kxp85ugy" Type="http://schemas.openxmlformats.org/officeDocument/2006/relationships/hyperlink" Target="https://doi.org/10.1177/15500594241308654" TargetMode="External"/><Relationship Id="rIdtg99rrrp3dqtywrpoitag" Type="http://schemas.openxmlformats.org/officeDocument/2006/relationships/hyperlink" Target="https://qeegcertificationboard.org/wp-content/uploads/IQCB-Guidelines-for-Report-Writing-03-16-2025.pdf" TargetMode="External"/><Relationship Id="rIdnj9mnue2rogha9s6xucpn" Type="http://schemas.openxmlformats.org/officeDocument/2006/relationships/hyperlink" Target="https://doi.org/10.1097/WNP.0000000000000308" TargetMode="External"/><Relationship Id="rIdsvssbjzpnspignxzmgugj" Type="http://schemas.openxmlformats.org/officeDocument/2006/relationships/hyperlink" Target="https://www.acns.org/advocacy/guidelines-and-consensus-statements" TargetMode="External"/><Relationship Id="rId-83el4_llqddr1ig2ylu0" Type="http://schemas.openxmlformats.org/officeDocument/2006/relationships/hyperlink" Target="https://aapb.org/Standards_for_Performing_Biofeedback" TargetMode="External"/><Relationship Id="rIdquo0hgiwg9zazmskgnuln" Type="http://schemas.openxmlformats.org/officeDocument/2006/relationships/hyperlink" Target="https://doi.org/10.1093/brain/awaa009" TargetMode="External"/><Relationship Id="rIdmz--cxldtxn7mx92uea1-" Type="http://schemas.openxmlformats.org/officeDocument/2006/relationships/hyperlink" Target="https://www.rtfin.org/CREDnf" TargetMode="External"/><Relationship Id="rIdvkvqxblil61k_mccailqm" Type="http://schemas.openxmlformats.org/officeDocument/2006/relationships/hyperlink" Target="https://www.va.gov/wholehealth/professional-resources/Guidance_CCN_Biofeedback_Neurofeedback.asp" TargetMode="External"/><Relationship Id="rIdxqzih4j_npphztiajj024" Type="http://schemas.openxmlformats.org/officeDocument/2006/relationships/hyperlink" Target="https://www.brainfutures.org/neurofeedback-report/"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2026-09-19T05:52:49.353Z</dcterms:created>
  <dcterms:modified xsi:type="dcterms:W3CDTF">2026-09-19T05:52:49.353Z</dcterms:modified>
</cp:coreProperties>
</file>

<file path=docProps/custom.xml><?xml version="1.0" encoding="utf-8"?>
<Properties xmlns="http://schemas.openxmlformats.org/officeDocument/2006/custom-properties" xmlns:vt="http://schemas.openxmlformats.org/officeDocument/2006/docPropsVTypes"/>
</file>