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52000" cy="1802010"/>
            <wp:docPr id="1" name="Picture 1" descr="Image: image1.png"/>
            <wp:cNvGraphicFramePr>
              <a:graphicFrameLocks noChangeAspect="1"/>
            </wp:cNvGraphicFramePr>
            <a:graphic>
              <a:graphicData uri="http://schemas.openxmlformats.org/drawingml/2006/picture">
                <pic:pic>
                  <pic:nvPicPr>
                    <pic:cNvPr id="0" name="LOGO ARH PNG + slogan.png"/>
                    <pic:cNvPicPr/>
                  </pic:nvPicPr>
                  <pic:blipFill>
                    <a:blip r:embed="rId10"/>
                    <a:stretch>
                      <a:fillRect/>
                    </a:stretch>
                  </pic:blipFill>
                  <pic:spPr>
                    <a:xfrm>
                      <a:off x="0" y="0"/>
                      <a:ext cx="2052000" cy="1802010"/>
                    </a:xfrm>
                    <a:prstGeom prst="rect"/>
                  </pic:spPr>
                </pic:pic>
              </a:graphicData>
            </a:graphic>
          </wp:inline>
        </w:drawing>
      </w:r>
    </w:p>
    <w:p>
      <w:pPr>
        <w:spacing w:before="160" w:after="160" w:line="276" w:lineRule="auto"/>
        <w:jc w:val="center"/>
      </w:pPr>
      <w:r>
        <w:rPr>
          <w:rFonts w:ascii="Gill Sans MT" w:hAnsi="Gill Sans MT" w:eastAsia="Gill Sans MT"/>
          <w:b/>
          <w:i w:val="0"/>
          <w:color w:val="C71A7C"/>
          <w:sz w:val="28"/>
        </w:rPr>
        <w:t>LIVRET STAGIAIRE</w:t>
      </w:r>
    </w:p>
    <w:p>
      <w:pPr>
        <w:spacing w:before="0" w:after="100" w:line="240" w:lineRule="auto"/>
        <w:jc w:val="center"/>
      </w:pPr>
      <w:r>
        <w:rPr>
          <w:rFonts w:ascii="Gill Sans MT" w:hAnsi="Gill Sans MT" w:eastAsia="Gill Sans MT"/>
          <w:b/>
          <w:i w:val="0"/>
          <w:color w:val="911562"/>
          <w:sz w:val="54"/>
        </w:rPr>
        <w:t>Repérer les tensions</w:t>
        <w:br/>
        <w:t>professionnelles et leurs impacts</w:t>
      </w:r>
    </w:p>
    <w:p>
      <w:pPr>
        <w:spacing w:before="120" w:after="100" w:line="276" w:lineRule="auto"/>
        <w:jc w:val="center"/>
      </w:pPr>
      <w:r>
        <w:rPr>
          <w:rFonts w:ascii="Gill Sans MT" w:hAnsi="Gill Sans MT" w:eastAsia="Gill Sans MT"/>
          <w:b/>
          <w:i w:val="0"/>
          <w:color w:val="53136D"/>
          <w:sz w:val="30"/>
        </w:rPr>
        <w:t>Communication non violente et régulation des tensions en équipe</w:t>
      </w:r>
    </w:p>
    <w:p>
      <w:pPr>
        <w:spacing w:before="0" w:after="300" w:line="276" w:lineRule="auto"/>
        <w:jc w:val="center"/>
      </w:pPr>
      <w:r>
        <w:rPr>
          <w:rFonts w:ascii="Gill Sans MT" w:hAnsi="Gill Sans MT" w:eastAsia="Gill Sans MT"/>
          <w:b/>
          <w:i w:val="0"/>
          <w:color w:val="A9C941"/>
          <w:sz w:val="26"/>
        </w:rPr>
        <w:t>Professionnels des LHSS/LAM</w:t>
      </w:r>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Protection des informations</w:t>
              <w:br/>
            </w:r>
            <w:r>
              <w:rPr>
                <w:rFonts w:ascii="Gill Sans MT" w:hAnsi="Gill Sans MT" w:eastAsia="Gill Sans MT"/>
                <w:b w:val="0"/>
                <w:i w:val="0"/>
                <w:color w:val="000000"/>
                <w:sz w:val="22"/>
              </w:rPr>
              <w:t>Ce livret est un support personnel. Il n’est ni collecté ni conservé par l’organisme de formation.</w:t>
            </w:r>
          </w:p>
        </w:tc>
        <w:trPr>
          <w:tblHeader/>
        </w:trPr>
      </w:tr>
    </w:tbl>
    <w:p>
      <w:pPr>
        <w:spacing w:after="20"/>
      </w:pPr>
    </w:p>
    <w:p>
      <w:pPr>
        <w:spacing w:before="240" w:after="160" w:line="276" w:lineRule="auto"/>
      </w:pPr>
      <w:r>
        <w:rPr>
          <w:rFonts w:ascii="Gill Sans MT" w:hAnsi="Gill Sans MT" w:eastAsia="Gill Sans MT"/>
          <w:b/>
          <w:i w:val="0"/>
          <w:color w:val="333333"/>
          <w:sz w:val="24"/>
        </w:rPr>
        <w:t>Prénom :  ........................................................................................................</w:t>
      </w:r>
    </w:p>
    <w:p>
      <w:pPr>
        <w:spacing w:before="0" w:after="200" w:line="276" w:lineRule="auto"/>
      </w:pPr>
      <w:r>
        <w:rPr>
          <w:rFonts w:ascii="Gill Sans MT" w:hAnsi="Gill Sans MT" w:eastAsia="Gill Sans MT"/>
          <w:b w:val="0"/>
          <w:i/>
          <w:color w:val="9B8E7D"/>
          <w:sz w:val="21"/>
        </w:rPr>
        <w:t>Les espaces peuvent être complétés à l’écrit, oralement ou avec l’aide d’un binôme.</w:t>
      </w:r>
    </w:p>
    <w:p>
      <w:pPr>
        <w:spacing w:before="240" w:after="100" w:line="276" w:lineRule="auto"/>
        <w:jc w:val="center"/>
      </w:pPr>
      <w:r>
        <w:rPr>
          <w:rFonts w:ascii="Gill Sans MT" w:hAnsi="Gill Sans MT" w:eastAsia="Gill Sans MT"/>
          <w:b w:val="0"/>
          <w:i w:val="0"/>
          <w:color w:val="9B8E7D"/>
          <w:sz w:val="19"/>
        </w:rPr>
        <w:t>© Alternative RH – Version septembre 2026</w:t>
      </w:r>
    </w:p>
    <w:p>
      <w:r>
        <w:br w:type="page"/>
      </w:r>
    </w:p>
    <w:p>
      <w:pPr>
        <w:keepNext/>
        <w:spacing w:before="0" w:after="160" w:line="240" w:lineRule="auto"/>
      </w:pPr>
      <w:r>
        <w:rPr>
          <w:rFonts w:ascii="Gill Sans MT" w:hAnsi="Gill Sans MT" w:eastAsia="Gill Sans MT"/>
          <w:b/>
          <w:i w:val="0"/>
          <w:color w:val="911562"/>
          <w:sz w:val="48"/>
        </w:rPr>
        <w:t>Pourquoi travailler sur les tensions ?</w:t>
      </w:r>
    </w:p>
    <w:p>
      <w:pPr>
        <w:spacing w:before="0" w:after="100" w:line="276" w:lineRule="auto"/>
      </w:pPr>
      <w:r>
        <w:rPr>
          <w:rFonts w:ascii="Gill Sans MT" w:hAnsi="Gill Sans MT" w:eastAsia="Gill Sans MT"/>
          <w:b w:val="0"/>
          <w:i w:val="0"/>
          <w:color w:val="000000"/>
          <w:sz w:val="24"/>
        </w:rPr>
        <w:t>Dans un LHSS/LAM, les professionnels doivent coordonner des soins, un accompagnement social et la vie quotidienne, souvent dans des situations imprévues et émotionnellement exigeantes. Des tensions peuvent apparaître lorsque les informations circulent mal, que les priorités diffèrent ou que les rôles sont insuffisamment clarifiés.</w:t>
      </w:r>
    </w:p>
    <w:p>
      <w:pPr>
        <w:spacing w:before="0" w:after="100" w:line="276" w:lineRule="auto"/>
      </w:pPr>
      <w:r>
        <w:rPr>
          <w:rFonts w:ascii="Gill Sans MT" w:hAnsi="Gill Sans MT" w:eastAsia="Gill Sans MT"/>
          <w:b w:val="0"/>
          <w:i w:val="0"/>
          <w:color w:val="000000"/>
          <w:sz w:val="24"/>
        </w:rPr>
        <w:t>Repérer une tension tôt permet de mieux comprendre ce qui se joue avant qu’un désaccord ne s’installe durablement. Il ne s’agit pas de désigner un responsable, mais d’observer une situation de travail, ses déclencheurs et ses effets possibles.</w:t>
      </w:r>
    </w:p>
    <w:tbl>
      <w:tblPr>
        <w:tblW w:type="auto" w:w="0"/>
        <w:jc w:val="center"/>
        <w:tblLayout w:type="autofit"/>
        <w:tblLook w:firstColumn="1" w:firstRow="1" w:lastColumn="0" w:lastRow="0" w:noHBand="0" w:noVBand="1" w:val="04A0"/>
      </w:tblPr>
      <w:tblGrid>
        <w:gridCol w:w="9866"/>
      </w:tblGrid>
      <w:tr>
        <w:tc>
          <w:tcPr>
            <w:tcW w:type="dxa" w:w="9866"/>
            <w:shd w:fill="F4EFF6"/>
            <w:tcBorders>
              <w:top w:val="single" w:sz="10" w:color="53136D"/>
              <w:left w:val="single" w:sz="10" w:color="53136D"/>
              <w:bottom w:val="single" w:sz="10" w:color="53136D"/>
              <w:right w:val="single" w:sz="10" w:color="53136D"/>
              <w:insideH w:val="single" w:sz="10" w:color="53136D"/>
              <w:insideV w:val="single" w:sz="10" w:color="53136D"/>
            </w:tcBorders>
            <w:vAlign w:val="center"/>
          </w:tcPr>
          <w:p>
            <w:pPr>
              <w:spacing w:before="40" w:after="40" w:line="269" w:lineRule="auto"/>
            </w:pPr>
            <w:r>
              <w:rPr>
                <w:rFonts w:ascii="Gill Sans MT" w:hAnsi="Gill Sans MT" w:eastAsia="Gill Sans MT"/>
                <w:b/>
                <w:i w:val="0"/>
                <w:color w:val="53136D"/>
                <w:sz w:val="24"/>
              </w:rPr>
              <w:t>Le fil conducteur</w:t>
              <w:br/>
            </w:r>
            <w:r>
              <w:rPr>
                <w:rFonts w:ascii="Gill Sans MT" w:hAnsi="Gill Sans MT" w:eastAsia="Gill Sans MT"/>
                <w:b w:val="0"/>
                <w:i w:val="0"/>
                <w:color w:val="000000"/>
                <w:sz w:val="22"/>
              </w:rPr>
              <w:t>Observer avant d’interpréter. Décrire les situations sans juger les personnes, rechercher plusieurs causes possibles et rester attentif aux effets sur soi, les collègues, le collectif, l’organisation et les personnes accueillies.</w:t>
            </w:r>
          </w:p>
        </w:tc>
        <w:trPr>
          <w:tblHeader/>
        </w:trPr>
      </w:tr>
    </w:tbl>
    <w:p>
      <w:pPr>
        <w:spacing w:after="20"/>
      </w:pPr>
    </w:p>
    <w:p>
      <w:pPr>
        <w:keepNext/>
        <w:spacing w:before="140" w:after="100" w:line="252" w:lineRule="auto"/>
      </w:pPr>
      <w:r>
        <w:rPr>
          <w:rFonts w:ascii="Gill Sans MT" w:hAnsi="Gill Sans MT" w:eastAsia="Gill Sans MT"/>
          <w:b/>
          <w:i w:val="0"/>
          <w:color w:val="C71A7C"/>
          <w:sz w:val="34"/>
        </w:rPr>
        <w:t>Ce que vous allez développer</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Repérer au moins deux signes observables d’une tension professionnelle.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Identifier plusieurs sources possibles d’une tension.</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Distinguer les effets possibles sur le professionnel, le collectif et la personne accueillie.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Transformer une formulation accusatrice en description factuelle d’une situation de travail.</w:t>
      </w:r>
    </w:p>
    <w:p>
      <w:pPr>
        <w:keepNext/>
        <w:spacing w:before="140" w:after="100" w:line="252" w:lineRule="auto"/>
      </w:pPr>
      <w:r>
        <w:rPr>
          <w:rFonts w:ascii="Gill Sans MT" w:hAnsi="Gill Sans MT" w:eastAsia="Gill Sans MT"/>
          <w:b/>
          <w:i w:val="0"/>
          <w:color w:val="C71A7C"/>
          <w:sz w:val="34"/>
        </w:rPr>
        <w:t>Notre cadre de travail</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288"/>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Repère</w:t>
            </w:r>
          </w:p>
        </w:tc>
        <w:tc>
          <w:tcPr>
            <w:tcW w:type="dxa" w:w="5669"/>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Ce que cela signifie</w:t>
            </w:r>
          </w:p>
        </w:tc>
      </w:tr>
      <w:tr>
        <w:tc>
          <w:tcPr>
            <w:tcW w:type="dxa" w:w="328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Je décris une situation</w:t>
            </w:r>
          </w:p>
        </w:tc>
        <w:tc>
          <w:tcPr>
            <w:tcW w:type="dxa" w:w="566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Je parle de ce qui s’est passé sans qualifier la personne.</w:t>
            </w:r>
          </w:p>
        </w:tc>
      </w:tr>
      <w:tr>
        <w:tc>
          <w:tcPr>
            <w:tcW w:type="dxa" w:w="328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Je protège l’identité des personnes</w:t>
            </w:r>
          </w:p>
        </w:tc>
        <w:tc>
          <w:tcPr>
            <w:tcW w:type="dxa" w:w="566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Aucun nom, initiale ou détail permettant d’identifier quelqu’un.</w:t>
            </w:r>
          </w:p>
        </w:tc>
      </w:tr>
      <w:tr>
        <w:tc>
          <w:tcPr>
            <w:tcW w:type="dxa" w:w="328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J’évite « toujours » et « jamais »</w:t>
            </w:r>
          </w:p>
        </w:tc>
        <w:tc>
          <w:tcPr>
            <w:tcW w:type="dxa" w:w="566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Je recherche un exemple précis et situé.</w:t>
            </w:r>
          </w:p>
        </w:tc>
      </w:tr>
      <w:tr>
        <w:tc>
          <w:tcPr>
            <w:tcW w:type="dxa" w:w="328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Je parle depuis mon point de vue</w:t>
            </w:r>
          </w:p>
        </w:tc>
        <w:tc>
          <w:tcPr>
            <w:tcW w:type="dxa" w:w="566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Je distingue ce que j’ai observé de ce que j’interprète.</w:t>
            </w:r>
          </w:p>
        </w:tc>
      </w:tr>
      <w:tr>
        <w:tc>
          <w:tcPr>
            <w:tcW w:type="dxa" w:w="328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Je peux passer mon tour</w:t>
            </w:r>
          </w:p>
        </w:tc>
        <w:tc>
          <w:tcPr>
            <w:tcW w:type="dxa" w:w="566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Personne n’est obligé de raconter une situation sensible.</w:t>
            </w:r>
          </w:p>
        </w:tc>
      </w:tr>
      <w:tr>
        <w:tc>
          <w:tcPr>
            <w:tcW w:type="dxa" w:w="328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Ce qui est partagé reste dans le cadre de la formation</w:t>
            </w:r>
          </w:p>
        </w:tc>
        <w:tc>
          <w:tcPr>
            <w:tcW w:type="dxa" w:w="566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Nous évitons de reprendre à l’extérieur les situations ou propos permettant d’identifier une personne.</w:t>
            </w:r>
          </w:p>
        </w:tc>
      </w:tr>
    </w:tbl>
    <w:p>
      <w:pPr>
        <w:spacing w:after="20"/>
      </w:pPr>
    </w:p>
    <w:p>
      <w:r>
        <w:br w:type="page"/>
      </w:r>
    </w:p>
    <w:p>
      <w:pPr>
        <w:keepNext/>
        <w:spacing w:before="0" w:after="160" w:line="240" w:lineRule="auto"/>
      </w:pPr>
      <w:r>
        <w:rPr>
          <w:rFonts w:ascii="Gill Sans MT" w:hAnsi="Gill Sans MT" w:eastAsia="Gill Sans MT"/>
          <w:b/>
          <w:i w:val="0"/>
          <w:color w:val="911562"/>
          <w:sz w:val="48"/>
        </w:rPr>
        <w:t>Mon point de départ</w:t>
      </w:r>
    </w:p>
    <w:p>
      <w:pPr>
        <w:spacing w:before="0" w:after="100" w:line="276" w:lineRule="auto"/>
      </w:pPr>
      <w:r>
        <w:rPr>
          <w:rFonts w:ascii="Gill Sans MT" w:hAnsi="Gill Sans MT" w:eastAsia="Gill Sans MT"/>
          <w:b w:val="0"/>
          <w:i w:val="0"/>
          <w:color w:val="000000"/>
          <w:sz w:val="24"/>
        </w:rPr>
        <w:t>Avant de commencer, indiquez où vous vous situez aujourd’hui. Il n’y a pas de bonne ou de mauvaise réponse : ce positionnement sert uniquement à observer votre progression.</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6123"/>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Je me sens capable de…</w:t>
            </w:r>
          </w:p>
        </w:tc>
        <w:tc>
          <w:tcPr>
            <w:tcW w:type="dxa" w:w="1191"/>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Pas encore</w:t>
            </w:r>
          </w:p>
        </w:tc>
        <w:tc>
          <w:tcPr>
            <w:tcW w:type="dxa" w:w="1191"/>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En partie</w:t>
            </w:r>
          </w:p>
        </w:tc>
        <w:tc>
          <w:tcPr>
            <w:tcW w:type="dxa" w:w="907"/>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Oui</w:t>
            </w:r>
          </w:p>
        </w:tc>
      </w:tr>
      <w:tr>
        <w:tc>
          <w:tcPr>
            <w:tcW w:type="dxa" w:w="6123"/>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Repérer les signes d’une tension professionnelle</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r>
      <w:tr>
        <w:tc>
          <w:tcPr>
            <w:tcW w:type="dxa" w:w="6123"/>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Distinguer une tension d’un conflit installé</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w:t>
            </w:r>
          </w:p>
        </w:tc>
      </w:tr>
      <w:tr>
        <w:tc>
          <w:tcPr>
            <w:tcW w:type="dxa" w:w="6123"/>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Identifier plusieurs causes possibles d’une tension</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r>
      <w:tr>
        <w:tc>
          <w:tcPr>
            <w:tcW w:type="dxa" w:w="6123"/>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Décrire une situation sans accusation</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w:t>
            </w:r>
          </w:p>
        </w:tc>
      </w:tr>
      <w:tr>
        <w:tc>
          <w:tcPr>
            <w:tcW w:type="dxa" w:w="6123"/>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Identifier les effets possibles sur l’accompagnement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w:t>
            </w:r>
          </w:p>
        </w:tc>
      </w:tr>
    </w:tbl>
    <w:p>
      <w:pPr>
        <w:spacing w:after="20"/>
      </w:pPr>
    </w:p>
    <w:p>
      <w:pPr>
        <w:keepNext/>
        <w:spacing w:before="140" w:after="100" w:line="252" w:lineRule="auto"/>
      </w:pPr>
      <w:r>
        <w:rPr>
          <w:rFonts w:ascii="Gill Sans MT" w:hAnsi="Gill Sans MT" w:eastAsia="Gill Sans MT"/>
          <w:b/>
          <w:i w:val="0"/>
          <w:color w:val="C71A7C"/>
          <w:sz w:val="34"/>
        </w:rPr>
        <w:t>Une situation qui me questionne</w:t>
      </w:r>
    </w:p>
    <w:p>
      <w:pPr>
        <w:spacing w:before="0" w:after="100" w:line="276" w:lineRule="auto"/>
      </w:pPr>
      <w:r>
        <w:rPr>
          <w:rFonts w:ascii="Gill Sans MT" w:hAnsi="Gill Sans MT" w:eastAsia="Gill Sans MT"/>
          <w:b w:val="0"/>
          <w:i w:val="0"/>
          <w:color w:val="000000"/>
          <w:sz w:val="22"/>
        </w:rPr>
        <w:t>Sans citer de personne : une situation professionnelle dans laquelle je trouve difficile de communiquer ou de coopérer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Vous gardez la main</w:t>
              <w:br/>
            </w:r>
            <w:r>
              <w:rPr>
                <w:rFonts w:ascii="Gill Sans MT" w:hAnsi="Gill Sans MT" w:eastAsia="Gill Sans MT"/>
                <w:b w:val="0"/>
                <w:i w:val="0"/>
                <w:color w:val="000000"/>
                <w:sz w:val="22"/>
              </w:rPr>
              <w:t>Vous pouvez choisir de ne pas remplir cette partie, utiliser une situation fictive ou modifier certains détails.</w:t>
            </w:r>
          </w:p>
        </w:tc>
        <w:trPr>
          <w:tblHeader/>
        </w:trPr>
      </w:tr>
    </w:tbl>
    <w:p>
      <w:pPr>
        <w:spacing w:after="20"/>
      </w:pPr>
    </w:p>
    <w:p>
      <w:pPr>
        <w:keepNext/>
        <w:spacing w:before="140" w:after="100" w:line="252" w:lineRule="auto"/>
      </w:pPr>
      <w:r>
        <w:rPr>
          <w:rFonts w:ascii="Gill Sans MT" w:hAnsi="Gill Sans MT" w:eastAsia="Gill Sans MT"/>
          <w:b/>
          <w:i w:val="0"/>
          <w:color w:val="C71A7C"/>
          <w:sz w:val="34"/>
        </w:rPr>
        <w:t>Ce que j’aimerais retirer de cette séquence</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Une situation de départ</w:t>
      </w:r>
    </w:p>
    <w:p>
      <w:pPr>
        <w:keepNext/>
        <w:spacing w:before="140" w:after="100" w:line="252" w:lineRule="auto"/>
      </w:pPr>
      <w:r>
        <w:rPr>
          <w:rFonts w:ascii="Gill Sans MT" w:hAnsi="Gill Sans MT" w:eastAsia="Gill Sans MT"/>
          <w:b/>
          <w:i w:val="0"/>
          <w:color w:val="C71A7C"/>
          <w:sz w:val="34"/>
        </w:rPr>
        <w:t>La transmission incomplète</w:t>
      </w:r>
    </w:p>
    <w:p>
      <w:pPr>
        <w:spacing w:before="0" w:after="100" w:line="276" w:lineRule="auto"/>
      </w:pPr>
      <w:r>
        <w:rPr>
          <w:rFonts w:ascii="Gill Sans MT" w:hAnsi="Gill Sans MT" w:eastAsia="Gill Sans MT"/>
          <w:b w:val="0"/>
          <w:i w:val="0"/>
          <w:color w:val="000000"/>
          <w:sz w:val="24"/>
        </w:rPr>
        <w:t>À la prise de poste, une aide-soignante découvre qu’une personne accueillie est revenue des urgences pendant la nuit. L’information a été notée rapidement sur une feuille, mais aucune transmission orale n’a été réalisée.</w:t>
      </w:r>
    </w:p>
    <w:tbl>
      <w:tblPr>
        <w:tblW w:type="auto" w:w="0"/>
        <w:jc w:val="center"/>
        <w:tblLayout w:type="autofit"/>
        <w:tblLook w:firstColumn="1" w:firstRow="1" w:lastColumn="0" w:lastRow="0" w:noHBand="0" w:noVBand="1" w:val="04A0"/>
      </w:tblPr>
      <w:tblGrid>
        <w:gridCol w:w="9866"/>
      </w:tblGrid>
      <w:tr>
        <w:tc>
          <w:tcPr>
            <w:tcW w:type="dxa" w:w="9866"/>
            <w:shd w:fill="FAF1F6"/>
            <w:tcBorders>
              <w:top w:val="single" w:sz="10" w:color="C71A7C"/>
              <w:left w:val="single" w:sz="10" w:color="C71A7C"/>
              <w:bottom w:val="single" w:sz="10" w:color="C71A7C"/>
              <w:right w:val="single" w:sz="10" w:color="C71A7C"/>
              <w:insideH w:val="single" w:sz="10" w:color="C71A7C"/>
              <w:insideV w:val="single" w:sz="10" w:color="C71A7C"/>
            </w:tcBorders>
            <w:vAlign w:val="center"/>
          </w:tcPr>
          <w:p>
            <w:pPr>
              <w:spacing w:before="40" w:after="40" w:line="269" w:lineRule="auto"/>
            </w:pPr>
            <w:r>
              <w:rPr>
                <w:rFonts w:ascii="Gill Sans MT" w:hAnsi="Gill Sans MT" w:eastAsia="Gill Sans MT"/>
                <w:b/>
                <w:i w:val="0"/>
                <w:color w:val="C71A7C"/>
                <w:sz w:val="24"/>
              </w:rPr>
              <w:t>L’aide-soignante dit devant deux collègues :</w:t>
              <w:br/>
            </w:r>
            <w:r>
              <w:rPr>
                <w:rFonts w:ascii="Gill Sans MT" w:hAnsi="Gill Sans MT" w:eastAsia="Gill Sans MT"/>
                <w:b w:val="0"/>
                <w:i w:val="0"/>
                <w:color w:val="000000"/>
                <w:sz w:val="22"/>
              </w:rPr>
              <w:t>« Comme d’habitude, l’équipe de nuit ne transmet rien. Après, c’est nous qui devons tout gérer. »</w:t>
            </w:r>
          </w:p>
        </w:tc>
        <w:trPr>
          <w:tblHeader/>
        </w:trPr>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4EFF6"/>
            <w:tcBorders>
              <w:top w:val="single" w:sz="10" w:color="53136D"/>
              <w:left w:val="single" w:sz="10" w:color="53136D"/>
              <w:bottom w:val="single" w:sz="10" w:color="53136D"/>
              <w:right w:val="single" w:sz="10" w:color="53136D"/>
              <w:insideH w:val="single" w:sz="10" w:color="53136D"/>
              <w:insideV w:val="single" w:sz="10" w:color="53136D"/>
            </w:tcBorders>
            <w:vAlign w:val="center"/>
          </w:tcPr>
          <w:p>
            <w:pPr>
              <w:spacing w:before="40" w:after="40" w:line="269" w:lineRule="auto"/>
            </w:pPr>
            <w:r>
              <w:rPr>
                <w:rFonts w:ascii="Gill Sans MT" w:hAnsi="Gill Sans MT" w:eastAsia="Gill Sans MT"/>
                <w:b/>
                <w:i w:val="0"/>
                <w:color w:val="53136D"/>
                <w:sz w:val="24"/>
              </w:rPr>
              <w:t>Le surveillant de nuit répond :</w:t>
              <w:br/>
            </w:r>
            <w:r>
              <w:rPr>
                <w:rFonts w:ascii="Gill Sans MT" w:hAnsi="Gill Sans MT" w:eastAsia="Gill Sans MT"/>
                <w:b w:val="0"/>
                <w:i w:val="0"/>
                <w:color w:val="000000"/>
                <w:sz w:val="22"/>
              </w:rPr>
              <w:t>« C’est facile de critiquer quand on n’a pas vu la nuit qu’on vient de passer. »</w:t>
            </w:r>
          </w:p>
        </w:tc>
        <w:trPr>
          <w:tblHeader/>
        </w:trPr>
      </w:tr>
    </w:tbl>
    <w:p>
      <w:pPr>
        <w:spacing w:after="20"/>
      </w:pPr>
    </w:p>
    <w:p>
      <w:pPr>
        <w:spacing w:before="0" w:after="100" w:line="276" w:lineRule="auto"/>
      </w:pPr>
      <w:r>
        <w:rPr>
          <w:rFonts w:ascii="Gill Sans MT" w:hAnsi="Gill Sans MT" w:eastAsia="Gill Sans MT"/>
          <w:b w:val="0"/>
          <w:i w:val="0"/>
          <w:color w:val="000000"/>
          <w:sz w:val="24"/>
        </w:rPr>
        <w:t>Une troisième professionnelle quitte la pièce sans intervenir. La prise de poste se poursuit dans une ambiance tendue.</w:t>
      </w:r>
    </w:p>
    <w:p>
      <w:pPr>
        <w:keepNext/>
        <w:spacing w:before="140" w:after="100" w:line="252" w:lineRule="auto"/>
      </w:pPr>
      <w:r>
        <w:rPr>
          <w:rFonts w:ascii="Gill Sans MT" w:hAnsi="Gill Sans MT" w:eastAsia="Gill Sans MT"/>
          <w:b/>
          <w:i w:val="0"/>
          <w:color w:val="C71A7C"/>
          <w:sz w:val="34"/>
        </w:rPr>
        <w:t>Premières observations</w:t>
      </w:r>
    </w:p>
    <w:p>
      <w:pPr>
        <w:keepNext/>
        <w:spacing w:before="100" w:after="60" w:line="252" w:lineRule="auto"/>
      </w:pPr>
      <w:r>
        <w:rPr>
          <w:rFonts w:ascii="Gill Sans MT" w:hAnsi="Gill Sans MT" w:eastAsia="Gill Sans MT"/>
          <w:b/>
          <w:i w:val="0"/>
          <w:color w:val="53136D"/>
          <w:sz w:val="26"/>
        </w:rPr>
        <w:t>1. Que s’est-il passé concrètement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2. Quelles paroles ou quels comportements sont observables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3. Quelles interprétations ou généralisations apparaissent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4. Quelles pourraient être les conséquences si cette situation se répète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1. Repérer une tension professionnelle</w:t>
      </w:r>
    </w:p>
    <w:p>
      <w:pPr>
        <w:spacing w:before="0" w:after="100" w:line="276" w:lineRule="auto"/>
      </w:pPr>
      <w:r>
        <w:rPr>
          <w:rFonts w:ascii="Gill Sans MT" w:hAnsi="Gill Sans MT" w:eastAsia="Gill Sans MT"/>
          <w:b w:val="0"/>
          <w:i w:val="0"/>
          <w:color w:val="000000"/>
          <w:sz w:val="24"/>
        </w:rPr>
        <w:t>Une tension professionnelle est un signal de déséquilibre, d’incompréhension ou de désaccord dans une situation de travail. Elle peut être ponctuelle et se résoudre rapidement. Elle peut aussi se répéter, s’intensifier ou modifier la coopération entre les personnes.</w:t>
      </w:r>
    </w:p>
    <w:p>
      <w:pPr>
        <w:spacing w:before="0" w:after="100" w:line="276" w:lineRule="auto"/>
      </w:pPr>
      <w:r>
        <w:rPr>
          <w:rFonts w:ascii="Gill Sans MT" w:hAnsi="Gill Sans MT" w:eastAsia="Gill Sans MT"/>
          <w:b w:val="0"/>
          <w:i w:val="0"/>
          <w:color w:val="000000"/>
          <w:sz w:val="24"/>
        </w:rPr>
        <w:t>Une tension n’est donc pas automatiquement un conflit. Elle indique qu’un élément mérite d’être observé et mis en discussion.</w:t>
      </w:r>
    </w:p>
    <w:p>
      <w:pPr>
        <w:keepNext/>
        <w:spacing w:before="140" w:after="100" w:line="252" w:lineRule="auto"/>
      </w:pPr>
      <w:r>
        <w:rPr>
          <w:rFonts w:ascii="Gill Sans MT" w:hAnsi="Gill Sans MT" w:eastAsia="Gill Sans MT"/>
          <w:b/>
          <w:i w:val="0"/>
          <w:color w:val="C71A7C"/>
          <w:sz w:val="34"/>
        </w:rPr>
        <w:t>Une évolution possible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Irritation</w:t>
            </w:r>
          </w:p>
        </w:tc>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Incompréhension</w:t>
            </w:r>
          </w:p>
        </w:tc>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Désaccord</w:t>
            </w:r>
          </w:p>
        </w:tc>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Opposition</w:t>
            </w:r>
          </w:p>
        </w:tc>
        <w:tc>
          <w:tcPr>
            <w:tcW w:type="dxa" w:w="2098"/>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Conflit installé</w:t>
            </w:r>
          </w:p>
        </w:tc>
      </w:tr>
    </w:tbl>
    <w:p>
      <w:pPr>
        <w:spacing w:after="20"/>
      </w:pPr>
    </w:p>
    <w:p>
      <w:pPr>
        <w:spacing w:before="0" w:after="100" w:line="276" w:lineRule="auto"/>
      </w:pPr>
      <w:r>
        <w:rPr>
          <w:rFonts w:ascii="Gill Sans MT" w:hAnsi="Gill Sans MT" w:eastAsia="Gill Sans MT"/>
          <w:b w:val="0"/>
          <w:i/>
          <w:color w:val="9B8E7D"/>
          <w:sz w:val="19"/>
        </w:rPr>
        <w:t>Cette progression est un repère : toutes les tensions ne suivent pas ce chemin et une régulation peut intervenir à chaque étape.</w:t>
      </w:r>
    </w:p>
    <w:p>
      <w:pPr>
        <w:keepNext/>
        <w:spacing w:before="140" w:after="100" w:line="252" w:lineRule="auto"/>
      </w:pPr>
      <w:r>
        <w:rPr>
          <w:rFonts w:ascii="Gill Sans MT" w:hAnsi="Gill Sans MT" w:eastAsia="Gill Sans MT"/>
          <w:b/>
          <w:i w:val="0"/>
          <w:color w:val="C71A7C"/>
          <w:sz w:val="34"/>
        </w:rPr>
        <w:t>Quels signes observer ?</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Zone d’observation</w:t>
            </w:r>
          </w:p>
        </w:tc>
        <w:tc>
          <w:tcPr>
            <w:tcW w:type="dxa" w:w="6123"/>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Exemples de signes</w:t>
            </w:r>
          </w:p>
        </w:tc>
      </w:tr>
      <w:tr>
        <w:tc>
          <w:tcPr>
            <w:tcW w:type="dxa" w:w="283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Paroles</w:t>
            </w:r>
          </w:p>
        </w:tc>
        <w:tc>
          <w:tcPr>
            <w:tcW w:type="dxa" w:w="6123"/>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Reproches, généralisations, ironie, interruptions, silence inhabituel.</w:t>
            </w:r>
          </w:p>
        </w:tc>
      </w:tr>
      <w:tr>
        <w:tc>
          <w:tcPr>
            <w:tcW w:type="dxa" w:w="2835"/>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20"/>
              </w:rPr>
              <w:t>Comportements</w:t>
            </w:r>
          </w:p>
        </w:tc>
        <w:tc>
          <w:tcPr>
            <w:tcW w:type="dxa" w:w="6123"/>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20"/>
              </w:rPr>
              <w:t>Retrait, évitement, hausse du ton, refus de coopérer, transmission minimale.</w:t>
            </w:r>
          </w:p>
        </w:tc>
      </w:tr>
      <w:tr>
        <w:tc>
          <w:tcPr>
            <w:tcW w:type="dxa" w:w="283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Travail</w:t>
            </w:r>
          </w:p>
        </w:tc>
        <w:tc>
          <w:tcPr>
            <w:tcW w:type="dxa" w:w="6123"/>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Retard, oubli, doublon, information incomplète, tâche non réalisée ou priorité contestée.</w:t>
            </w:r>
          </w:p>
        </w:tc>
      </w:tr>
      <w:tr>
        <w:tc>
          <w:tcPr>
            <w:tcW w:type="dxa" w:w="2835"/>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20"/>
              </w:rPr>
              <w:t>Collectif</w:t>
            </w:r>
          </w:p>
        </w:tc>
        <w:tc>
          <w:tcPr>
            <w:tcW w:type="dxa" w:w="6123"/>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20"/>
              </w:rPr>
              <w:t>Clans, réunions difficiles, circulation sélective de l’information, baisse de l’entraide.</w:t>
            </w:r>
          </w:p>
        </w:tc>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Question réflexe</w:t>
              <w:br/>
            </w:r>
            <w:r>
              <w:rPr>
                <w:rFonts w:ascii="Gill Sans MT" w:hAnsi="Gill Sans MT" w:eastAsia="Gill Sans MT"/>
                <w:b w:val="0"/>
                <w:i w:val="0"/>
                <w:color w:val="000000"/>
                <w:sz w:val="22"/>
              </w:rPr>
              <w:t>Qu’est-ce que je pourrais décrire à quelqu’un qui n’était pas présent, sans porter de jugement sur les personnes ?</w:t>
            </w:r>
          </w:p>
        </w:tc>
        <w:trPr>
          <w:tblHeader/>
        </w:trPr>
      </w:tr>
    </w:tbl>
    <w:p>
      <w:pPr>
        <w:spacing w:after="20"/>
      </w:pPr>
    </w:p>
    <w:p>
      <w:r>
        <w:br w:type="page"/>
      </w:r>
    </w:p>
    <w:p>
      <w:pPr>
        <w:keepNext/>
        <w:spacing w:before="0" w:after="160" w:line="240" w:lineRule="auto"/>
      </w:pPr>
      <w:r>
        <w:rPr>
          <w:rFonts w:ascii="Gill Sans MT" w:hAnsi="Gill Sans MT" w:eastAsia="Gill Sans MT"/>
          <w:b/>
          <w:i w:val="0"/>
          <w:color w:val="911562"/>
          <w:sz w:val="48"/>
        </w:rPr>
        <w:t>2. Comprendre d’où viennent les tensions</w:t>
      </w:r>
    </w:p>
    <w:p>
      <w:pPr>
        <w:spacing w:before="0" w:after="100" w:line="276" w:lineRule="auto"/>
      </w:pPr>
      <w:r>
        <w:rPr>
          <w:rFonts w:ascii="Gill Sans MT" w:hAnsi="Gill Sans MT" w:eastAsia="Gill Sans MT"/>
          <w:b w:val="0"/>
          <w:i w:val="0"/>
          <w:color w:val="000000"/>
          <w:sz w:val="24"/>
        </w:rPr>
        <w:t>Une tension a rarement une cause unique. Plusieurs facteurs peuvent se cumuler : une forte charge de travail, un rôle imprécis, une information incomplète et une façon de s’adresser à l’autre. Rechercher plusieurs causes évite de réduire le problème à la personnalité d’un collègue ou à un métier.</w:t>
      </w:r>
    </w:p>
    <w:p>
      <w:pPr>
        <w:keepNext/>
        <w:spacing w:before="140" w:after="100" w:line="252" w:lineRule="auto"/>
      </w:pPr>
      <w:r>
        <w:rPr>
          <w:rFonts w:ascii="Gill Sans MT" w:hAnsi="Gill Sans MT" w:eastAsia="Gill Sans MT"/>
          <w:b/>
          <w:i w:val="0"/>
          <w:color w:val="C71A7C"/>
          <w:sz w:val="34"/>
        </w:rPr>
        <w:t>Quatre familles de facteurs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479"/>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Organisation du travail</w:t>
            </w:r>
          </w:p>
        </w:tc>
        <w:tc>
          <w:tcPr>
            <w:tcW w:type="dxa" w:w="4479"/>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Rôles et responsabilités</w:t>
            </w:r>
          </w:p>
        </w:tc>
      </w:tr>
      <w:tr>
        <w:tc>
          <w:tcPr>
            <w:tcW w:type="dxa" w:w="447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Transmissions, articulation des postes, urgences, répartition des tâches, interruptions, manque de temps ou de moyens.</w:t>
            </w:r>
          </w:p>
        </w:tc>
        <w:tc>
          <w:tcPr>
            <w:tcW w:type="dxa" w:w="447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Attentes différentes selon les métiers, responsabilités qui se chevauchent, décisions mal comprises, limites de fonction imprécises.</w:t>
            </w:r>
          </w:p>
        </w:tc>
      </w:tr>
    </w:tbl>
    <w:p>
      <w:pPr>
        <w:spacing w:after="20"/>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479"/>
            <w:shd w:fill="C71A7C"/>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Communication et relations</w:t>
            </w:r>
          </w:p>
        </w:tc>
        <w:tc>
          <w:tcPr>
            <w:tcW w:type="dxa" w:w="4479"/>
            <w:shd w:fill="C71A7C"/>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20"/>
              </w:rPr>
              <w:t>Contraintes de l’accompagnement</w:t>
            </w:r>
          </w:p>
        </w:tc>
      </w:tr>
      <w:tr>
        <w:tc>
          <w:tcPr>
            <w:tcW w:type="dxa" w:w="447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Non-dits, demandes imprécises, remarques répétées, jugements, interruptions, informations non partagées.</w:t>
            </w:r>
          </w:p>
        </w:tc>
        <w:tc>
          <w:tcPr>
            <w:tcW w:type="dxa" w:w="447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20"/>
              </w:rPr>
              <w:t>Charge émotionnelle, situations de santé complexes, urgence sociale, agressivité, imprévus, sentiment d’impuissance.</w:t>
            </w:r>
          </w:p>
        </w:tc>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Point de vigilance</w:t>
              <w:br/>
            </w:r>
            <w:r>
              <w:rPr>
                <w:rFonts w:ascii="Gill Sans MT" w:hAnsi="Gill Sans MT" w:eastAsia="Gill Sans MT"/>
                <w:b w:val="0"/>
                <w:i w:val="0"/>
                <w:color w:val="000000"/>
                <w:sz w:val="22"/>
              </w:rPr>
              <w:t>Chercher plusieurs explications ne signifie pas excuser tous les comportements. Cela permet de comprendre sur quoi il est possible d’agir : organisation, règles, communication, ressources, coopération ou encadrement.</w:t>
            </w:r>
          </w:p>
        </w:tc>
        <w:trPr>
          <w:tblHeader/>
        </w:trPr>
      </w:tr>
    </w:tbl>
    <w:p>
      <w:pPr>
        <w:spacing w:after="20"/>
      </w:pPr>
    </w:p>
    <w:p>
      <w:pPr>
        <w:keepNext/>
        <w:spacing w:before="140" w:after="100" w:line="252" w:lineRule="auto"/>
      </w:pPr>
      <w:r>
        <w:rPr>
          <w:rFonts w:ascii="Gill Sans MT" w:hAnsi="Gill Sans MT" w:eastAsia="Gill Sans MT"/>
          <w:b/>
          <w:i w:val="0"/>
          <w:color w:val="C71A7C"/>
          <w:sz w:val="34"/>
        </w:rPr>
        <w:t>Mini-analyse</w:t>
      </w:r>
    </w:p>
    <w:p>
      <w:pPr>
        <w:spacing w:before="0" w:after="100" w:line="276" w:lineRule="auto"/>
      </w:pPr>
      <w:r>
        <w:rPr>
          <w:rFonts w:ascii="Gill Sans MT" w:hAnsi="Gill Sans MT" w:eastAsia="Gill Sans MT"/>
          <w:b w:val="0"/>
          <w:i w:val="0"/>
          <w:color w:val="000000"/>
          <w:sz w:val="22"/>
        </w:rPr>
        <w:t>Dans la situation de départ, quelles familles de facteurs peuvent être présentes ? Cochez puis justifiez.</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Organisation du travail</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Rôles et responsabilités</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Communication et relations</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Contraintes de l’accompagnement</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3. Transformer une accusation en observation</w:t>
      </w:r>
    </w:p>
    <w:p>
      <w:pPr>
        <w:spacing w:before="0" w:after="100" w:line="276" w:lineRule="auto"/>
      </w:pPr>
      <w:r>
        <w:rPr>
          <w:rFonts w:ascii="Gill Sans MT" w:hAnsi="Gill Sans MT" w:eastAsia="Gill Sans MT"/>
          <w:b w:val="0"/>
          <w:i w:val="0"/>
          <w:color w:val="000000"/>
          <w:sz w:val="24"/>
        </w:rPr>
        <w:t>Décrire une situation observable permet de parler du problème sans enfermer une personne ou un métier dans une étiquette.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422"/>
            <w:shd w:fill="C71A7C"/>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Formulation qui accuse</w:t>
            </w:r>
          </w:p>
        </w:tc>
        <w:tc>
          <w:tcPr>
            <w:tcW w:type="dxa" w:w="4535"/>
            <w:shd w:fill="C71A7C"/>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Formulation centrée sur la situation</w:t>
            </w:r>
          </w:p>
        </w:tc>
      </w:tr>
      <w:tr>
        <w:tc>
          <w:tcPr>
            <w:tcW w:type="dxa" w:w="4422"/>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 La nuit ne transmet rien. »</w:t>
            </w:r>
          </w:p>
        </w:tc>
        <w:tc>
          <w:tcPr>
            <w:tcW w:type="dxa" w:w="453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 Une information importante n’est pas disponible lors de la prise de poste. »</w:t>
            </w:r>
          </w:p>
        </w:tc>
      </w:tr>
      <w:tr>
        <w:tc>
          <w:tcPr>
            <w:tcW w:type="dxa" w:w="4422"/>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 Les soignants donnent des ordres. »</w:t>
            </w:r>
          </w:p>
        </w:tc>
        <w:tc>
          <w:tcPr>
            <w:tcW w:type="dxa" w:w="4535"/>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 Une demande est formulée sans préciser le contexte ni la priorité. »</w:t>
            </w:r>
          </w:p>
        </w:tc>
      </w:tr>
      <w:tr>
        <w:tc>
          <w:tcPr>
            <w:tcW w:type="dxa" w:w="4422"/>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 Certains ne font jamais leur travail. »</w:t>
            </w:r>
          </w:p>
        </w:tc>
        <w:tc>
          <w:tcPr>
            <w:tcW w:type="dxa" w:w="453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 Une tâche attendue n’est pas réalisée ou son attribution n’est pas comprise. »</w:t>
            </w:r>
          </w:p>
        </w:tc>
      </w:tr>
    </w:tbl>
    <w:p>
      <w:pPr>
        <w:spacing w:after="20"/>
      </w:pPr>
    </w:p>
    <w:p>
      <w:pPr>
        <w:keepNext/>
        <w:spacing w:before="140" w:after="100" w:line="252" w:lineRule="auto"/>
      </w:pPr>
      <w:r>
        <w:rPr>
          <w:rFonts w:ascii="Gill Sans MT" w:hAnsi="Gill Sans MT" w:eastAsia="Gill Sans MT"/>
          <w:b/>
          <w:i w:val="0"/>
          <w:color w:val="C71A7C"/>
          <w:sz w:val="34"/>
        </w:rPr>
        <w:t>À vous</w:t>
      </w:r>
    </w:p>
    <w:p>
      <w:pPr>
        <w:keepNext/>
        <w:spacing w:before="100" w:after="60" w:line="252" w:lineRule="auto"/>
      </w:pPr>
      <w:r>
        <w:rPr>
          <w:rFonts w:ascii="Gill Sans MT" w:hAnsi="Gill Sans MT" w:eastAsia="Gill Sans MT"/>
          <w:b/>
          <w:i w:val="0"/>
          <w:color w:val="53136D"/>
          <w:sz w:val="26"/>
        </w:rPr>
        <w:t>1. « Avec eux, on ne peut jamais discuter.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2. « Personne ne respecte les transmissions.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3. Une formulation entendue ou imaginée par le groupe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40" w:after="100" w:line="252" w:lineRule="auto"/>
      </w:pPr>
      <w:r>
        <w:rPr>
          <w:rFonts w:ascii="Gill Sans MT" w:hAnsi="Gill Sans MT" w:eastAsia="Gill Sans MT"/>
          <w:b/>
          <w:i w:val="0"/>
          <w:color w:val="C71A7C"/>
          <w:sz w:val="34"/>
        </w:rPr>
        <w:t>Mes critères de réussite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Je n’utilise pas « toujours », « jamais », « personne », « tout le monde ».</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Je ne qualifie pas la personne.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Je décris un élément observable.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Je précise si possible le contexte.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Une autre personne pourrait comprendre ce qui s’est passé sans connaître les protagonistes.</w:t>
      </w:r>
    </w:p>
    <w:p>
      <w:r>
        <w:br w:type="page"/>
      </w:r>
    </w:p>
    <w:p>
      <w:pPr>
        <w:keepNext/>
        <w:spacing w:before="0" w:after="160" w:line="240" w:lineRule="auto"/>
      </w:pPr>
      <w:r>
        <w:rPr>
          <w:rFonts w:ascii="Gill Sans MT" w:hAnsi="Gill Sans MT" w:eastAsia="Gill Sans MT"/>
          <w:b/>
          <w:i w:val="0"/>
          <w:color w:val="911562"/>
          <w:sz w:val="48"/>
        </w:rPr>
        <w:t>4. Cartographier les situations de travail</w:t>
      </w:r>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Confidentialité et anonymisation</w:t>
              <w:br/>
            </w:r>
            <w:r>
              <w:rPr>
                <w:rFonts w:ascii="Gill Sans MT" w:hAnsi="Gill Sans MT" w:eastAsia="Gill Sans MT"/>
                <w:b w:val="0"/>
                <w:i w:val="0"/>
                <w:color w:val="000000"/>
                <w:sz w:val="22"/>
              </w:rPr>
              <w:t>Travaillez uniquement à partir de situations anonymisées ou fictives. Ne notez aucun nom, prénom, initiale, numéro de chambre, diagnostic, date précise ou autre information permettant d’identifier un collègue ou une personne accueillie.</w:t>
            </w:r>
          </w:p>
        </w:tc>
        <w:trPr>
          <w:tblHeader/>
        </w:trPr>
      </w:tr>
    </w:tbl>
    <w:p>
      <w:pPr>
        <w:spacing w:after="20"/>
      </w:pPr>
    </w:p>
    <w:p>
      <w:pPr>
        <w:spacing w:before="0" w:after="100" w:line="276" w:lineRule="auto"/>
      </w:pPr>
      <w:r>
        <w:rPr>
          <w:rFonts w:ascii="Gill Sans MT" w:hAnsi="Gill Sans MT" w:eastAsia="Gill Sans MT"/>
          <w:b w:val="0"/>
          <w:i w:val="0"/>
          <w:color w:val="000000"/>
          <w:sz w:val="22"/>
        </w:rPr>
        <w:t>Complétez la phrase : « Une tension peut apparaître lorsque… ». Une ligne correspond à une situation.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402"/>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Situation décrite</w:t>
            </w:r>
          </w:p>
        </w:tc>
        <w:tc>
          <w:tcPr>
            <w:tcW w:type="dxa" w:w="2948"/>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Source(s) possible(s)</w:t>
            </w:r>
          </w:p>
        </w:tc>
        <w:tc>
          <w:tcPr>
            <w:tcW w:type="dxa" w:w="2721"/>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Signes observables</w:t>
            </w:r>
          </w:p>
        </w:tc>
      </w:tr>
      <w:tr>
        <w:tc>
          <w:tcPr>
            <w:tcW w:type="dxa" w:w="3402"/>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br/>
              <w:br/>
            </w:r>
          </w:p>
        </w:tc>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br/>
              <w:br/>
            </w:r>
          </w:p>
        </w:tc>
        <w:tc>
          <w:tcPr>
            <w:tcW w:type="dxa" w:w="272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br/>
              <w:br/>
            </w:r>
          </w:p>
        </w:tc>
      </w:tr>
      <w:tr>
        <w:tc>
          <w:tcPr>
            <w:tcW w:type="dxa" w:w="3402"/>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r>
          </w:p>
        </w:tc>
        <w:tc>
          <w:tcPr>
            <w:tcW w:type="dxa" w:w="294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r>
          </w:p>
        </w:tc>
        <w:tc>
          <w:tcPr>
            <w:tcW w:type="dxa" w:w="272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r>
          </w:p>
        </w:tc>
      </w:tr>
      <w:tr>
        <w:tc>
          <w:tcPr>
            <w:tcW w:type="dxa" w:w="3402"/>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r>
          </w:p>
        </w:tc>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r>
          </w:p>
        </w:tc>
        <w:tc>
          <w:tcPr>
            <w:tcW w:type="dxa" w:w="272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r>
          </w:p>
        </w:tc>
      </w:tr>
      <w:tr>
        <w:tc>
          <w:tcPr>
            <w:tcW w:type="dxa" w:w="3402"/>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r>
          </w:p>
        </w:tc>
        <w:tc>
          <w:tcPr>
            <w:tcW w:type="dxa" w:w="294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r>
          </w:p>
        </w:tc>
        <w:tc>
          <w:tcPr>
            <w:tcW w:type="dxa" w:w="272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r>
          </w:p>
        </w:tc>
      </w:tr>
    </w:tbl>
    <w:p>
      <w:pPr>
        <w:spacing w:after="20"/>
      </w:pPr>
    </w:p>
    <w:p>
      <w:pPr>
        <w:spacing w:before="0" w:after="100" w:line="276" w:lineRule="auto"/>
      </w:pPr>
      <w:r>
        <w:rPr>
          <w:rFonts w:ascii="Gill Sans MT" w:hAnsi="Gill Sans MT" w:eastAsia="Gill Sans MT"/>
          <w:b w:val="0"/>
          <w:i/>
          <w:color w:val="9B8E7D"/>
          <w:sz w:val="19"/>
        </w:rPr>
        <w:t>Sources possibles : organisation du travail – rôles et responsabilités – communication et relations – contraintes de l’accompagnement.</w:t>
      </w:r>
    </w:p>
    <w:p>
      <w:pPr>
        <w:keepNext/>
        <w:spacing w:before="140" w:after="100" w:line="252" w:lineRule="auto"/>
      </w:pPr>
      <w:r>
        <w:rPr>
          <w:rFonts w:ascii="Gill Sans MT" w:hAnsi="Gill Sans MT" w:eastAsia="Gill Sans MT"/>
          <w:b/>
          <w:i w:val="0"/>
          <w:color w:val="C71A7C"/>
          <w:sz w:val="34"/>
        </w:rPr>
        <w:t>Choisir une situation à approfondir</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Elle revient régulièrement.</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Elle concerne plusieurs métiers ou plusieurs temps de travail.</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Elle produit des effets importants sur la coopération ou l’accompagnement.</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Une marge d’action collective semble possible.</w:t>
      </w:r>
    </w:p>
    <w:p>
      <w:pPr>
        <w:keepNext/>
        <w:spacing w:before="100" w:after="60" w:line="252" w:lineRule="auto"/>
      </w:pPr>
      <w:r>
        <w:rPr>
          <w:rFonts w:ascii="Gill Sans MT" w:hAnsi="Gill Sans MT" w:eastAsia="Gill Sans MT"/>
          <w:b/>
          <w:i w:val="0"/>
          <w:color w:val="53136D"/>
          <w:sz w:val="26"/>
        </w:rPr>
        <w:t>Situation retenue – anonymisée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5. Identifier les impacts des tensions</w:t>
      </w:r>
    </w:p>
    <w:p>
      <w:pPr>
        <w:spacing w:before="0" w:after="100" w:line="276" w:lineRule="auto"/>
      </w:pPr>
      <w:r>
        <w:rPr>
          <w:rFonts w:ascii="Gill Sans MT" w:hAnsi="Gill Sans MT" w:eastAsia="Gill Sans MT"/>
          <w:b w:val="0"/>
          <w:i w:val="0"/>
          <w:color w:val="000000"/>
          <w:sz w:val="24"/>
        </w:rPr>
        <w:t>Une tension ne reste pas toujours limitée à l’échange entre deux personnes. Elle peut influencer la santé des professionnels, la coopération de l’équipe, l’organisation du travail et la qualité de l’accompagnement. Observer ces effets permet de comprendre pourquoi une régulation collective est parfois nécessaire.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05"/>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Sur le professionnel</w:t>
            </w:r>
          </w:p>
        </w:tc>
        <w:tc>
          <w:tcPr>
            <w:tcW w:type="dxa" w:w="3005"/>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Sur l’équipe et l’organisation</w:t>
            </w:r>
          </w:p>
        </w:tc>
        <w:tc>
          <w:tcPr>
            <w:tcW w:type="dxa" w:w="3005"/>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Sur la personne accueillie</w:t>
            </w:r>
          </w:p>
        </w:tc>
      </w:tr>
      <w:tr>
        <w:tc>
          <w:tcPr>
            <w:tcW w:type="dxa" w:w="300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Stress, fatigue, irritation, perte de confiance, évitement, sentiment d’isolement.</w:t>
            </w:r>
          </w:p>
        </w:tc>
        <w:tc>
          <w:tcPr>
            <w:tcW w:type="dxa" w:w="300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Rétention d’information, erreurs, doublons, clans, absences, baisse de l’entraide.</w:t>
            </w:r>
          </w:p>
        </w:tc>
        <w:tc>
          <w:tcPr>
            <w:tcW w:type="dxa" w:w="3005"/>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Incohérences, retard, manque d’information, sentiment d’insécurité, accompagnement moins individualisé.</w:t>
            </w:r>
          </w:p>
        </w:tc>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À garder en tête</w:t>
              <w:br/>
            </w:r>
            <w:r>
              <w:rPr>
                <w:rFonts w:ascii="Gill Sans MT" w:hAnsi="Gill Sans MT" w:eastAsia="Gill Sans MT"/>
                <w:b w:val="0"/>
                <w:i w:val="0"/>
                <w:color w:val="000000"/>
                <w:sz w:val="22"/>
              </w:rPr>
              <w:t>Il s’agit d’effets possibles, et non de conséquences automatiques. Une même situation peut produire des effets différents selon le contexte, les personnes et les ressources disponibles.</w:t>
            </w:r>
          </w:p>
        </w:tc>
        <w:trPr>
          <w:tblHeader/>
        </w:trPr>
      </w:tr>
    </w:tbl>
    <w:p>
      <w:pPr>
        <w:spacing w:after="20"/>
      </w:pPr>
    </w:p>
    <w:p>
      <w:pPr>
        <w:keepNext/>
        <w:spacing w:before="140" w:after="100" w:line="252" w:lineRule="auto"/>
      </w:pPr>
      <w:r>
        <w:rPr>
          <w:rFonts w:ascii="Gill Sans MT" w:hAnsi="Gill Sans MT" w:eastAsia="Gill Sans MT"/>
          <w:b/>
          <w:i w:val="0"/>
          <w:color w:val="C71A7C"/>
          <w:sz w:val="34"/>
        </w:rPr>
        <w:t>Repérez les impacts possibles de votre situation</w:t>
      </w:r>
    </w:p>
    <w:p>
      <w:pPr>
        <w:keepNext/>
        <w:spacing w:before="100" w:after="60" w:line="252" w:lineRule="auto"/>
      </w:pPr>
      <w:r>
        <w:rPr>
          <w:rFonts w:ascii="Gill Sans MT" w:hAnsi="Gill Sans MT" w:eastAsia="Gill Sans MT"/>
          <w:b/>
          <w:i w:val="0"/>
          <w:color w:val="53136D"/>
          <w:sz w:val="26"/>
        </w:rPr>
        <w:t>Sur le professionnel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Sur l’équipe et l’organisation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Sur la personne accueillie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6. La chaîne des conséquences</w:t>
      </w:r>
    </w:p>
    <w:p>
      <w:pPr>
        <w:spacing w:before="0" w:after="100" w:line="276" w:lineRule="auto"/>
      </w:pPr>
      <w:r>
        <w:rPr>
          <w:rFonts w:ascii="Gill Sans MT" w:hAnsi="Gill Sans MT" w:eastAsia="Gill Sans MT"/>
          <w:b w:val="0"/>
          <w:i w:val="0"/>
          <w:color w:val="000000"/>
          <w:sz w:val="24"/>
        </w:rPr>
        <w:t>Cette grille aide à distinguer ce qui est observé de ce qui pourrait se produire ensuite.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7"/>
              </w:rPr>
              <w:t>Situation de travail</w:t>
            </w:r>
          </w:p>
        </w:tc>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7"/>
              </w:rPr>
              <w:t>Tension observable</w:t>
            </w:r>
          </w:p>
        </w:tc>
        <w:tc>
          <w:tcPr>
            <w:tcW w:type="dxa" w:w="1871"/>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7"/>
              </w:rPr>
              <w:t>Réaction professionnelle</w:t>
            </w:r>
          </w:p>
        </w:tc>
        <w:tc>
          <w:tcPr>
            <w:tcW w:type="dxa" w:w="1757"/>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7"/>
              </w:rPr>
              <w:t>Effet sur le collectif</w:t>
            </w:r>
          </w:p>
        </w:tc>
        <w:tc>
          <w:tcPr>
            <w:tcW w:type="dxa" w:w="1928"/>
            <w:shd w:fill="6A357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7"/>
              </w:rPr>
              <w:t>Effet possible sur la personne accueillie</w:t>
            </w:r>
          </w:p>
        </w:tc>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4EFF6"/>
            <w:tcBorders>
              <w:top w:val="single" w:sz="10" w:color="53136D"/>
              <w:left w:val="single" w:sz="10" w:color="53136D"/>
              <w:bottom w:val="single" w:sz="10" w:color="53136D"/>
              <w:right w:val="single" w:sz="10" w:color="53136D"/>
              <w:insideH w:val="single" w:sz="10" w:color="53136D"/>
              <w:insideV w:val="single" w:sz="10" w:color="53136D"/>
            </w:tcBorders>
            <w:vAlign w:val="center"/>
          </w:tcPr>
          <w:p>
            <w:pPr>
              <w:spacing w:before="40" w:after="40" w:line="269" w:lineRule="auto"/>
            </w:pPr>
            <w:r>
              <w:rPr>
                <w:rFonts w:ascii="Gill Sans MT" w:hAnsi="Gill Sans MT" w:eastAsia="Gill Sans MT"/>
                <w:b/>
                <w:i w:val="0"/>
                <w:color w:val="53136D"/>
                <w:sz w:val="24"/>
              </w:rPr>
              <w:t>Exemple</w:t>
              <w:br/>
            </w:r>
            <w:r>
              <w:rPr>
                <w:rFonts w:ascii="Gill Sans MT" w:hAnsi="Gill Sans MT" w:eastAsia="Gill Sans MT"/>
                <w:b w:val="0"/>
                <w:i w:val="0"/>
                <w:color w:val="000000"/>
                <w:sz w:val="22"/>
              </w:rPr>
              <w:t>Modification non transmise → irritation → reproche → partage d’information réduit → risque d’incohérence dans l’accompagnement.</w:t>
            </w:r>
          </w:p>
        </w:tc>
        <w:trPr>
          <w:tblHeader/>
        </w:trPr>
      </w:tr>
    </w:tbl>
    <w:p>
      <w:pPr>
        <w:spacing w:after="20"/>
      </w:pPr>
    </w:p>
    <w:p>
      <w:pPr>
        <w:keepNext/>
        <w:spacing w:before="140" w:after="100" w:line="252" w:lineRule="auto"/>
      </w:pPr>
      <w:r>
        <w:rPr>
          <w:rFonts w:ascii="Gill Sans MT" w:hAnsi="Gill Sans MT" w:eastAsia="Gill Sans MT"/>
          <w:b/>
          <w:i w:val="0"/>
          <w:color w:val="C71A7C"/>
          <w:sz w:val="34"/>
        </w:rPr>
        <w:t>Mise en pratique : analyser une situation</w:t>
      </w:r>
    </w:p>
    <w:p>
      <w:pPr>
        <w:keepNext/>
        <w:spacing w:before="100" w:after="60" w:line="252" w:lineRule="auto"/>
      </w:pPr>
      <w:r>
        <w:rPr>
          <w:rFonts w:ascii="Gill Sans MT" w:hAnsi="Gill Sans MT" w:eastAsia="Gill Sans MT"/>
          <w:b/>
          <w:i w:val="0"/>
          <w:color w:val="53136D"/>
          <w:sz w:val="26"/>
        </w:rPr>
        <w:t>1. Situation de travail</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2. Tension observable</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3. Réaction professionnelle</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4. Effet sur le collectif</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5. Effet possible sur la personne accueillie</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40" w:after="100" w:line="252" w:lineRule="auto"/>
      </w:pPr>
      <w:r>
        <w:rPr>
          <w:rFonts w:ascii="Gill Sans MT" w:hAnsi="Gill Sans MT" w:eastAsia="Gill Sans MT"/>
          <w:b/>
          <w:i w:val="0"/>
          <w:color w:val="C71A7C"/>
          <w:sz w:val="34"/>
        </w:rPr>
        <w:t>Où peut-on interrompre la chaîne ?</w:t>
      </w:r>
    </w:p>
    <w:p>
      <w:pPr>
        <w:spacing w:before="0" w:after="100" w:line="276" w:lineRule="auto"/>
      </w:pPr>
      <w:r>
        <w:rPr>
          <w:rFonts w:ascii="Gill Sans MT" w:hAnsi="Gill Sans MT" w:eastAsia="Gill Sans MT"/>
          <w:b w:val="0"/>
          <w:i w:val="0"/>
          <w:color w:val="000000"/>
          <w:sz w:val="22"/>
        </w:rPr>
        <w:t>À quel endroit de cette chaîne une action individuelle, collective ou organisationnelle pourrait-elle éviter l’aggravation de la tension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7. Où pouvons-nous agir ?</w:t>
      </w:r>
    </w:p>
    <w:p>
      <w:pPr>
        <w:spacing w:before="0" w:after="100" w:line="276" w:lineRule="auto"/>
      </w:pPr>
      <w:r>
        <w:rPr>
          <w:rFonts w:ascii="Gill Sans MT" w:hAnsi="Gill Sans MT" w:eastAsia="Gill Sans MT"/>
          <w:b w:val="0"/>
          <w:i w:val="0"/>
          <w:color w:val="000000"/>
          <w:sz w:val="24"/>
        </w:rPr>
        <w:t>Une régulation efficace consiste à agir au bon niveau : sur sa propre communication, dans le collectif ou au niveau de l’organisation.</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Clarifier l’information attendue et son canal de transmission.</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Préciser les rôles, les responsabilités ou les priorités.</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Décrire le problème sans généralisation ni accusation.</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Formuler une demande claire et négociable.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Organiser un temps de régulation lorsque la situation se répète.</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Solliciter l’encadrement lorsque la situation dépasse notre marge d’action.</w:t>
      </w:r>
    </w:p>
    <w:p>
      <w:pPr>
        <w:spacing w:before="0" w:after="40" w:line="259" w:lineRule="auto"/>
      </w:pPr>
      <w:r>
        <w:rPr>
          <w:rFonts w:ascii="Gill Sans MT" w:hAnsi="Gill Sans MT" w:eastAsia="Gill Sans MT"/>
          <w:b/>
          <w:i w:val="0"/>
          <w:color w:val="53136D"/>
          <w:sz w:val="24"/>
        </w:rPr>
        <w:t xml:space="preserve">☐  </w:t>
      </w:r>
      <w:r>
        <w:rPr>
          <w:rFonts w:ascii="Gill Sans MT" w:hAnsi="Gill Sans MT" w:eastAsia="Gill Sans MT"/>
          <w:b w:val="0"/>
          <w:i w:val="0"/>
          <w:color w:val="000000"/>
          <w:sz w:val="23"/>
        </w:rPr>
        <w:t>Alerter les acteurs compétents lorsque la sécurité ou la bientraitance sont concernées.</w:t>
      </w:r>
    </w:p>
    <w:p>
      <w:pPr>
        <w:keepNext/>
        <w:spacing w:before="140" w:after="100" w:line="252" w:lineRule="auto"/>
      </w:pPr>
      <w:r>
        <w:rPr>
          <w:rFonts w:ascii="Gill Sans MT" w:hAnsi="Gill Sans MT" w:eastAsia="Gill Sans MT"/>
          <w:b/>
          <w:i w:val="0"/>
          <w:color w:val="C71A7C"/>
          <w:sz w:val="34"/>
        </w:rPr>
        <w:t>Ce qui dépend…</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948"/>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De moi</w:t>
            </w:r>
          </w:p>
        </w:tc>
        <w:tc>
          <w:tcPr>
            <w:tcW w:type="dxa" w:w="2948"/>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Du collectif</w:t>
            </w:r>
          </w:p>
        </w:tc>
        <w:tc>
          <w:tcPr>
            <w:tcW w:type="dxa" w:w="3061"/>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De l’organisation / encadrement</w:t>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br/>
              <w:br/>
              <w:br/>
            </w:r>
          </w:p>
        </w:tc>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br/>
              <w:br/>
              <w:br/>
            </w:r>
          </w:p>
        </w:tc>
        <w:tc>
          <w:tcPr>
            <w:tcW w:type="dxa" w:w="306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br/>
              <w:br/>
              <w:br/>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br/>
              <w:br/>
              <w:br/>
            </w:r>
          </w:p>
        </w:tc>
        <w:tc>
          <w:tcPr>
            <w:tcW w:type="dxa" w:w="294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br/>
              <w:br/>
              <w:br/>
            </w:r>
          </w:p>
        </w:tc>
        <w:tc>
          <w:tcPr>
            <w:tcW w:type="dxa" w:w="306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br/>
              <w:br/>
              <w:br/>
            </w:r>
          </w:p>
        </w:tc>
      </w:tr>
    </w:tbl>
    <w:p>
      <w:pPr>
        <w:spacing w:after="20"/>
      </w:pPr>
    </w:p>
    <w:p>
      <w:pPr>
        <w:keepNext/>
        <w:spacing w:before="140" w:after="100" w:line="252" w:lineRule="auto"/>
      </w:pPr>
      <w:r>
        <w:rPr>
          <w:rFonts w:ascii="Gill Sans MT" w:hAnsi="Gill Sans MT" w:eastAsia="Gill Sans MT"/>
          <w:b/>
          <w:i w:val="0"/>
          <w:color w:val="C71A7C"/>
          <w:sz w:val="34"/>
        </w:rPr>
        <w:t>Une première action réaliste</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r>
        <w:br w:type="page"/>
      </w:r>
    </w:p>
    <w:p>
      <w:pPr>
        <w:keepNext/>
        <w:spacing w:before="0" w:after="160" w:line="240" w:lineRule="auto"/>
      </w:pPr>
      <w:r>
        <w:rPr>
          <w:rFonts w:ascii="Gill Sans MT" w:hAnsi="Gill Sans MT" w:eastAsia="Gill Sans MT"/>
          <w:b/>
          <w:i w:val="0"/>
          <w:color w:val="911562"/>
          <w:sz w:val="48"/>
        </w:rPr>
        <w:t>8. Ce que je retiens et mon évaluation finale</w:t>
      </w:r>
    </w:p>
    <w:p>
      <w:pPr>
        <w:keepNext/>
        <w:spacing w:before="140" w:after="100" w:line="252" w:lineRule="auto"/>
      </w:pPr>
      <w:r>
        <w:rPr>
          <w:rFonts w:ascii="Gill Sans MT" w:hAnsi="Gill Sans MT" w:eastAsia="Gill Sans MT"/>
          <w:b/>
          <w:i w:val="0"/>
          <w:color w:val="C71A7C"/>
          <w:sz w:val="34"/>
        </w:rPr>
        <w:t>Mes repères essentiels</w:t>
      </w:r>
    </w:p>
    <w:p>
      <w:pPr>
        <w:spacing w:before="0" w:after="100" w:line="276" w:lineRule="auto"/>
      </w:pPr>
      <w:r>
        <w:rPr>
          <w:rFonts w:ascii="Gill Sans MT" w:hAnsi="Gill Sans MT" w:eastAsia="Gill Sans MT"/>
          <w:b/>
          <w:i w:val="0"/>
          <w:color w:val="000000"/>
          <w:sz w:val="21"/>
        </w:rPr>
        <w:t>1. Une tension est un signal : elle mérite d’être observée avant de s’installer.</w:t>
      </w:r>
    </w:p>
    <w:p>
      <w:pPr>
        <w:spacing w:before="0" w:after="100" w:line="276" w:lineRule="auto"/>
      </w:pPr>
      <w:r>
        <w:rPr>
          <w:rFonts w:ascii="Gill Sans MT" w:hAnsi="Gill Sans MT" w:eastAsia="Gill Sans MT"/>
          <w:b w:val="0"/>
          <w:i w:val="0"/>
          <w:color w:val="000000"/>
          <w:sz w:val="21"/>
        </w:rPr>
        <w:t>2. Elle peut avoir plusieurs sources : organisation, rôles, communication et contraintes de l’accompagnement.</w:t>
      </w:r>
    </w:p>
    <w:p>
      <w:pPr>
        <w:spacing w:before="0" w:after="100" w:line="276" w:lineRule="auto"/>
      </w:pPr>
      <w:r>
        <w:rPr>
          <w:rFonts w:ascii="Gill Sans MT" w:hAnsi="Gill Sans MT" w:eastAsia="Gill Sans MT"/>
          <w:b w:val="0"/>
          <w:i w:val="0"/>
          <w:color w:val="000000"/>
          <w:sz w:val="21"/>
        </w:rPr>
        <w:t>3. Elle ne doit pas être automatiquement réduite à la personnalité d’un collègue.</w:t>
      </w:r>
    </w:p>
    <w:p>
      <w:pPr>
        <w:spacing w:before="0" w:after="100" w:line="276" w:lineRule="auto"/>
      </w:pPr>
      <w:r>
        <w:rPr>
          <w:rFonts w:ascii="Gill Sans MT" w:hAnsi="Gill Sans MT" w:eastAsia="Gill Sans MT"/>
          <w:b w:val="0"/>
          <w:i w:val="0"/>
          <w:color w:val="000000"/>
          <w:sz w:val="21"/>
        </w:rPr>
        <w:t>4. Elle peut avoir des effets sur les professionnels, le collectif et les personnes accueillies.</w:t>
      </w:r>
    </w:p>
    <w:p>
      <w:pPr>
        <w:spacing w:before="0" w:after="100" w:line="276" w:lineRule="auto"/>
      </w:pPr>
      <w:r>
        <w:rPr>
          <w:rFonts w:ascii="Gill Sans MT" w:hAnsi="Gill Sans MT" w:eastAsia="Gill Sans MT"/>
          <w:b w:val="0"/>
          <w:i w:val="0"/>
          <w:color w:val="000000"/>
          <w:sz w:val="21"/>
        </w:rPr>
        <w:t>5. Décrire les faits aide à rechercher une réponse adaptée sans désigner un coupable.</w:t>
      </w:r>
    </w:p>
    <w:p>
      <w:pPr>
        <w:spacing w:before="0" w:after="100" w:line="276" w:lineRule="auto"/>
      </w:pPr>
      <w:r>
        <w:rPr>
          <w:rFonts w:ascii="Gill Sans MT" w:hAnsi="Gill Sans MT" w:eastAsia="Gill Sans MT"/>
          <w:b w:val="0"/>
          <w:i w:val="0"/>
          <w:color w:val="000000"/>
          <w:sz w:val="21"/>
        </w:rPr>
        <w:t>6. Agir sur une tension peut nécessiter une action individuelle, collective ou organisationnelle.</w:t>
      </w:r>
    </w:p>
    <w:p>
      <w:pPr>
        <w:keepNext/>
        <w:spacing w:before="140" w:after="100" w:line="252" w:lineRule="auto"/>
      </w:pPr>
      <w:r>
        <w:rPr>
          <w:rFonts w:ascii="Gill Sans MT" w:hAnsi="Gill Sans MT" w:eastAsia="Gill Sans MT"/>
          <w:b/>
          <w:i w:val="0"/>
          <w:color w:val="C71A7C"/>
          <w:sz w:val="34"/>
        </w:rPr>
        <w:t>Mon auto-positionnement après la séquence</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6009"/>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8"/>
              </w:rPr>
              <w:t>Je me sens capable de…</w:t>
            </w:r>
          </w:p>
        </w:tc>
        <w:tc>
          <w:tcPr>
            <w:tcW w:type="dxa" w:w="1191"/>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8"/>
              </w:rPr>
              <w:t>Pas encore</w:t>
            </w:r>
          </w:p>
        </w:tc>
        <w:tc>
          <w:tcPr>
            <w:tcW w:type="dxa" w:w="1191"/>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8"/>
              </w:rPr>
              <w:t>En partie</w:t>
            </w:r>
          </w:p>
        </w:tc>
        <w:tc>
          <w:tcPr>
            <w:tcW w:type="dxa" w:w="907"/>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8"/>
              </w:rPr>
              <w:t>Oui</w:t>
            </w:r>
          </w:p>
        </w:tc>
      </w:tr>
      <w:tr>
        <w:tc>
          <w:tcPr>
            <w:tcW w:type="dxa" w:w="600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Repérer au moins deux signes d’une tension</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r>
      <w:tr>
        <w:tc>
          <w:tcPr>
            <w:tcW w:type="dxa" w:w="600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Identifier plusieurs facteurs possibles</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r>
      <w:tr>
        <w:tc>
          <w:tcPr>
            <w:tcW w:type="dxa" w:w="600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Distinguer un fait d’une généralisation</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r>
      <w:tr>
        <w:tc>
          <w:tcPr>
            <w:tcW w:type="dxa" w:w="600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Reformuler une accusation en description</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r>
      <w:tr>
        <w:tc>
          <w:tcPr>
            <w:tcW w:type="dxa" w:w="600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Identifier les effets sur l’équipe et l’accompagnement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8"/>
              </w:rPr>
              <w:t>☐</w:t>
            </w:r>
          </w:p>
        </w:tc>
      </w:tr>
      <w:tr>
        <w:tc>
          <w:tcPr>
            <w:tcW w:type="dxa" w:w="600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Identifier une première piste d’action</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c>
          <w:tcPr>
            <w:tcW w:type="dxa" w:w="1191"/>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8"/>
              </w:rPr>
              <w:t>☐</w:t>
            </w:r>
          </w:p>
        </w:tc>
      </w:tr>
    </w:tbl>
    <w:p>
      <w:pPr>
        <w:spacing w:after="20"/>
      </w:pPr>
    </w:p>
    <w:p>
      <w:pPr>
        <w:keepNext/>
        <w:spacing w:before="140" w:after="100" w:line="252" w:lineRule="auto"/>
      </w:pPr>
      <w:r>
        <w:rPr>
          <w:rFonts w:ascii="Gill Sans MT" w:hAnsi="Gill Sans MT" w:eastAsia="Gill Sans MT"/>
          <w:b/>
          <w:i w:val="0"/>
          <w:color w:val="C71A7C"/>
          <w:sz w:val="34"/>
        </w:rPr>
        <w:t>Mon progrès</w:t>
      </w:r>
    </w:p>
    <w:p>
      <w:pPr>
        <w:keepNext/>
        <w:spacing w:before="100" w:after="60" w:line="252" w:lineRule="auto"/>
      </w:pPr>
      <w:r>
        <w:rPr>
          <w:rFonts w:ascii="Gill Sans MT" w:hAnsi="Gill Sans MT" w:eastAsia="Gill Sans MT"/>
          <w:b/>
          <w:i w:val="0"/>
          <w:color w:val="53136D"/>
          <w:sz w:val="26"/>
        </w:rPr>
        <w:t>Une capacité que j’ai développée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Un point que je souhaite encore travailler :</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spacing w:before="100" w:after="60" w:line="252" w:lineRule="auto"/>
      </w:pPr>
      <w:r>
        <w:rPr>
          <w:rFonts w:ascii="Gill Sans MT" w:hAnsi="Gill Sans MT" w:eastAsia="Gill Sans MT"/>
          <w:b/>
          <w:i w:val="0"/>
          <w:color w:val="53136D"/>
          <w:sz w:val="26"/>
        </w:rPr>
        <w:t>Dans les prochaines semaines, lorsqu’une tension apparaîtra, je vais essayer de…</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keepNext/>
        <w:pageBreakBefore/>
        <w:spacing w:before="0" w:after="160" w:line="240" w:lineRule="auto"/>
      </w:pPr>
      <w:r>
        <w:rPr>
          <w:rFonts w:ascii="Gill Sans MT" w:hAnsi="Gill Sans MT" w:eastAsia="Gill Sans MT"/>
          <w:b/>
          <w:i w:val="0"/>
          <w:color w:val="911562"/>
          <w:sz w:val="48"/>
        </w:rPr>
        <w:t>Ressources et traçabilité du document</w:t>
      </w:r>
    </w:p>
    <w:p>
      <w:pPr>
        <w:keepNext/>
        <w:spacing w:before="140" w:after="100" w:line="252" w:lineRule="auto"/>
      </w:pPr>
      <w:r>
        <w:rPr>
          <w:rFonts w:ascii="Gill Sans MT" w:hAnsi="Gill Sans MT" w:eastAsia="Gill Sans MT"/>
          <w:b/>
          <w:i w:val="0"/>
          <w:color w:val="C71A7C"/>
          <w:sz w:val="34"/>
        </w:rPr>
        <w:t>Pour aller plus loin</w:t>
      </w:r>
    </w:p>
    <w:p>
      <w:pPr>
        <w:keepNext/>
        <w:spacing w:before="100" w:after="60" w:line="252" w:lineRule="auto"/>
      </w:pPr>
      <w:r>
        <w:rPr>
          <w:rFonts w:ascii="Gill Sans MT" w:hAnsi="Gill Sans MT" w:eastAsia="Gill Sans MT"/>
          <w:b/>
          <w:i w:val="0"/>
          <w:color w:val="53136D"/>
          <w:sz w:val="26"/>
        </w:rPr>
        <w:t>INRS – Prévenir les risques psychosociaux</w:t>
      </w:r>
    </w:p>
    <w:p>
      <w:pPr>
        <w:spacing w:before="0" w:after="80" w:line="264" w:lineRule="auto"/>
      </w:pPr>
      <w:hyperlink r:id="rId11">
        <w:r>
          <w:rPr>
            <w:color w:val="53136D"/>
            <w:u w:val="single"/>
            <w:rFonts w:ascii="Gill Sans MT" w:hAnsi="Gill Sans MT"/>
            <w:sz w:val="22"/>
          </w:rPr>
          <w:t>Facteurs de risques psychosociaux</w:t>
        </w:r>
      </w:hyperlink>
    </w:p>
    <w:p>
      <w:pPr>
        <w:spacing w:before="0" w:after="160" w:line="264" w:lineRule="auto"/>
      </w:pPr>
      <w:hyperlink r:id="rId12">
        <w:r>
          <w:rPr>
            <w:color w:val="53136D"/>
            <w:u w:val="single"/>
            <w:rFonts w:ascii="Gill Sans MT" w:hAnsi="Gill Sans MT"/>
            <w:sz w:val="22"/>
          </w:rPr>
          <w:t>Prévention des risques psychosociaux</w:t>
        </w:r>
      </w:hyperlink>
    </w:p>
    <w:p>
      <w:pPr>
        <w:keepNext/>
        <w:spacing w:before="100" w:after="60" w:line="252" w:lineRule="auto"/>
      </w:pPr>
      <w:r>
        <w:rPr>
          <w:rFonts w:ascii="Gill Sans MT" w:hAnsi="Gill Sans MT" w:eastAsia="Gill Sans MT"/>
          <w:b/>
          <w:i w:val="0"/>
          <w:color w:val="53136D"/>
          <w:sz w:val="26"/>
        </w:rPr>
        <w:t>Haute Autorité de santé</w:t>
      </w:r>
    </w:p>
    <w:p>
      <w:pPr>
        <w:spacing w:before="0" w:after="100" w:line="276" w:lineRule="auto"/>
      </w:pPr>
      <w:r>
        <w:rPr>
          <w:rFonts w:ascii="Gill Sans MT" w:hAnsi="Gill Sans MT" w:eastAsia="Gill Sans MT"/>
          <w:b/>
          <w:i w:val="0"/>
          <w:color w:val="53136D"/>
          <w:sz w:val="22"/>
        </w:rPr>
        <w:t>La bientraitance : définition et repères pour la mise en œuvre</w:t>
      </w:r>
    </w:p>
    <w:p>
      <w:pPr>
        <w:spacing w:before="0" w:after="160" w:line="264" w:lineRule="auto"/>
      </w:pPr>
      <w:hyperlink r:id="rId13">
        <w:r>
          <w:rPr>
            <w:color w:val="53136D"/>
            <w:u w:val="single"/>
            <w:rFonts w:ascii="Gill Sans MT" w:hAnsi="Gill Sans MT"/>
            <w:sz w:val="22"/>
          </w:rPr>
          <w:t>Accéder à la ressource HAS</w:t>
        </w:r>
      </w:hyperlink>
    </w:p>
    <w:tbl>
      <w:tblPr>
        <w:tblW w:type="auto" w:w="0"/>
        <w:jc w:val="center"/>
        <w:tblLayout w:type="autofit"/>
        <w:tblLook w:firstColumn="1" w:firstRow="1" w:lastColumn="0" w:lastRow="0" w:noHBand="0" w:noVBand="1" w:val="04A0"/>
      </w:tblPr>
      <w:tblGrid>
        <w:gridCol w:w="9866"/>
      </w:tblGrid>
      <w:tr>
        <w:tc>
          <w:tcPr>
            <w:tcW w:type="dxa" w:w="9866"/>
            <w:shd w:fill="F4F7E8"/>
            <w:tcBorders>
              <w:top w:val="single" w:sz="10" w:color="A9C941"/>
              <w:left w:val="single" w:sz="10" w:color="A9C941"/>
              <w:bottom w:val="single" w:sz="10" w:color="A9C941"/>
              <w:right w:val="single" w:sz="10" w:color="A9C941"/>
              <w:insideH w:val="single" w:sz="10" w:color="A9C941"/>
              <w:insideV w:val="single" w:sz="10" w:color="A9C941"/>
            </w:tcBorders>
            <w:vAlign w:val="center"/>
          </w:tcPr>
          <w:p>
            <w:pPr>
              <w:spacing w:before="40" w:after="40" w:line="269" w:lineRule="auto"/>
            </w:pPr>
            <w:r>
              <w:rPr>
                <w:rFonts w:ascii="Gill Sans MT" w:hAnsi="Gill Sans MT" w:eastAsia="Gill Sans MT"/>
                <w:b/>
                <w:i w:val="0"/>
                <w:color w:val="A9C941"/>
                <w:sz w:val="24"/>
              </w:rPr>
              <w:t>Confidentialité</w:t>
              <w:br/>
            </w:r>
            <w:r>
              <w:rPr>
                <w:rFonts w:ascii="Gill Sans MT" w:hAnsi="Gill Sans MT" w:eastAsia="Gill Sans MT"/>
                <w:b w:val="0"/>
                <w:i w:val="0"/>
                <w:color w:val="000000"/>
                <w:sz w:val="22"/>
              </w:rPr>
              <w:t>Les situations évoquées pendant la formation doivent rester anonymisées. Les exemples de ce livret sont conçus à des fins pédagogiques. Aucune donnée permettant d’identifier une personne accueillie ou un professionnel ne doit être inscrite.</w:t>
            </w:r>
          </w:p>
        </w:tc>
        <w:trPr>
          <w:tblHeader/>
        </w:trPr>
      </w:tr>
    </w:tbl>
    <w:p>
      <w:pPr>
        <w:spacing w:after="20"/>
      </w:pPr>
    </w:p>
    <w:p>
      <w:pPr>
        <w:keepNext/>
        <w:spacing w:before="140" w:after="100" w:line="252" w:lineRule="auto"/>
      </w:pPr>
      <w:r>
        <w:rPr>
          <w:rFonts w:ascii="Gill Sans MT" w:hAnsi="Gill Sans MT" w:eastAsia="Gill Sans MT"/>
          <w:b/>
          <w:i w:val="0"/>
          <w:color w:val="C71A7C"/>
          <w:sz w:val="34"/>
        </w:rPr>
        <w:t>À propos de ce support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948"/>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Élément</w:t>
            </w:r>
          </w:p>
        </w:tc>
        <w:tc>
          <w:tcPr>
            <w:tcW w:type="dxa" w:w="6009"/>
            <w:shd w:fill="53136D"/>
            <w:tcBorders>
              <w:top w:val="single" w:sz="6" w:color="B7B7B7"/>
              <w:left w:val="single" w:sz="6" w:color="B7B7B7"/>
              <w:bottom w:val="single" w:sz="6" w:color="B7B7B7"/>
              <w:right w:val="single" w:sz="6" w:color="B7B7B7"/>
              <w:insideH w:val="single" w:sz="6" w:color="B7B7B7"/>
              <w:insideV w:val="single" w:sz="6" w:color="B7B7B7"/>
            </w:tcBorders>
            <w:vAlign w:val="center"/>
          </w:tcPr>
          <w:p>
            <w:pPr>
              <w:spacing w:before="40" w:after="40" w:line="252" w:lineRule="auto"/>
            </w:pPr>
            <w:r>
              <w:rPr>
                <w:rFonts w:ascii="Gill Sans MT" w:hAnsi="Gill Sans MT" w:eastAsia="Gill Sans MT"/>
                <w:b/>
                <w:i w:val="0"/>
                <w:color w:val="FFFFFF"/>
                <w:sz w:val="19"/>
              </w:rPr>
              <w:t>Information</w:t>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Conception pédagogique</w:t>
            </w:r>
          </w:p>
        </w:tc>
        <w:tc>
          <w:tcPr>
            <w:tcW w:type="dxa" w:w="600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Alternative RH</w:t>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Public</w:t>
            </w:r>
          </w:p>
        </w:tc>
        <w:tc>
          <w:tcPr>
            <w:tcW w:type="dxa" w:w="600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Professionnels des LHSS/LAM</w:t>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Thématique</w:t>
            </w:r>
          </w:p>
        </w:tc>
        <w:tc>
          <w:tcPr>
            <w:tcW w:type="dxa" w:w="600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Communication non violente et régulation des tensions en équipe</w:t>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Version</w:t>
            </w:r>
          </w:p>
        </w:tc>
        <w:tc>
          <w:tcPr>
            <w:tcW w:type="dxa" w:w="6009"/>
            <w:tcBorders>
              <w:top w:val="single" w:sz="6" w:color="B7B7B7"/>
              <w:left w:val="single" w:sz="6" w:color="B7B7B7"/>
              <w:bottom w:val="single" w:sz="6" w:color="B7B7B7"/>
              <w:right w:val="single" w:sz="6" w:color="B7B7B7"/>
              <w:insideH w:val="single" w:sz="6" w:color="B7B7B7"/>
              <w:insideV w:val="single" w:sz="6" w:color="B7B7B7"/>
            </w:tcBorders>
            <w:shd w:fill="FAFAFA"/>
            <w:vAlign w:val="top"/>
          </w:tcPr>
          <w:p>
            <w:pPr>
              <w:spacing w:before="40" w:after="40" w:line="259" w:lineRule="auto"/>
            </w:pPr>
            <w:r>
              <w:rPr>
                <w:rFonts w:ascii="Gill Sans MT" w:hAnsi="Gill Sans MT" w:eastAsia="Gill Sans MT"/>
                <w:b w:val="0"/>
                <w:i w:val="0"/>
                <w:color w:val="000000"/>
                <w:sz w:val="19"/>
              </w:rPr>
              <w:t>Septembre 2026 – V1</w:t>
            </w:r>
          </w:p>
        </w:tc>
      </w:tr>
      <w:tr>
        <w:tc>
          <w:tcPr>
            <w:tcW w:type="dxa" w:w="2948"/>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Usage du livret</w:t>
            </w:r>
          </w:p>
        </w:tc>
        <w:tc>
          <w:tcPr>
            <w:tcW w:type="dxa" w:w="6009"/>
            <w:tcBorders>
              <w:top w:val="single" w:sz="6" w:color="B7B7B7"/>
              <w:left w:val="single" w:sz="6" w:color="B7B7B7"/>
              <w:bottom w:val="single" w:sz="6" w:color="B7B7B7"/>
              <w:right w:val="single" w:sz="6" w:color="B7B7B7"/>
              <w:insideH w:val="single" w:sz="6" w:color="B7B7B7"/>
              <w:insideV w:val="single" w:sz="6" w:color="B7B7B7"/>
            </w:tcBorders>
            <w:vAlign w:val="top"/>
          </w:tcPr>
          <w:p>
            <w:pPr>
              <w:spacing w:before="40" w:after="40" w:line="259" w:lineRule="auto"/>
            </w:pPr>
            <w:r>
              <w:rPr>
                <w:rFonts w:ascii="Gill Sans MT" w:hAnsi="Gill Sans MT" w:eastAsia="Gill Sans MT"/>
                <w:b w:val="0"/>
                <w:i w:val="0"/>
                <w:color w:val="000000"/>
                <w:sz w:val="19"/>
              </w:rPr>
              <w:t>Support personnel, non collecté et non conservé par l’organisme de formation</w:t>
            </w:r>
          </w:p>
        </w:tc>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4EFF6"/>
            <w:tcBorders>
              <w:top w:val="single" w:sz="10" w:color="53136D"/>
              <w:left w:val="single" w:sz="10" w:color="53136D"/>
              <w:bottom w:val="single" w:sz="10" w:color="53136D"/>
              <w:right w:val="single" w:sz="10" w:color="53136D"/>
              <w:insideH w:val="single" w:sz="10" w:color="53136D"/>
              <w:insideV w:val="single" w:sz="10" w:color="53136D"/>
            </w:tcBorders>
            <w:vAlign w:val="center"/>
          </w:tcPr>
          <w:p>
            <w:pPr>
              <w:spacing w:before="40" w:after="40" w:line="269" w:lineRule="auto"/>
            </w:pPr>
            <w:r>
              <w:rPr>
                <w:rFonts w:ascii="Gill Sans MT" w:hAnsi="Gill Sans MT" w:eastAsia="Gill Sans MT"/>
                <w:b/>
                <w:i w:val="0"/>
                <w:color w:val="53136D"/>
                <w:sz w:val="24"/>
              </w:rPr>
              <w:t>Droits d’utilisation</w:t>
              <w:br/>
            </w:r>
            <w:r>
              <w:rPr>
                <w:rFonts w:ascii="Gill Sans MT" w:hAnsi="Gill Sans MT" w:eastAsia="Gill Sans MT"/>
                <w:b w:val="0"/>
                <w:i w:val="0"/>
                <w:color w:val="000000"/>
                <w:sz w:val="22"/>
              </w:rPr>
              <w:t>© Alternative RH, 2026. Support pédagogique destiné aux participants de la formation. Toute reproduction ou diffusion hors de ce cadre est soumise à l’autorisation d’Alternative RH, sous réserve des exceptions prévues par la loi.</w:t>
            </w:r>
          </w:p>
        </w:tc>
        <w:trPr>
          <w:tblHeader/>
        </w:trPr>
      </w:tr>
    </w:tbl>
    <w:p>
      <w:pPr>
        <w:spacing w:after="20"/>
      </w:pPr>
    </w:p>
    <w:p>
      <w:pPr>
        <w:spacing w:before="120" w:after="100" w:line="276" w:lineRule="auto"/>
      </w:pPr>
      <w:r>
        <w:rPr>
          <w:rFonts w:ascii="Gill Sans MT" w:hAnsi="Gill Sans MT" w:eastAsia="Gill Sans MT"/>
          <w:b/>
          <w:i w:val="0"/>
          <w:color w:val="C71A7C"/>
          <w:sz w:val="26"/>
        </w:rPr>
        <w:t>Notes complémentaires</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p>
      <w:pPr>
        <w:spacing w:before="0" w:after="40" w:line="240" w:lineRule="auto"/>
      </w:pPr>
      <w:r>
        <w:rPr>
          <w:rFonts w:ascii="Gill Sans MT" w:hAnsi="Gill Sans MT" w:eastAsia="Gill Sans MT"/>
          <w:b w:val="0"/>
          <w:i w:val="0"/>
          <w:color w:val="9B8E7D"/>
          <w:sz w:val="18"/>
        </w:rPr>
        <w:t>________________________________________________________________________________</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Gill Sans MT" w:hAnsi="Gill Sans MT" w:eastAsia="Gill Sans MT"/>
        <w:b w:val="0"/>
        <w:i w:val="0"/>
        <w:color w:val="9B8E7D"/>
        <w:sz w:val="16"/>
      </w:rPr>
      <w:t xml:space="preserve">© Alternative RH  |  Livret stagiaire  |  Septembre 2026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ill Sans MT" w:hAnsi="Gill Sans MT"/>
      <w:sz w:val="23"/>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has-sante.fr/jcms/c_2835126/fr/la-bientraitance-definition-et-reperes-pour-la-mise-en-oeuvre"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nrs.fr/risques/psychosociaux/prevention.html"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nrs.fr/risques/psychosociaux/facteurs-risques.html"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04B64F25E002048B2E8E055983E7CDF" ma:contentTypeVersion="19" ma:contentTypeDescription="Crée un document." ma:contentTypeScope="" ma:versionID="6349840e1cb47527b9ab47a4b3b0abe4">
  <xsd:schema xmlns:xsd="http://www.w3.org/2001/XMLSchema" xmlns:xs="http://www.w3.org/2001/XMLSchema" xmlns:p="http://schemas.microsoft.com/office/2006/metadata/properties" xmlns:ns2="c83be917-1771-42e3-bab0-76a2b0ef6831" xmlns:ns3="f600fbaf-5498-4094-866d-f3a7388161c7" targetNamespace="http://schemas.microsoft.com/office/2006/metadata/properties" ma:root="true" ma:fieldsID="e0678aa8f187ea42c48651f13694eaf3" ns2:_="" ns3:_="">
    <xsd:import namespace="c83be917-1771-42e3-bab0-76a2b0ef6831"/>
    <xsd:import namespace="f600fbaf-5498-4094-866d-f3a7388161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3be917-1771-42e3-bab0-76a2b0ef6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cd404c59-dcb5-48c9-9eb4-d3c08e3ab2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00fbaf-5498-4094-866d-f3a7388161c7"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1d8486ca-0b32-47eb-9485-211f698ba607}" ma:internalName="TaxCatchAll" ma:showField="CatchAllData" ma:web="f600fbaf-5498-4094-866d-f3a7388161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3be917-1771-42e3-bab0-76a2b0ef6831">
      <Terms xmlns="http://schemas.microsoft.com/office/infopath/2007/PartnerControls"/>
    </lcf76f155ced4ddcb4097134ff3c332f>
    <TaxCatchAll xmlns="f600fbaf-5498-4094-866d-f3a7388161c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F1B1BA1-3A3B-4FA6-A5B6-164C25FD7C78}"/>
</file>

<file path=customXml/itemProps3.xml><?xml version="1.0" encoding="utf-8"?>
<ds:datastoreItem xmlns:ds="http://schemas.openxmlformats.org/officeDocument/2006/customXml" ds:itemID="{0C984177-0215-4461-BC20-7D62E7495EF9}"/>
</file>

<file path=customXml/itemProps4.xml><?xml version="1.0" encoding="utf-8"?>
<ds:datastoreItem xmlns:ds="http://schemas.openxmlformats.org/officeDocument/2006/customXml" ds:itemID="{D52E06DF-56D0-4446-A77A-5AF5C8DE56D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Repérer les tensions professionnelles et leurs impacts – Livret stagiaire</dc:title>
  <dc:subject>Communication non violente et régulation des tensions en équipe – LHSS/LAM</dc:subject>
  <dc:creator>Alternative RH</dc:creator>
  <cp:keywords>LHSS, LAM, tensions professionnelles, communication non violente, régulation, formation</cp:keywords>
  <dc:description>Version septembre 2026</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0x010100C04B64F25E002048B2E8E055983E7CDF</vt:lpwstr>
  </property>
</Properties>
</file>