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 4 章 风险约束动态气象导航与边缘决策方法</w:t>
      </w:r>
    </w:p>
    <w:p>
      <w:pPr>
        <w:pStyle w:val="Heading1"/>
      </w:pPr>
      <w:r>
        <w:t>4.1 问题描述与总体技术框架</w:t>
      </w:r>
    </w:p>
    <w:p>
      <w:pPr>
        <w:pStyle w:val="Heading2"/>
      </w:pPr>
      <w:r>
        <w:t>4.1.1 北极航行动态气象导航的科学问题</w:t>
      </w:r>
    </w:p>
    <w:p>
      <w:pPr>
        <w:ind w:firstLine="420"/>
        <w:jc w:val="both"/>
      </w:pPr>
      <w:r>
        <w:t>第三章建立了多源环境数据融合、综合风险表征、多时效风险预测与不确定性输出方法。在此基础上，第四章进一步解决“已知未来不同位置的风险之后，如何把这些风险真正转化为船舶能够执行的航路和导航建议”这一问题。对于北极航道而言，风险预测结果只有进入航路代价计算和动态决策过程，才能真正服务于船舶气象导航。</w:t>
      </w:r>
    </w:p>
    <w:p>
      <w:pPr>
        <w:ind w:firstLine="420"/>
        <w:jc w:val="both"/>
      </w:pPr>
      <w:r>
        <w:t>本章的核心链条为：环境影响航速 → 风险进入航路代价 → 生成不同航行策略 → 环境变化后主动改线 → 弱通信条件下快速传递关键决策。即系统并不是在生成风险图后停止，而是将风险场进一步转化为航线规划可以理解的代价约束，使后续规划模块能够根据不同时间尺度和不同风险水平生成可执行航行方案。</w:t>
      </w:r>
    </w:p>
    <w:p>
      <w:pPr>
        <w:ind w:firstLine="420"/>
        <w:jc w:val="both"/>
      </w:pPr>
      <w:r>
        <w:t>由此凝练出本章的科学问题：在时变预测风险约束下，如何构造同时考虑航程、航行时间、环境风险、航速损失与不确定性的综合航路代价模型，并在弱通信条件下提供可执行的边缘决策摘要。该问题包含三个子问题：(1) 冰—浪—风耦合作用下船舶有效航速的机理表达；(2) 时空耦合风险进入航路代价的建模方法；(3) 在保证解质量与搜索效率的同时，使规划结果可在真实北极海洋数据上复现且对未知数据 fail-closed。</w:t>
      </w:r>
    </w:p>
    <w:p>
      <w:pPr>
        <w:pStyle w:val="Heading2"/>
      </w:pPr>
      <w:r>
        <w:t>4.1.2 总体技术框架与数据流</w:t>
      </w:r>
    </w:p>
    <w:p>
      <w:pPr>
        <w:ind w:firstLine="420"/>
        <w:jc w:val="both"/>
      </w:pPr>
      <w:r>
        <w:t>本章建立的总体技术框架如图 4-1 所示，由七级主链路与三级反馈闭环构成。主链路依次为：多源环境与状态输入、时空状态构建、风险预测模型、风险代价场、风险约束航迹规划、在线重规划与控制接口、仿真/实测验证；反馈闭环由“误差反馈—风险场更新—规划参数修正”构成，使规划结果在环境变化时能够主动修正。</w:t>
      </w:r>
    </w:p>
    <w:p>
      <w:pPr>
        <w:jc w:val="center"/>
      </w:pPr>
      <w:r>
        <w:drawing>
          <wp:inline xmlns:a="http://schemas.openxmlformats.org/drawingml/2006/main" xmlns:pic="http://schemas.openxmlformats.org/drawingml/2006/picture">
            <wp:extent cx="5040000" cy="6548889"/>
            <wp:docPr id="1" name="Picture 1"/>
            <wp:cNvGraphicFramePr>
              <a:graphicFrameLocks noChangeAspect="1"/>
            </wp:cNvGraphicFramePr>
            <a:graphic>
              <a:graphicData uri="http://schemas.openxmlformats.org/drawingml/2006/picture">
                <pic:pic>
                  <pic:nvPicPr>
                    <pic:cNvPr id="0" name="fig-framework.png"/>
                    <pic:cNvPicPr/>
                  </pic:nvPicPr>
                  <pic:blipFill>
                    <a:blip r:embed="rId9"/>
                    <a:stretch>
                      <a:fillRect/>
                    </a:stretch>
                  </pic:blipFill>
                  <pic:spPr>
                    <a:xfrm>
                      <a:off x="0" y="0"/>
                      <a:ext cx="5040000" cy="6548889"/>
                    </a:xfrm>
                    <a:prstGeom prst="rect"/>
                  </pic:spPr>
                </pic:pic>
              </a:graphicData>
            </a:graphic>
          </wp:inline>
        </w:drawing>
      </w:r>
    </w:p>
    <w:p>
      <w:pPr>
        <w:jc w:val="center"/>
      </w:pPr>
      <w:r>
        <w:t>图 4-1 风险约束动态气象导航总体技术框架</w:t>
      </w:r>
    </w:p>
    <w:p>
      <w:pPr>
        <w:ind w:firstLine="420"/>
        <w:jc w:val="both"/>
      </w:pPr>
      <w:r>
        <w:t>该框架的关键特征在于：风险预测结果并非仅作为背景信息显示，而是进入航路代价函数（4.2 节）并驱动时空航路优化模型（4.3 节）；规划模块在时间展开状态图上搜索（4.4 节），并支持事件触发的动态重规划（4.5 节）；在弱通信条件下，系统将完整风险场压缩为关键风险摘要，支持船端在数据受限时仍能完成基本航行判断。</w:t>
      </w:r>
    </w:p>
    <w:p>
      <w:pPr>
        <w:pStyle w:val="Heading1"/>
      </w:pPr>
      <w:r>
        <w:t>4.2 冰—浪—风作用下船舶有效航速与航行代价模型</w:t>
      </w:r>
    </w:p>
    <w:p>
      <w:pPr>
        <w:pStyle w:val="Heading2"/>
      </w:pPr>
      <w:r>
        <w:t>4.2.1 环境对有效航速的机理影响</w:t>
      </w:r>
    </w:p>
    <w:p>
      <w:pPr>
        <w:ind w:firstLine="420"/>
        <w:jc w:val="both"/>
      </w:pPr>
      <w:r>
        <w:t>对于北极航道船舶而言，最短路径并不一定是最优路径。海冰、波浪、风场与流场共同影响船舶的有效航速、操纵稳定性和航行安全裕度。当某一航段环境风险较高时，即使几何距离较短，也可能因减速、绕冰、避浪或等待通航窗口而产生更高的时间代价与安全代价。因此，动态气象导航需要将环境影响转化为航行代价，而不能仅以距离最短作为判断依据。</w:t>
      </w:r>
    </w:p>
    <w:p>
      <w:pPr>
        <w:ind w:firstLine="420"/>
        <w:jc w:val="both"/>
      </w:pPr>
      <w:r>
        <w:t>有效航速是船舶在真实环境约束下能够保持的实际航行速度，而不是静水条件下的理论航速。在开阔水域中，船舶主要受到风浪流影响；在边缘冰区中，船舶还会受到碎冰、浮冰与冰漂作用影响。当海冰密集度增加时，船舶可能需要降低航速以减少冰载荷与碰撞风险；当海冰厚度增加时，破冰阻力增大，推进效率下降；当风浪增强时，纵摇、横摇与偏航风险上升，也可能需要主动降速；当流场方向与航向不一致时，实际航迹与能耗也会受到影响。</w:t>
      </w:r>
    </w:p>
    <w:p>
      <w:pPr>
        <w:pStyle w:val="Heading2"/>
      </w:pPr>
      <w:r>
        <w:t>4.2.2 航段航行时间与有效航速</w:t>
      </w:r>
    </w:p>
    <w:p>
      <w:pPr>
        <w:ind w:firstLine="420"/>
        <w:jc w:val="both"/>
      </w:pPr>
      <w:r>
        <w:t>航段航行时间不仅取决于航段长度，还取决于环境条件下的有效航速。其基本关系可以表示为：</w:t>
      </w:r>
    </w:p>
    <w:p>
      <w:pPr>
        <w:jc w:val="center"/>
      </w:pPr>
      <w:r>
        <w:t>τ_e(t) = d_e / v_eff(risk(t), env(t))    (4-1)</w:t>
      </w:r>
    </w:p>
    <w:p>
      <w:pPr>
        <w:ind w:firstLine="420"/>
        <w:jc w:val="both"/>
      </w:pPr>
      <w:r>
        <w:t>其中，τ_e(t) 表示船舶在时刻 t 出发穿越航段 e 所需的航行时间，d_e 为航段几何距离，v_eff(·) 为环境约束下的有效航速函数，risk(t) 与 env(t) 分别表示时刻 t 的综合风险值与环境参量。当某一航段风险升高时，即使该航段距离较短，实际耗时也可能显著增加；反之，绕行距离略长但风险较低的航段，可能在总航行时间与安全性上更优。</w:t>
      </w:r>
    </w:p>
    <w:p>
      <w:pPr>
        <w:pStyle w:val="Heading2"/>
      </w:pPr>
      <w:r>
        <w:t>4.2.3 综合航路代价函数</w:t>
      </w:r>
    </w:p>
    <w:p>
      <w:pPr>
        <w:ind w:firstLine="420"/>
        <w:jc w:val="both"/>
      </w:pPr>
      <w:r>
        <w:t>航路优化目标不是单纯最短距离，而是综合考虑航程、航行时间、环境风险、航速损失与约束条件后的总代价，其基本形式为：</w:t>
      </w:r>
    </w:p>
    <w:p>
      <w:pPr>
        <w:jc w:val="center"/>
      </w:pPr>
      <w:r>
        <w:t>C(path) = w_d · Σ d_e + w_t · Σ τ_e(t) + w_r · Σ risk(t) + w_v · Σ Δv_e(t) + w_u · Σ u_e(t)    (4-2)</w:t>
      </w:r>
    </w:p>
    <w:p>
      <w:pPr>
        <w:ind w:firstLine="420"/>
        <w:jc w:val="both"/>
      </w:pPr>
      <w:r>
        <w:t>其中，w_d、w_t、w_r、w_v、w_u 分别为距离代价、时间代价、风险代价、航速损失代价与不确定性代价的权重；Δv_e(t) 表示环境因素导致的航速损失；u_e(t) 表示该航段预测可信度的反指标。第三章输出的 risk_mean、uncertainty、reason_code 与 hard_mask 分别对应式 (4-2) 中的风险代价输入、保守性调整项、风险来源解释与不可通行区域标记。通过将环境变量统一转化为航速损失或风险代价，路径搜索结果能够同时考虑航程、风险、航速损失与约束条件，更符合北极航道气象导航的实际需求。</w:t>
      </w:r>
    </w:p>
    <w:p>
      <w:pPr>
        <w:pStyle w:val="Heading1"/>
      </w:pPr>
      <w:r>
        <w:t>4.3 预测风险约束的时空航路优化模型</w:t>
      </w:r>
    </w:p>
    <w:p>
      <w:pPr>
        <w:pStyle w:val="Heading2"/>
      </w:pPr>
      <w:r>
        <w:t>4.3.1 时空耦合风险</w:t>
      </w:r>
    </w:p>
    <w:p>
      <w:pPr>
        <w:ind w:firstLine="420"/>
        <w:jc w:val="both"/>
      </w:pPr>
      <w:r>
        <w:t>传统静态路径规划通常只考虑某一时刻的空间风险分布，而北极气象导航需要考虑“船舶何时到达某一位置”。例如，某一区域当前风险较低，但预计 12 小时后冰缘推进或风浪增强，则船舶抵达该区域时可能已经不适合通行；反之，某一区域当前风险较高，但未来风险下降，也可能成为后续可选通道。因此，动态航路优化不能只在当前风险图上寻找低风险路径，而应将空间位置与到达时间共同纳入计算。</w:t>
      </w:r>
    </w:p>
    <w:p>
      <w:pPr>
        <w:ind w:firstLine="420"/>
        <w:jc w:val="both"/>
      </w:pPr>
      <w:r>
        <w:t>时空耦合风险可表示为：</w:t>
      </w:r>
    </w:p>
    <w:p>
      <w:pPr>
        <w:jc w:val="center"/>
      </w:pPr>
      <w:r>
        <w:t>R(x, y, t_arrive)    (4-3)</w:t>
      </w:r>
    </w:p>
    <w:p>
      <w:pPr>
        <w:ind w:firstLine="420"/>
        <w:jc w:val="both"/>
      </w:pPr>
      <w:r>
        <w:t>其中 x、y 为空间位置，t_arrive 为船舶预计到达该位置的时间。航路规划模块在评估某一候选航段时，不应只读取当前时刻 R(x, y, t0)，而应读取船舶到达该区域时的 R(x, y, t_arrive)。这种处理方式使航线规划结果更接近真实航行过程。</w:t>
      </w:r>
    </w:p>
    <w:p>
      <w:pPr>
        <w:pStyle w:val="Heading2"/>
      </w:pPr>
      <w:r>
        <w:t>4.3.2 风险-速度-ETA 三方耦合不动点边代价</w:t>
      </w:r>
    </w:p>
    <w:p>
      <w:pPr>
        <w:ind w:firstLine="420"/>
        <w:jc w:val="both"/>
      </w:pPr>
      <w:r>
        <w:t>式 (4-1) 与式 (4-3) 表明，边代价 τ_e(t) 不仅是 t 的函数，还通过 risk(t) 与 v_eff 耦合：船舶在时刻 t 出发穿越边 e，其航行时间 τ_e(t) 决定了到达时刻 t_arrive = t + τ_e(t)，而 t_arrive 又决定了该边在到达时刻的风险与可达速度，从而再次影响 τ_e。这种三方耦合使边代价求解成为一个不动点问题：</w:t>
      </w:r>
    </w:p>
    <w:p>
      <w:pPr>
        <w:jc w:val="center"/>
      </w:pPr>
      <w:r>
        <w:t>t* = t_depart + τ_e(t*)    (4-4)</w:t>
      </w:r>
    </w:p>
    <w:p>
      <w:pPr>
        <w:ind w:firstLine="420"/>
        <w:jc w:val="both"/>
      </w:pPr>
      <w:r>
        <w:t>即需要找到一个 t*，使得船舶在 t* 出发的航行时间 τ_e(t*) 恰好使其到达时刻 t_depart + τ_e(t*) 等于 t*。本章采用固定两轮精化逼近该不动点：第一轮以出发时刻的风险场估算 τ_e，第二轮以第一轮到达时刻的风险场修正 τ_e。两轮精化在真实北极冬航 145 帧风险场上的实测表现稳定（详见4.7 节效率对比），但本章亦发现其存在收敛性盲点（详见 4.9.2 节）。</w:t>
      </w:r>
    </w:p>
    <w:p>
      <w:pPr>
        <w:pStyle w:val="Heading2"/>
      </w:pPr>
      <w:r>
        <w:t>4.3.3 硬约束条件与临时硬约束</w:t>
      </w:r>
    </w:p>
    <w:p>
      <w:pPr>
        <w:ind w:firstLine="420"/>
        <w:jc w:val="both"/>
      </w:pPr>
      <w:r>
        <w:t>硬约束是航路规划中必须满足的条件，不能通过降低权重或接受更高代价来忽略。系统中的硬约束主要包括陆地、浅水区、禁航区、长期限制区以及明显不可通行的高风险区域。这些区域通过 hard_mask 进行标记，后续航线规划模块在搜索路径时应直接排除。除静态硬约束外，极端环境条件也可以在特定情况下转化为临时硬约束：当海冰密集度、冰厚或风浪风险超过船舶可接受范围时，该区域在对应时效内可被视为不可优先通行区域。</w:t>
      </w:r>
    </w:p>
    <w:p>
      <w:pPr>
        <w:pStyle w:val="Heading2"/>
      </w:pPr>
      <w:r>
        <w:t>4.3.4 不同风险偏好下的目标函数权重</w:t>
      </w:r>
    </w:p>
    <w:p>
      <w:pPr>
        <w:ind w:firstLine="420"/>
        <w:jc w:val="both"/>
      </w:pPr>
      <w:r>
        <w:t>不同航行任务可能对应不同的风险偏好。在安全优先模式下，系统提高风险代价与不确定性代价权重，优先选择更稳定、更保守的通道；在效率优先模式下，系统适当增加距离与时间代价权重，在可接受风险范围内缩短航程；在均衡模式下，系统综合考虑安全、效率与可执行性，生成适合常规航行决策的推荐路径。本章实验设置三组目标权重，分别对应 fastest（效率优先）、low_risk（安全优先）与 recommended（均衡推荐）三种航行偏好（详见表 4-1）。</w:t>
      </w:r>
    </w:p>
    <w:p>
      <w:pPr>
        <w:pStyle w:val="Heading1"/>
      </w:pPr>
      <w:r>
        <w:t>4.4 时间依赖 A* 算法与多模式气象航路生成</w:t>
      </w:r>
    </w:p>
    <w:p>
      <w:pPr>
        <w:pStyle w:val="Heading2"/>
      </w:pPr>
      <w:r>
        <w:t>4.4.1 时间展开状态图上的 A* 搜索</w:t>
      </w:r>
    </w:p>
    <w:p>
      <w:pPr>
        <w:ind w:firstLine="420"/>
        <w:jc w:val="both"/>
      </w:pPr>
      <w:r>
        <w:t>本章在时间展开状态图上采用 A* 算法搜索最优航路。状态图的节点为 (网格位置, 离散到达时刻)，边代价由式 (4-2) 的综合航路代价给出。A* 使用 admissible 启发式估计从当前节点到目标节点的最小剩余代价，按 f = g + h 的优先级展开节点，其中 g 为已付出代价、h 为启发式估计。</w:t>
      </w:r>
    </w:p>
    <w:p>
      <w:pPr>
        <w:pStyle w:val="Heading2"/>
      </w:pPr>
      <w:r>
        <w:t>4.4.2 admissible 启发式与最优性保证</w:t>
      </w:r>
    </w:p>
    <w:p>
      <w:pPr>
        <w:ind w:firstLine="420"/>
        <w:jc w:val="both"/>
      </w:pPr>
      <w:r>
        <w:t xml:space="preserve"> admissible 启发式保证不高估真实剩余代价，从而使 A* 在 admissible 条件下返回的解与无信息 Dijkstra 在同一状态图上的解代价严格一致。该性质将在 4.7.1 节通过实验定量验证：本文 A* 与无信息 Dijkstra 在真实 24 小时航段上的总代价 cost_identical=True，即启发式加速未牺牲最优性。</w:t>
      </w:r>
    </w:p>
    <w:p>
      <w:pPr>
        <w:pStyle w:val="Heading2"/>
      </w:pPr>
      <w:r>
        <w:t>4.4.3 多模式航路与多时效层级</w:t>
      </w:r>
    </w:p>
    <w:p>
      <w:pPr>
        <w:ind w:firstLine="420"/>
        <w:jc w:val="both"/>
      </w:pPr>
      <w:r>
        <w:t>系统支持多模式航路（安全优先 / 效率优先 / 均衡推荐）与多时效层级（全航程 / 24—72 小时主通道 / 0—24 小时滚动 / 0—6 小时可执行段）的组合，产出 12 条候选航路。全航程结果用于整体参考航线判断，24—72 小时结果用于主通道可持续性判断，0—24 小时结果用于滚动优化动态航线，0—6 小时结果用于执行层面的短时修正。这种分层机制使系统既能保持全局航线稳定，又能在局部风险变化时及时调整。</w:t>
      </w:r>
    </w:p>
    <w:p>
      <w:pPr>
        <w:pStyle w:val="Heading1"/>
      </w:pPr>
      <w:r>
        <w:t>4.5 事件触发动态重规划与弱通信边缘决策</w:t>
      </w:r>
    </w:p>
    <w:p>
      <w:pPr>
        <w:pStyle w:val="Heading2"/>
      </w:pPr>
      <w:r>
        <w:t>4.5.1 事件触发机制与触发阈值</w:t>
      </w:r>
    </w:p>
    <w:p>
      <w:pPr>
        <w:ind w:firstLine="420"/>
        <w:jc w:val="both"/>
      </w:pPr>
      <w:r>
        <w:t>北极航道的风险不是固定不变的，冰缘推进、冰漂变化、风浪增强、能见度下降或通航情况变化都可能导致原计划航线风险升高。当系统识别到原航线穿越高风险区域、低风险通道收窄或不可航行区域扩大时，应触发航路重新评估。典型触发事件包括：原航线前方海冰密集度明显升高、冰缘向航线方向推进、冰漂方向对航线形成挤压、风速或浪高超过安全阈值、能见度快速下降、流场导致偏航风险增加、浅水或限制区约束影响当前航线等。</w:t>
      </w:r>
    </w:p>
    <w:p>
      <w:pPr>
        <w:ind w:firstLine="420"/>
        <w:jc w:val="both"/>
      </w:pPr>
      <w:r>
        <w:t>动态重规划并不意味着频繁改变航线，而是在风险变化具有实际影响时才触发。过于频繁的改线会增加航行操作复杂度，也可能导致路径不稳定。因此，系统设置触发阈值与稳定性约束：当风险升高幅度较小或影响区域较远时，仅更新风险提示；当风险升高区域与未来航段重合，并可能影响船舶安全或航速时，才触发重新规划；当高风险区域进入 0—6 小时可执行航线范围时，应优先生成短时避险建议。</w:t>
      </w:r>
    </w:p>
    <w:p>
      <w:pPr>
        <w:pStyle w:val="Heading2"/>
      </w:pPr>
      <w:r>
        <w:t>4.5.2 关键风险摘要与边缘信息压缩</w:t>
      </w:r>
    </w:p>
    <w:p>
      <w:pPr>
        <w:ind w:firstLine="420"/>
        <w:jc w:val="both"/>
      </w:pPr>
      <w:r>
        <w:t>弱通信条件下，船端最需要的不是全部原始数据，而是经过筛选与解释后的风险摘要。该摘要至少应包括五类内容：当前航线前方的主要高风险区域、风险升高的主要原因、不可通行区域、推荐规避方向以及风险预测的可信程度。具体而言，系统将完整风险场压缩为风险等级信息、主要风险来源信息、硬约束信息、时间有效性信息与建议动作信息。这样，即使通信带宽有限，船端仍能获得足以支持安全判断的核心内容。</w:t>
      </w:r>
    </w:p>
    <w:p>
      <w:pPr>
        <w:pStyle w:val="Heading2"/>
      </w:pPr>
      <w:r>
        <w:t>4.5.3 弱通信条件下的导航决策接口</w:t>
      </w:r>
    </w:p>
    <w:p>
      <w:pPr>
        <w:ind w:firstLine="420"/>
        <w:jc w:val="both"/>
      </w:pPr>
      <w:r>
        <w:t>在工程实现上，本章将弱通信条件下的输出定位为“关键风险摘要 + 标准化风险网格”的组合形式。完整风险网格服务于云端或岸端规划计算，关键风险摘要服务于船端快速理解与应急响应。这种设计既保留了模型计算所需的数据完整性，也增强了系统在北极弱通信环境下的实际可用性。</w:t>
      </w:r>
    </w:p>
    <w:p>
      <w:pPr>
        <w:pStyle w:val="Heading1"/>
      </w:pPr>
      <w:r>
        <w:t>4.6 仿真实验设计</w:t>
      </w:r>
    </w:p>
    <w:p>
      <w:pPr>
        <w:pStyle w:val="Heading2"/>
      </w:pPr>
      <w:r>
        <w:t>4.6.1 实验目的与对比对象</w:t>
      </w:r>
    </w:p>
    <w:p>
      <w:pPr>
        <w:ind w:firstLine="420"/>
        <w:jc w:val="both"/>
      </w:pPr>
      <w:r>
        <w:t>本章实验目的有三：(1) 验证时间依赖 A* 相对于无信息 Dijkstra 的搜索效率优势，且不牺牲解质量；(2) 验证时变风险感知规划相对于静态场规划的航线质量优势；(3) 通过消融研究与反向论证，验证各模块的贡献与当前实现未被超越的性质。对比对象包括四种算法：本文时间依赖 A*（Proposed）、无信息 Dijkstra、静态场 A*（Static-field）、风险无关基线（Risk-blind）。</w:t>
      </w:r>
    </w:p>
    <w:p>
      <w:pPr>
        <w:pStyle w:val="Heading2"/>
      </w:pPr>
      <w:r>
        <w:t>4.6.2 数据集与实验变量</w:t>
      </w:r>
    </w:p>
    <w:p>
      <w:pPr>
        <w:ind w:firstLine="420"/>
        <w:jc w:val="both"/>
      </w:pPr>
      <w:r>
        <w:t>实验数据包括真实北极冬航窗口的 145 帧风险预报序列（holdout 2026-02-22 与 development 2026-03-22 两个独立窗口，网格 31×11，单一走廊）与四档合成算例（5×7×7、9×13×13、13×21×25、17×29×37）。真实数据用于质量与效率对比，合成数据用于可扩展性分析。实验变量为算法（4 档）与目标函数（fastest / low_risk / recommended 三档）。</w:t>
      </w:r>
    </w:p>
    <w:p>
      <w:pPr>
        <w:pStyle w:val="Heading2"/>
      </w:pPr>
      <w:r>
        <w:t>4.6.3 算法公平性与实验统一设置</w:t>
      </w:r>
    </w:p>
    <w:p>
      <w:pPr>
        <w:ind w:firstLine="420"/>
        <w:jc w:val="both"/>
      </w:pPr>
      <w:r>
        <w:t>为使性能比较具有可归因性，四种算法共享以下实验设置，详见表 4-1。</w:t>
      </w:r>
    </w:p>
    <w:p>
      <w:pPr>
        <w:jc w:val="center"/>
      </w:pPr>
      <w:r>
        <w:rPr>
          <w:b/>
        </w:rPr>
        <w:t>表 4-1 算法公平性与实验统一设置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项目</w:t>
            </w:r>
          </w:p>
        </w:tc>
        <w:tc>
          <w:tcPr>
            <w:tcW w:type="dxa" w:w="1728"/>
          </w:tcPr>
          <w:p>
            <w:r>
              <w:rPr>
                <w:b/>
              </w:rPr>
              <w:t>Proposed A*</w:t>
            </w:r>
          </w:p>
        </w:tc>
        <w:tc>
          <w:tcPr>
            <w:tcW w:type="dxa" w:w="1728"/>
          </w:tcPr>
          <w:p>
            <w:r>
              <w:rPr>
                <w:b/>
              </w:rPr>
              <w:t>Dijkstra</w:t>
            </w:r>
          </w:p>
        </w:tc>
        <w:tc>
          <w:tcPr>
            <w:tcW w:type="dxa" w:w="1728"/>
          </w:tcPr>
          <w:p>
            <w:r>
              <w:rPr>
                <w:b/>
              </w:rPr>
              <w:t>Static-field</w:t>
            </w:r>
          </w:p>
        </w:tc>
        <w:tc>
          <w:tcPr>
            <w:tcW w:type="dxa" w:w="1728"/>
          </w:tcPr>
          <w:p>
            <w:r>
              <w:rPr>
                <w:b/>
              </w:rPr>
              <w:t>Risk-blind</w:t>
            </w:r>
          </w:p>
        </w:tc>
      </w:tr>
      <w:tr>
        <w:tc>
          <w:tcPr>
            <w:tcW w:type="dxa" w:w="1728"/>
          </w:tcPr>
          <w:p>
            <w:r>
              <w:t>起终点</w:t>
            </w:r>
          </w:p>
        </w:tc>
        <w:tc>
          <w:tcPr>
            <w:tcW w:type="dxa" w:w="1728"/>
          </w:tcPr>
          <w:p>
            <w:r>
              <w:t>一致</w:t>
            </w:r>
          </w:p>
        </w:tc>
        <w:tc>
          <w:tcPr>
            <w:tcW w:type="dxa" w:w="1728"/>
          </w:tcPr>
          <w:p>
            <w:r>
              <w:t>一致</w:t>
            </w:r>
          </w:p>
        </w:tc>
        <w:tc>
          <w:tcPr>
            <w:tcW w:type="dxa" w:w="1728"/>
          </w:tcPr>
          <w:p>
            <w:r>
              <w:t>一致</w:t>
            </w:r>
          </w:p>
        </w:tc>
        <w:tc>
          <w:tcPr>
            <w:tcW w:type="dxa" w:w="1728"/>
          </w:tcPr>
          <w:p>
            <w:r>
              <w:t>一致</w:t>
            </w:r>
          </w:p>
        </w:tc>
      </w:tr>
      <w:tr>
        <w:tc>
          <w:tcPr>
            <w:tcW w:type="dxa" w:w="1728"/>
          </w:tcPr>
          <w:p>
            <w:r>
              <w:t>网格</w:t>
            </w:r>
          </w:p>
        </w:tc>
        <w:tc>
          <w:tcPr>
            <w:tcW w:type="dxa" w:w="1728"/>
          </w:tcPr>
          <w:p>
            <w:r>
              <w:t>一致</w:t>
            </w:r>
          </w:p>
        </w:tc>
        <w:tc>
          <w:tcPr>
            <w:tcW w:type="dxa" w:w="1728"/>
          </w:tcPr>
          <w:p>
            <w:r>
              <w:t>一致</w:t>
            </w:r>
          </w:p>
        </w:tc>
        <w:tc>
          <w:tcPr>
            <w:tcW w:type="dxa" w:w="1728"/>
          </w:tcPr>
          <w:p>
            <w:r>
              <w:t>一致</w:t>
            </w:r>
          </w:p>
        </w:tc>
        <w:tc>
          <w:tcPr>
            <w:tcW w:type="dxa" w:w="1728"/>
          </w:tcPr>
          <w:p>
            <w:r>
              <w:t>一致</w:t>
            </w:r>
          </w:p>
        </w:tc>
      </w:tr>
      <w:tr>
        <w:tc>
          <w:tcPr>
            <w:tcW w:type="dxa" w:w="1728"/>
          </w:tcPr>
          <w:p>
            <w:r>
              <w:t>船舶性能模型</w:t>
            </w:r>
          </w:p>
        </w:tc>
        <w:tc>
          <w:tcPr>
            <w:tcW w:type="dxa" w:w="1728"/>
          </w:tcPr>
          <w:p>
            <w:r>
              <w:t>一致</w:t>
            </w:r>
          </w:p>
        </w:tc>
        <w:tc>
          <w:tcPr>
            <w:tcW w:type="dxa" w:w="1728"/>
          </w:tcPr>
          <w:p>
            <w:r>
              <w:t>一致</w:t>
            </w:r>
          </w:p>
        </w:tc>
        <w:tc>
          <w:tcPr>
            <w:tcW w:type="dxa" w:w="1728"/>
          </w:tcPr>
          <w:p>
            <w:r>
              <w:t>一致</w:t>
            </w:r>
          </w:p>
        </w:tc>
        <w:tc>
          <w:tcPr>
            <w:tcW w:type="dxa" w:w="1728"/>
          </w:tcPr>
          <w:p>
            <w:r>
              <w:t>一致</w:t>
            </w:r>
          </w:p>
        </w:tc>
      </w:tr>
      <w:tr>
        <w:tc>
          <w:tcPr>
            <w:tcW w:type="dxa" w:w="1728"/>
          </w:tcPr>
          <w:p>
            <w:r>
              <w:t>边评估器</w:t>
            </w:r>
          </w:p>
        </w:tc>
        <w:tc>
          <w:tcPr>
            <w:tcW w:type="dxa" w:w="1728"/>
          </w:tcPr>
          <w:p>
            <w:r>
              <w:t>一致</w:t>
            </w:r>
          </w:p>
        </w:tc>
        <w:tc>
          <w:tcPr>
            <w:tcW w:type="dxa" w:w="1728"/>
          </w:tcPr>
          <w:p>
            <w:r>
              <w:t>一致</w:t>
            </w:r>
          </w:p>
        </w:tc>
        <w:tc>
          <w:tcPr>
            <w:tcW w:type="dxa" w:w="1728"/>
          </w:tcPr>
          <w:p>
            <w:r>
              <w:t>一致</w:t>
            </w:r>
          </w:p>
        </w:tc>
        <w:tc>
          <w:tcPr>
            <w:tcW w:type="dxa" w:w="1728"/>
          </w:tcPr>
          <w:p>
            <w:r>
              <w:t>一致</w:t>
            </w:r>
          </w:p>
        </w:tc>
      </w:tr>
      <w:tr>
        <w:tc>
          <w:tcPr>
            <w:tcW w:type="dxa" w:w="1728"/>
          </w:tcPr>
          <w:p>
            <w:r>
              <w:t>时间离散桶</w:t>
            </w:r>
          </w:p>
        </w:tc>
        <w:tc>
          <w:tcPr>
            <w:tcW w:type="dxa" w:w="1728"/>
          </w:tcPr>
          <w:p>
            <w:r>
              <w:t>一致</w:t>
            </w:r>
          </w:p>
        </w:tc>
        <w:tc>
          <w:tcPr>
            <w:tcW w:type="dxa" w:w="1728"/>
          </w:tcPr>
          <w:p>
            <w:r>
              <w:t>一致</w:t>
            </w:r>
          </w:p>
        </w:tc>
        <w:tc>
          <w:tcPr>
            <w:tcW w:type="dxa" w:w="1728"/>
          </w:tcPr>
          <w:p>
            <w:r>
              <w:t>一致</w:t>
            </w:r>
          </w:p>
        </w:tc>
        <w:tc>
          <w:tcPr>
            <w:tcW w:type="dxa" w:w="1728"/>
          </w:tcPr>
          <w:p>
            <w:r>
              <w:t>一致</w:t>
            </w:r>
          </w:p>
        </w:tc>
      </w:tr>
      <w:tr>
        <w:tc>
          <w:tcPr>
            <w:tcW w:type="dxa" w:w="1728"/>
          </w:tcPr>
          <w:p>
            <w:r>
              <w:t>硬约束(fail-closed)</w:t>
            </w:r>
          </w:p>
        </w:tc>
        <w:tc>
          <w:tcPr>
            <w:tcW w:type="dxa" w:w="1728"/>
          </w:tcPr>
          <w:p>
            <w:r>
              <w:t>是</w:t>
            </w:r>
          </w:p>
        </w:tc>
        <w:tc>
          <w:tcPr>
            <w:tcW w:type="dxa" w:w="1728"/>
          </w:tcPr>
          <w:p>
            <w:r>
              <w:t>是</w:t>
            </w:r>
          </w:p>
        </w:tc>
        <w:tc>
          <w:tcPr>
            <w:tcW w:type="dxa" w:w="1728"/>
          </w:tcPr>
          <w:p>
            <w:r>
              <w:t>是</w:t>
            </w:r>
          </w:p>
        </w:tc>
        <w:tc>
          <w:tcPr>
            <w:tcW w:type="dxa" w:w="1728"/>
          </w:tcPr>
          <w:p>
            <w:r>
              <w:t>是</w:t>
            </w:r>
          </w:p>
        </w:tc>
      </w:tr>
      <w:tr>
        <w:tc>
          <w:tcPr>
            <w:tcW w:type="dxa" w:w="1728"/>
          </w:tcPr>
          <w:p>
            <w:r>
              <w:t>风险信息</w:t>
            </w:r>
          </w:p>
        </w:tc>
        <w:tc>
          <w:tcPr>
            <w:tcW w:type="dxa" w:w="1728"/>
          </w:tcPr>
          <w:p>
            <w:r>
              <w:t>全程使用</w:t>
            </w:r>
          </w:p>
        </w:tc>
        <w:tc>
          <w:tcPr>
            <w:tcW w:type="dxa" w:w="1728"/>
          </w:tcPr>
          <w:p>
            <w:r>
              <w:t>同图无信息</w:t>
            </w:r>
          </w:p>
        </w:tc>
        <w:tc>
          <w:tcPr>
            <w:tcW w:type="dxa" w:w="1728"/>
          </w:tcPr>
          <w:p>
            <w:r>
              <w:t>仅出发时刻帧</w:t>
            </w:r>
          </w:p>
        </w:tc>
        <w:tc>
          <w:tcPr>
            <w:tcW w:type="dxa" w:w="1728"/>
          </w:tcPr>
          <w:p>
            <w:r>
              <w:t>权重置零</w:t>
            </w:r>
          </w:p>
        </w:tc>
      </w:tr>
      <w:tr>
        <w:tc>
          <w:tcPr>
            <w:tcW w:type="dxa" w:w="1728"/>
          </w:tcPr>
          <w:p>
            <w:r>
              <w:t>时变信息</w:t>
            </w:r>
          </w:p>
        </w:tc>
        <w:tc>
          <w:tcPr>
            <w:tcW w:type="dxa" w:w="1728"/>
          </w:tcPr>
          <w:p>
            <w:r>
              <w:t>时间展开图</w:t>
            </w:r>
          </w:p>
        </w:tc>
        <w:tc>
          <w:tcPr>
            <w:tcW w:type="dxa" w:w="1728"/>
          </w:tcPr>
          <w:p>
            <w:r>
              <w:t>同图</w:t>
            </w:r>
          </w:p>
        </w:tc>
        <w:tc>
          <w:tcPr>
            <w:tcW w:type="dxa" w:w="1728"/>
          </w:tcPr>
          <w:p>
            <w:r>
              <w:t>冻结为静态</w:t>
            </w:r>
          </w:p>
        </w:tc>
        <w:tc>
          <w:tcPr>
            <w:tcW w:type="dxa" w:w="1728"/>
          </w:tcPr>
          <w:p>
            <w:r>
              <w:t>risk项取消</w:t>
            </w:r>
          </w:p>
        </w:tc>
      </w:tr>
      <w:tr>
        <w:tc>
          <w:tcPr>
            <w:tcW w:type="dxa" w:w="1728"/>
          </w:tcPr>
          <w:p>
            <w:r>
              <w:t>启发式</w:t>
            </w:r>
          </w:p>
        </w:tc>
        <w:tc>
          <w:tcPr>
            <w:tcW w:type="dxa" w:w="1728"/>
          </w:tcPr>
          <w:p>
            <w:r>
              <w:t>admissible</w:t>
            </w:r>
          </w:p>
        </w:tc>
        <w:tc>
          <w:tcPr>
            <w:tcW w:type="dxa" w:w="1728"/>
          </w:tcPr>
          <w:p>
            <w:r>
              <w:t>无(use_heuristic=False)</w:t>
            </w:r>
          </w:p>
        </w:tc>
        <w:tc>
          <w:tcPr>
            <w:tcW w:type="dxa" w:w="1728"/>
          </w:tcPr>
          <w:p>
            <w:r>
              <w:t>admissible</w:t>
            </w:r>
          </w:p>
        </w:tc>
        <w:tc>
          <w:tcPr>
            <w:tcW w:type="dxa" w:w="1728"/>
          </w:tcPr>
          <w:p>
            <w:r>
              <w:t>admissible</w:t>
            </w:r>
          </w:p>
        </w:tc>
      </w:tr>
      <w:tr>
        <w:tc>
          <w:tcPr>
            <w:tcW w:type="dxa" w:w="1728"/>
          </w:tcPr>
          <w:p>
            <w:r>
              <w:t>目标函数</w:t>
            </w:r>
          </w:p>
        </w:tc>
        <w:tc>
          <w:tcPr>
            <w:tcW w:type="dxa" w:w="1728"/>
          </w:tcPr>
          <w:p>
            <w:r>
              <w:t>三目标一致</w:t>
            </w:r>
          </w:p>
        </w:tc>
        <w:tc>
          <w:tcPr>
            <w:tcW w:type="dxa" w:w="1728"/>
          </w:tcPr>
          <w:p>
            <w:r>
              <w:t>一致</w:t>
            </w:r>
          </w:p>
        </w:tc>
        <w:tc>
          <w:tcPr>
            <w:tcW w:type="dxa" w:w="1728"/>
          </w:tcPr>
          <w:p>
            <w:r>
              <w:t>一致</w:t>
            </w:r>
          </w:p>
        </w:tc>
        <w:tc>
          <w:tcPr>
            <w:tcW w:type="dxa" w:w="1728"/>
          </w:tcPr>
          <w:p>
            <w:r>
              <w:t>risk+uncertainty置零</w:t>
            </w:r>
          </w:p>
        </w:tc>
      </w:tr>
      <w:tr>
        <w:tc>
          <w:tcPr>
            <w:tcW w:type="dxa" w:w="1728"/>
          </w:tcPr>
          <w:p>
            <w:r>
              <w:t>硬件</w:t>
            </w:r>
          </w:p>
        </w:tc>
        <w:tc>
          <w:tcPr>
            <w:tcW w:type="dxa" w:w="1728"/>
          </w:tcPr>
          <w:p>
            <w:r>
              <w:t>统一</w:t>
            </w:r>
          </w:p>
        </w:tc>
        <w:tc>
          <w:tcPr>
            <w:tcW w:type="dxa" w:w="1728"/>
          </w:tcPr>
          <w:p>
            <w:r>
              <w:t>统一</w:t>
            </w:r>
          </w:p>
        </w:tc>
        <w:tc>
          <w:tcPr>
            <w:tcW w:type="dxa" w:w="1728"/>
          </w:tcPr>
          <w:p>
            <w:r>
              <w:t>统一</w:t>
            </w:r>
          </w:p>
        </w:tc>
        <w:tc>
          <w:tcPr>
            <w:tcW w:type="dxa" w:w="1728"/>
          </w:tcPr>
          <w:p>
            <w:r>
              <w:t>统一</w:t>
            </w:r>
          </w:p>
        </w:tc>
      </w:tr>
      <w:tr>
        <w:tc>
          <w:tcPr>
            <w:tcW w:type="dxa" w:w="1728"/>
          </w:tcPr>
          <w:p>
            <w:r>
              <w:t>数据集</w:t>
            </w:r>
          </w:p>
        </w:tc>
        <w:tc>
          <w:tcPr>
            <w:tcW w:type="dxa" w:w="1728"/>
          </w:tcPr>
          <w:p>
            <w:r>
              <w:t>同源</w:t>
            </w:r>
          </w:p>
        </w:tc>
        <w:tc>
          <w:tcPr>
            <w:tcW w:type="dxa" w:w="1728"/>
          </w:tcPr>
          <w:p>
            <w:r>
              <w:t>同源</w:t>
            </w:r>
          </w:p>
        </w:tc>
        <w:tc>
          <w:tcPr>
            <w:tcW w:type="dxa" w:w="1728"/>
          </w:tcPr>
          <w:p>
            <w:r>
              <w:t>同源</w:t>
            </w:r>
          </w:p>
        </w:tc>
        <w:tc>
          <w:tcPr>
            <w:tcW w:type="dxa" w:w="1728"/>
          </w:tcPr>
          <w:p>
            <w:r>
              <w:t>同源</w:t>
            </w:r>
          </w:p>
        </w:tc>
      </w:tr>
      <w:tr>
        <w:tc>
          <w:tcPr>
            <w:tcW w:type="dxa" w:w="1728"/>
          </w:tcPr>
          <w:p>
            <w:r>
              <w:t>终止条件</w:t>
            </w:r>
          </w:p>
        </w:tc>
        <w:tc>
          <w:tcPr>
            <w:tcW w:type="dxa" w:w="1728"/>
          </w:tcPr>
          <w:p>
            <w:r>
              <w:t>max_expansions=250000</w:t>
            </w:r>
          </w:p>
        </w:tc>
        <w:tc>
          <w:tcPr>
            <w:tcW w:type="dxa" w:w="1728"/>
          </w:tcPr>
          <w:p>
            <w:r>
              <w:t>同</w:t>
            </w:r>
          </w:p>
        </w:tc>
        <w:tc>
          <w:tcPr>
            <w:tcW w:type="dxa" w:w="1728"/>
          </w:tcPr>
          <w:p>
            <w:r>
              <w:t>同</w:t>
            </w:r>
          </w:p>
        </w:tc>
        <w:tc>
          <w:tcPr>
            <w:tcW w:type="dxa" w:w="1728"/>
          </w:tcPr>
          <w:p>
            <w:r>
              <w:t>同</w:t>
            </w:r>
          </w:p>
        </w:tc>
      </w:tr>
    </w:tbl>
    <w:p>
      <w:pPr>
        <w:ind w:firstLine="420"/>
        <w:jc w:val="both"/>
      </w:pPr>
      <w:r>
        <w:t>由表 4-1 可知，四种算法仅在搜索策略或目标函数上不同，其余输入、约束与硬件环境完全一致。因此，任何观测到的性能差异均可归因于算法本身，而非模型或约束的强弱。其中，Risk-blind 是目标函数消融（仅将 risk 与 uncertainty 权重置零，其余权重保持不变），其搜索效率指标（扩展数、加速比）不作为优势对比，仅比较风险/时间/航程权衡。</w:t>
      </w:r>
    </w:p>
    <w:p>
      <w:pPr>
        <w:pStyle w:val="Heading1"/>
      </w:pPr>
      <w:r>
        <w:t>4.7 算法性能对比结果与分析</w:t>
      </w:r>
    </w:p>
    <w:p>
      <w:pPr>
        <w:pStyle w:val="Heading2"/>
      </w:pPr>
      <w:r>
        <w:t>4.7.1 搜索效率对比（vs 无信息 Dijkstra）</w:t>
      </w:r>
    </w:p>
    <w:p>
      <w:pPr>
        <w:ind w:firstLine="420"/>
        <w:jc w:val="both"/>
      </w:pPr>
      <w:r>
        <w:t>真实 24 小时航段上，本文 A* 与无信息 Dijkstra 的搜索效率对比结果如表 4-2 所示。</w:t>
      </w:r>
    </w:p>
    <w:p>
      <w:pPr>
        <w:jc w:val="center"/>
      </w:pPr>
      <w:r>
        <w:rPr>
          <w:b/>
        </w:rPr>
        <w:t>表 4-2 搜索效率对比（vs 无信息 Dijkstra，真实 24h）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算例</w:t>
            </w:r>
          </w:p>
        </w:tc>
        <w:tc>
          <w:tcPr>
            <w:tcW w:type="dxa" w:w="1234"/>
          </w:tcPr>
          <w:p>
            <w:r>
              <w:rPr>
                <w:b/>
              </w:rPr>
              <w:t>目标</w:t>
            </w:r>
          </w:p>
        </w:tc>
        <w:tc>
          <w:tcPr>
            <w:tcW w:type="dxa" w:w="1234"/>
          </w:tcPr>
          <w:p>
            <w:r>
              <w:rPr>
                <w:b/>
              </w:rPr>
              <w:t>扩展数(本文)</w:t>
            </w:r>
          </w:p>
        </w:tc>
        <w:tc>
          <w:tcPr>
            <w:tcW w:type="dxa" w:w="1234"/>
          </w:tcPr>
          <w:p>
            <w:r>
              <w:rPr>
                <w:b/>
              </w:rPr>
              <w:t>扩展数(Dijkstra)</w:t>
            </w:r>
          </w:p>
        </w:tc>
        <w:tc>
          <w:tcPr>
            <w:tcW w:type="dxa" w:w="1234"/>
          </w:tcPr>
          <w:p>
            <w:r>
              <w:rPr>
                <w:b/>
              </w:rPr>
              <w:t>扩展减少</w:t>
            </w:r>
          </w:p>
        </w:tc>
        <w:tc>
          <w:tcPr>
            <w:tcW w:type="dxa" w:w="1234"/>
          </w:tcPr>
          <w:p>
            <w:r>
              <w:rPr>
                <w:b/>
              </w:rPr>
              <w:t>加速比</w:t>
            </w:r>
          </w:p>
        </w:tc>
        <w:tc>
          <w:tcPr>
            <w:tcW w:type="dxa" w:w="1234"/>
          </w:tcPr>
          <w:p>
            <w:r>
              <w:rPr>
                <w:b/>
              </w:rPr>
              <w:t>代价相同</w:t>
            </w:r>
          </w:p>
        </w:tc>
      </w:tr>
      <w:tr>
        <w:tc>
          <w:tcPr>
            <w:tcW w:type="dxa" w:w="1234"/>
          </w:tcPr>
          <w:p>
            <w:r>
              <w:t>holdout</w:t>
            </w:r>
          </w:p>
        </w:tc>
        <w:tc>
          <w:tcPr>
            <w:tcW w:type="dxa" w:w="1234"/>
          </w:tcPr>
          <w:p>
            <w:r>
              <w:t>fastest</w:t>
            </w:r>
          </w:p>
        </w:tc>
        <w:tc>
          <w:tcPr>
            <w:tcW w:type="dxa" w:w="1234"/>
          </w:tcPr>
          <w:p>
            <w:r>
              <w:t>653</w:t>
            </w:r>
          </w:p>
        </w:tc>
        <w:tc>
          <w:tcPr>
            <w:tcW w:type="dxa" w:w="1234"/>
          </w:tcPr>
          <w:p>
            <w:r>
              <w:t>4864</w:t>
            </w:r>
          </w:p>
        </w:tc>
        <w:tc>
          <w:tcPr>
            <w:tcW w:type="dxa" w:w="1234"/>
          </w:tcPr>
          <w:p>
            <w:r>
              <w:t>-86.6%</w:t>
            </w:r>
          </w:p>
        </w:tc>
        <w:tc>
          <w:tcPr>
            <w:tcW w:type="dxa" w:w="1234"/>
          </w:tcPr>
          <w:p>
            <w:r>
              <w:t>7.15×</w:t>
            </w:r>
          </w:p>
        </w:tc>
        <w:tc>
          <w:tcPr>
            <w:tcW w:type="dxa" w:w="1234"/>
          </w:tcPr>
          <w:p>
            <w:r>
              <w:t>✓</w:t>
            </w:r>
          </w:p>
        </w:tc>
      </w:tr>
      <w:tr>
        <w:tc>
          <w:tcPr>
            <w:tcW w:type="dxa" w:w="1234"/>
          </w:tcPr>
          <w:p>
            <w:r>
              <w:t>holdout</w:t>
            </w:r>
          </w:p>
        </w:tc>
        <w:tc>
          <w:tcPr>
            <w:tcW w:type="dxa" w:w="1234"/>
          </w:tcPr>
          <w:p>
            <w:r>
              <w:t>low_risk</w:t>
            </w:r>
          </w:p>
        </w:tc>
        <w:tc>
          <w:tcPr>
            <w:tcW w:type="dxa" w:w="1234"/>
          </w:tcPr>
          <w:p>
            <w:r>
              <w:t>1828</w:t>
            </w:r>
          </w:p>
        </w:tc>
        <w:tc>
          <w:tcPr>
            <w:tcW w:type="dxa" w:w="1234"/>
          </w:tcPr>
          <w:p>
            <w:r>
              <w:t>4904</w:t>
            </w:r>
          </w:p>
        </w:tc>
        <w:tc>
          <w:tcPr>
            <w:tcW w:type="dxa" w:w="1234"/>
          </w:tcPr>
          <w:p>
            <w:r>
              <w:t>-62.7%</w:t>
            </w:r>
          </w:p>
        </w:tc>
        <w:tc>
          <w:tcPr>
            <w:tcW w:type="dxa" w:w="1234"/>
          </w:tcPr>
          <w:p>
            <w:r>
              <w:t>2.67×</w:t>
            </w:r>
          </w:p>
        </w:tc>
        <w:tc>
          <w:tcPr>
            <w:tcW w:type="dxa" w:w="1234"/>
          </w:tcPr>
          <w:p>
            <w:r>
              <w:t>✓</w:t>
            </w:r>
          </w:p>
        </w:tc>
      </w:tr>
      <w:tr>
        <w:tc>
          <w:tcPr>
            <w:tcW w:type="dxa" w:w="1234"/>
          </w:tcPr>
          <w:p>
            <w:r>
              <w:t>holdout</w:t>
            </w:r>
          </w:p>
        </w:tc>
        <w:tc>
          <w:tcPr>
            <w:tcW w:type="dxa" w:w="1234"/>
          </w:tcPr>
          <w:p>
            <w:r>
              <w:t>recommended</w:t>
            </w:r>
          </w:p>
        </w:tc>
        <w:tc>
          <w:tcPr>
            <w:tcW w:type="dxa" w:w="1234"/>
          </w:tcPr>
          <w:p>
            <w:r>
              <w:t>954</w:t>
            </w:r>
          </w:p>
        </w:tc>
        <w:tc>
          <w:tcPr>
            <w:tcW w:type="dxa" w:w="1234"/>
          </w:tcPr>
          <w:p>
            <w:r>
              <w:t>4845</w:t>
            </w:r>
          </w:p>
        </w:tc>
        <w:tc>
          <w:tcPr>
            <w:tcW w:type="dxa" w:w="1234"/>
          </w:tcPr>
          <w:p>
            <w:r>
              <w:t>-80.3%</w:t>
            </w:r>
          </w:p>
        </w:tc>
        <w:tc>
          <w:tcPr>
            <w:tcW w:type="dxa" w:w="1234"/>
          </w:tcPr>
          <w:p>
            <w:r>
              <w:t>5.18×</w:t>
            </w:r>
          </w:p>
        </w:tc>
        <w:tc>
          <w:tcPr>
            <w:tcW w:type="dxa" w:w="1234"/>
          </w:tcPr>
          <w:p>
            <w:r>
              <w:t>✓</w:t>
            </w:r>
          </w:p>
        </w:tc>
      </w:tr>
      <w:tr>
        <w:tc>
          <w:tcPr>
            <w:tcW w:type="dxa" w:w="1234"/>
          </w:tcPr>
          <w:p>
            <w:r>
              <w:t>development</w:t>
            </w:r>
          </w:p>
        </w:tc>
        <w:tc>
          <w:tcPr>
            <w:tcW w:type="dxa" w:w="1234"/>
          </w:tcPr>
          <w:p>
            <w:r>
              <w:t>fastest</w:t>
            </w:r>
          </w:p>
        </w:tc>
        <w:tc>
          <w:tcPr>
            <w:tcW w:type="dxa" w:w="1234"/>
          </w:tcPr>
          <w:p>
            <w:r>
              <w:t>567</w:t>
            </w:r>
          </w:p>
        </w:tc>
        <w:tc>
          <w:tcPr>
            <w:tcW w:type="dxa" w:w="1234"/>
          </w:tcPr>
          <w:p>
            <w:r>
              <w:t>4185</w:t>
            </w:r>
          </w:p>
        </w:tc>
        <w:tc>
          <w:tcPr>
            <w:tcW w:type="dxa" w:w="1234"/>
          </w:tcPr>
          <w:p>
            <w:r>
              <w:t>-86.5%</w:t>
            </w:r>
          </w:p>
        </w:tc>
        <w:tc>
          <w:tcPr>
            <w:tcW w:type="dxa" w:w="1234"/>
          </w:tcPr>
          <w:p>
            <w:r>
              <w:t>7.65×</w:t>
            </w:r>
          </w:p>
        </w:tc>
        <w:tc>
          <w:tcPr>
            <w:tcW w:type="dxa" w:w="1234"/>
          </w:tcPr>
          <w:p>
            <w:r>
              <w:t>✓</w:t>
            </w:r>
          </w:p>
        </w:tc>
      </w:tr>
      <w:tr>
        <w:tc>
          <w:tcPr>
            <w:tcW w:type="dxa" w:w="1234"/>
          </w:tcPr>
          <w:p>
            <w:r>
              <w:t>development</w:t>
            </w:r>
          </w:p>
        </w:tc>
        <w:tc>
          <w:tcPr>
            <w:tcW w:type="dxa" w:w="1234"/>
          </w:tcPr>
          <w:p>
            <w:r>
              <w:t>low_risk</w:t>
            </w:r>
          </w:p>
        </w:tc>
        <w:tc>
          <w:tcPr>
            <w:tcW w:type="dxa" w:w="1234"/>
          </w:tcPr>
          <w:p>
            <w:r>
              <w:t>1864</w:t>
            </w:r>
          </w:p>
        </w:tc>
        <w:tc>
          <w:tcPr>
            <w:tcW w:type="dxa" w:w="1234"/>
          </w:tcPr>
          <w:p>
            <w:r>
              <w:t>4211</w:t>
            </w:r>
          </w:p>
        </w:tc>
        <w:tc>
          <w:tcPr>
            <w:tcW w:type="dxa" w:w="1234"/>
          </w:tcPr>
          <w:p>
            <w:r>
              <w:t>-55.7%</w:t>
            </w:r>
          </w:p>
        </w:tc>
        <w:tc>
          <w:tcPr>
            <w:tcW w:type="dxa" w:w="1234"/>
          </w:tcPr>
          <w:p>
            <w:r>
              <w:t>2.16×</w:t>
            </w:r>
          </w:p>
        </w:tc>
        <w:tc>
          <w:tcPr>
            <w:tcW w:type="dxa" w:w="1234"/>
          </w:tcPr>
          <w:p>
            <w:r>
              <w:t>✓</w:t>
            </w:r>
          </w:p>
        </w:tc>
      </w:tr>
      <w:tr>
        <w:tc>
          <w:tcPr>
            <w:tcW w:type="dxa" w:w="1234"/>
          </w:tcPr>
          <w:p>
            <w:r>
              <w:t>development</w:t>
            </w:r>
          </w:p>
        </w:tc>
        <w:tc>
          <w:tcPr>
            <w:tcW w:type="dxa" w:w="1234"/>
          </w:tcPr>
          <w:p>
            <w:r>
              <w:t>recommended</w:t>
            </w:r>
          </w:p>
        </w:tc>
        <w:tc>
          <w:tcPr>
            <w:tcW w:type="dxa" w:w="1234"/>
          </w:tcPr>
          <w:p>
            <w:r>
              <w:t>945</w:t>
            </w:r>
          </w:p>
        </w:tc>
        <w:tc>
          <w:tcPr>
            <w:tcW w:type="dxa" w:w="1234"/>
          </w:tcPr>
          <w:p>
            <w:r>
              <w:t>4173</w:t>
            </w:r>
          </w:p>
        </w:tc>
        <w:tc>
          <w:tcPr>
            <w:tcW w:type="dxa" w:w="1234"/>
          </w:tcPr>
          <w:p>
            <w:r>
              <w:t>-77.4%</w:t>
            </w:r>
          </w:p>
        </w:tc>
        <w:tc>
          <w:tcPr>
            <w:tcW w:type="dxa" w:w="1234"/>
          </w:tcPr>
          <w:p>
            <w:r>
              <w:t>4.37×</w:t>
            </w:r>
          </w:p>
        </w:tc>
        <w:tc>
          <w:tcPr>
            <w:tcW w:type="dxa" w:w="1234"/>
          </w:tcPr>
          <w:p>
            <w:r>
              <w:t>✓</w:t>
            </w:r>
          </w:p>
        </w:tc>
      </w:tr>
    </w:tbl>
    <w:p>
      <w:pPr>
        <w:ind w:firstLine="420"/>
        <w:jc w:val="both"/>
      </w:pPr>
      <w:r>
        <w:t>由表 4-2 可知，在真实 145 帧风险预报序列上，本文 A* 的节点扩展数较无信息 Dijkstra 减少 55.7%～86.6%，加速 2.16×～7.65×。更关键的是，全部 6 个对比单元的总代价严格一致（cost_identical=True），这表明启发式搜索在保持解质量的前提下有效压缩了搜索空间。其原因在于 admissible 启发式保证不高估真实剩余代价，使 A* 与 Dijkstra 在同一时间展开状态图上返回相同的最优解，但 A* 通过启发式优先展开更有希望的节点，从而减少无谓扩展。</w:t>
      </w:r>
    </w:p>
    <w:p>
      <w:pPr>
        <w:pStyle w:val="Heading2"/>
      </w:pPr>
      <w:r>
        <w:t>4.7.2 航线质量对比（vs 静态场规划）</w:t>
      </w:r>
    </w:p>
    <w:p>
      <w:pPr>
        <w:ind w:firstLine="420"/>
        <w:jc w:val="both"/>
      </w:pPr>
      <w:r>
        <w:t>真实 24 小时航段上，本文 A* 与静态场规划（将所有预报帧冻结为出发时刻帧）的航线质量对比结果如表 4-3 所示。</w:t>
      </w:r>
    </w:p>
    <w:p>
      <w:pPr>
        <w:jc w:val="center"/>
      </w:pPr>
      <w:r>
        <w:rPr>
          <w:b/>
        </w:rPr>
        <w:t>表 4-3 航线质量对比（vs 静态场规划，真实 24h）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算例</w:t>
            </w:r>
          </w:p>
        </w:tc>
        <w:tc>
          <w:tcPr>
            <w:tcW w:type="dxa" w:w="1440"/>
          </w:tcPr>
          <w:p>
            <w:r>
              <w:rPr>
                <w:b/>
              </w:rPr>
              <w:t>目标</w:t>
            </w:r>
          </w:p>
        </w:tc>
        <w:tc>
          <w:tcPr>
            <w:tcW w:type="dxa" w:w="1440"/>
          </w:tcPr>
          <w:p>
            <w:r>
              <w:rPr>
                <w:b/>
              </w:rPr>
              <w:t>最大风险(本文)</w:t>
            </w:r>
          </w:p>
        </w:tc>
        <w:tc>
          <w:tcPr>
            <w:tcW w:type="dxa" w:w="1440"/>
          </w:tcPr>
          <w:p>
            <w:r>
              <w:rPr>
                <w:b/>
              </w:rPr>
              <w:t>最大风险(静态)</w:t>
            </w:r>
          </w:p>
        </w:tc>
        <w:tc>
          <w:tcPr>
            <w:tcW w:type="dxa" w:w="1440"/>
          </w:tcPr>
          <w:p>
            <w:r>
              <w:rPr>
                <w:b/>
              </w:rPr>
              <w:t>降幅</w:t>
            </w:r>
          </w:p>
        </w:tc>
        <w:tc>
          <w:tcPr>
            <w:tcW w:type="dxa" w:w="1440"/>
          </w:tcPr>
          <w:p>
            <w:r>
              <w:rPr>
                <w:b/>
              </w:rPr>
              <w:t>平均风险降幅</w:t>
            </w:r>
          </w:p>
        </w:tc>
      </w:tr>
      <w:tr>
        <w:tc>
          <w:tcPr>
            <w:tcW w:type="dxa" w:w="1440"/>
          </w:tcPr>
          <w:p>
            <w:r>
              <w:t>holdout</w:t>
            </w:r>
          </w:p>
        </w:tc>
        <w:tc>
          <w:tcPr>
            <w:tcW w:type="dxa" w:w="1440"/>
          </w:tcPr>
          <w:p>
            <w:r>
              <w:t>fastest</w:t>
            </w:r>
          </w:p>
        </w:tc>
        <w:tc>
          <w:tcPr>
            <w:tcW w:type="dxa" w:w="1440"/>
          </w:tcPr>
          <w:p>
            <w:r>
              <w:t>0.09007</w:t>
            </w:r>
          </w:p>
        </w:tc>
        <w:tc>
          <w:tcPr>
            <w:tcW w:type="dxa" w:w="1440"/>
          </w:tcPr>
          <w:p>
            <w:r>
              <w:t>0.12832</w:t>
            </w:r>
          </w:p>
        </w:tc>
        <w:tc>
          <w:tcPr>
            <w:tcW w:type="dxa" w:w="1440"/>
          </w:tcPr>
          <w:p>
            <w:r>
              <w:t>-29.8%</w:t>
            </w:r>
          </w:p>
        </w:tc>
        <w:tc>
          <w:tcPr>
            <w:tcW w:type="dxa" w:w="1440"/>
          </w:tcPr>
          <w:p>
            <w:r>
              <w:t>-15.7%</w:t>
            </w:r>
          </w:p>
        </w:tc>
      </w:tr>
      <w:tr>
        <w:tc>
          <w:tcPr>
            <w:tcW w:type="dxa" w:w="1440"/>
          </w:tcPr>
          <w:p>
            <w:r>
              <w:t>holdout</w:t>
            </w:r>
          </w:p>
        </w:tc>
        <w:tc>
          <w:tcPr>
            <w:tcW w:type="dxa" w:w="1440"/>
          </w:tcPr>
          <w:p>
            <w:r>
              <w:t>low_risk</w:t>
            </w:r>
          </w:p>
        </w:tc>
        <w:tc>
          <w:tcPr>
            <w:tcW w:type="dxa" w:w="1440"/>
          </w:tcPr>
          <w:p>
            <w:r>
              <w:t>0.07802</w:t>
            </w:r>
          </w:p>
        </w:tc>
        <w:tc>
          <w:tcPr>
            <w:tcW w:type="dxa" w:w="1440"/>
          </w:tcPr>
          <w:p>
            <w:r>
              <w:t>0.09213</w:t>
            </w:r>
          </w:p>
        </w:tc>
        <w:tc>
          <w:tcPr>
            <w:tcW w:type="dxa" w:w="1440"/>
          </w:tcPr>
          <w:p>
            <w:r>
              <w:t>-15.3%</w:t>
            </w:r>
          </w:p>
        </w:tc>
        <w:tc>
          <w:tcPr>
            <w:tcW w:type="dxa" w:w="1440"/>
          </w:tcPr>
          <w:p>
            <w:r>
              <w:t>-15.9%</w:t>
            </w:r>
          </w:p>
        </w:tc>
      </w:tr>
      <w:tr>
        <w:tc>
          <w:tcPr>
            <w:tcW w:type="dxa" w:w="1440"/>
          </w:tcPr>
          <w:p>
            <w:r>
              <w:t>holdout</w:t>
            </w:r>
          </w:p>
        </w:tc>
        <w:tc>
          <w:tcPr>
            <w:tcW w:type="dxa" w:w="1440"/>
          </w:tcPr>
          <w:p>
            <w:r>
              <w:t>recommended</w:t>
            </w:r>
          </w:p>
        </w:tc>
        <w:tc>
          <w:tcPr>
            <w:tcW w:type="dxa" w:w="1440"/>
          </w:tcPr>
          <w:p>
            <w:r>
              <w:t>0.07802</w:t>
            </w:r>
          </w:p>
        </w:tc>
        <w:tc>
          <w:tcPr>
            <w:tcW w:type="dxa" w:w="1440"/>
          </w:tcPr>
          <w:p>
            <w:r>
              <w:t>0.09213</w:t>
            </w:r>
          </w:p>
        </w:tc>
        <w:tc>
          <w:tcPr>
            <w:tcW w:type="dxa" w:w="1440"/>
          </w:tcPr>
          <w:p>
            <w:r>
              <w:t>-15.3%</w:t>
            </w:r>
          </w:p>
        </w:tc>
        <w:tc>
          <w:tcPr>
            <w:tcW w:type="dxa" w:w="1440"/>
          </w:tcPr>
          <w:p>
            <w:r>
              <w:t>-16.5%</w:t>
            </w:r>
          </w:p>
        </w:tc>
      </w:tr>
      <w:tr>
        <w:tc>
          <w:tcPr>
            <w:tcW w:type="dxa" w:w="1440"/>
          </w:tcPr>
          <w:p>
            <w:r>
              <w:t>development</w:t>
            </w:r>
          </w:p>
        </w:tc>
        <w:tc>
          <w:tcPr>
            <w:tcW w:type="dxa" w:w="1440"/>
          </w:tcPr>
          <w:p>
            <w:r>
              <w:t>三目标</w:t>
            </w:r>
          </w:p>
        </w:tc>
        <w:tc>
          <w:tcPr>
            <w:tcW w:type="dxa" w:w="1440"/>
          </w:tcPr>
          <w:p>
            <w:r>
              <w:t>0.18733</w:t>
            </w:r>
          </w:p>
        </w:tc>
        <w:tc>
          <w:tcPr>
            <w:tcW w:type="dxa" w:w="1440"/>
          </w:tcPr>
          <w:p>
            <w:r>
              <w:t>0.24421</w:t>
            </w:r>
          </w:p>
        </w:tc>
        <w:tc>
          <w:tcPr>
            <w:tcW w:type="dxa" w:w="1440"/>
          </w:tcPr>
          <w:p>
            <w:r>
              <w:t>-23.3%</w:t>
            </w:r>
          </w:p>
        </w:tc>
        <w:tc>
          <w:tcPr>
            <w:tcW w:type="dxa" w:w="1440"/>
          </w:tcPr>
          <w:p>
            <w:r>
              <w:t>-10.7%</w:t>
            </w:r>
          </w:p>
        </w:tc>
      </w:tr>
    </w:tbl>
    <w:p>
      <w:pPr>
        <w:ind w:firstLine="420"/>
        <w:jc w:val="both"/>
      </w:pPr>
      <w:r>
        <w:t>由表 4-3 可知，本文方法的最大航段风险较静态场规划降低 15.3%～29.8%，平均航段风险降低 10.7%～16.5%。值得注意的是，在 holdout 窗口的 fastest 目标下，本文方法与静态场规划的航程完全相同（397.4 km），但最大风险低 29.8%、平均风险低 15.7%、航行时间还少 0.21 h。这说明优势并非来自绕远路避险，而是来自在同一条走廊上选出更安全的通行时机——这正是时变预报与时空耦合风险建模（4.3 节）的价值所在。</w:t>
      </w:r>
    </w:p>
    <w:p>
      <w:pPr>
        <w:pStyle w:val="Heading2"/>
      </w:pPr>
      <w:r>
        <w:t>4.7.3 可扩展性分析（合成规模曲线）</w:t>
      </w:r>
    </w:p>
    <w:p>
      <w:pPr>
        <w:ind w:firstLine="420"/>
        <w:jc w:val="both"/>
      </w:pPr>
      <w:r>
        <w:t>为验证算法随问题规模的可扩展性，在四档合成算例上进行对比，运行时间随网格规模的变化如图 4-2 所示。</w:t>
      </w:r>
    </w:p>
    <w:p>
      <w:pPr>
        <w:jc w:val="center"/>
      </w:pPr>
      <w:r>
        <w:drawing>
          <wp:inline xmlns:a="http://schemas.openxmlformats.org/drawingml/2006/main" xmlns:pic="http://schemas.openxmlformats.org/drawingml/2006/picture">
            <wp:extent cx="5040000" cy="3438573"/>
            <wp:docPr id="2" name="Picture 2"/>
            <wp:cNvGraphicFramePr>
              <a:graphicFrameLocks noChangeAspect="1"/>
            </wp:cNvGraphicFramePr>
            <a:graphic>
              <a:graphicData uri="http://schemas.openxmlformats.org/drawingml/2006/picture">
                <pic:pic>
                  <pic:nvPicPr>
                    <pic:cNvPr id="0" name="fig-runtime-scale-log.png"/>
                    <pic:cNvPicPr/>
                  </pic:nvPicPr>
                  <pic:blipFill>
                    <a:blip r:embed="rId10"/>
                    <a:stretch>
                      <a:fillRect/>
                    </a:stretch>
                  </pic:blipFill>
                  <pic:spPr>
                    <a:xfrm>
                      <a:off x="0" y="0"/>
                      <a:ext cx="5040000" cy="3438573"/>
                    </a:xfrm>
                    <a:prstGeom prst="rect"/>
                  </pic:spPr>
                </pic:pic>
              </a:graphicData>
            </a:graphic>
          </wp:inline>
        </w:drawing>
      </w:r>
    </w:p>
    <w:p>
      <w:pPr>
        <w:jc w:val="center"/>
      </w:pPr>
      <w:r>
        <w:t>图 4-2 运行时间随网格规模变化（双对数）</w:t>
      </w:r>
    </w:p>
    <w:p>
      <w:pPr>
        <w:ind w:firstLine="420"/>
        <w:jc w:val="both"/>
      </w:pPr>
      <w:r>
        <w:t>由图 4-2 可知，本文 A*（实线）与无信息 Dijkstra（虚线）的运行时间均随网格格点数对数线性增长，但本文 A* 始终位于 Dijkstra 下方。在 fastest 目标下，加速比从 5.67×（5×7×7）单调增大至 17.58×（17×29×37），表明问题规模越大，启发式加速的绝对收益越显著。该结果说明本文方法在更大规模的真实北极航道网格上仍能保持效率优势。</w:t>
      </w:r>
    </w:p>
    <w:p>
      <w:pPr>
        <w:pStyle w:val="Heading2"/>
      </w:pPr>
      <w:r>
        <w:t>4.7.4 效率-质量二维权衡</w:t>
      </w:r>
    </w:p>
    <w:p>
      <w:pPr>
        <w:ind w:firstLine="420"/>
        <w:jc w:val="both"/>
      </w:pPr>
      <w:r>
        <w:t>为进一步验证“效率提升不以牺牲解质量为代价”，绘制运行时间与总代价、最大风险的二维散点图，分别如图 4-3 与图 4-4 所示。</w:t>
      </w:r>
    </w:p>
    <w:p>
      <w:pPr>
        <w:jc w:val="center"/>
      </w:pPr>
      <w:r>
        <w:drawing>
          <wp:inline xmlns:a="http://schemas.openxmlformats.org/drawingml/2006/main" xmlns:pic="http://schemas.openxmlformats.org/drawingml/2006/picture">
            <wp:extent cx="5040000" cy="3476031"/>
            <wp:docPr id="3" name="Picture 3"/>
            <wp:cNvGraphicFramePr>
              <a:graphicFrameLocks noChangeAspect="1"/>
            </wp:cNvGraphicFramePr>
            <a:graphic>
              <a:graphicData uri="http://schemas.openxmlformats.org/drawingml/2006/picture">
                <pic:pic>
                  <pic:nvPicPr>
                    <pic:cNvPr id="0" name="fig-runtime-cost.png"/>
                    <pic:cNvPicPr/>
                  </pic:nvPicPr>
                  <pic:blipFill>
                    <a:blip r:embed="rId11"/>
                    <a:stretch>
                      <a:fillRect/>
                    </a:stretch>
                  </pic:blipFill>
                  <pic:spPr>
                    <a:xfrm>
                      <a:off x="0" y="0"/>
                      <a:ext cx="5040000" cy="3476031"/>
                    </a:xfrm>
                    <a:prstGeom prst="rect"/>
                  </pic:spPr>
                </pic:pic>
              </a:graphicData>
            </a:graphic>
          </wp:inline>
        </w:drawing>
      </w:r>
    </w:p>
    <w:p>
      <w:pPr>
        <w:jc w:val="center"/>
      </w:pPr>
      <w:r>
        <w:t>图 4-3 运行时间 vs 总代价（真实 24h）</w:t>
      </w:r>
    </w:p>
    <w:p>
      <w:pPr>
        <w:jc w:val="center"/>
      </w:pPr>
      <w:r>
        <w:drawing>
          <wp:inline xmlns:a="http://schemas.openxmlformats.org/drawingml/2006/main" xmlns:pic="http://schemas.openxmlformats.org/drawingml/2006/picture">
            <wp:extent cx="5040000" cy="3422759"/>
            <wp:docPr id="4" name="Picture 4"/>
            <wp:cNvGraphicFramePr>
              <a:graphicFrameLocks noChangeAspect="1"/>
            </wp:cNvGraphicFramePr>
            <a:graphic>
              <a:graphicData uri="http://schemas.openxmlformats.org/drawingml/2006/picture">
                <pic:pic>
                  <pic:nvPicPr>
                    <pic:cNvPr id="0" name="fig-runtime-risk.png"/>
                    <pic:cNvPicPr/>
                  </pic:nvPicPr>
                  <pic:blipFill>
                    <a:blip r:embed="rId12"/>
                    <a:stretch>
                      <a:fillRect/>
                    </a:stretch>
                  </pic:blipFill>
                  <pic:spPr>
                    <a:xfrm>
                      <a:off x="0" y="0"/>
                      <a:ext cx="5040000" cy="3422759"/>
                    </a:xfrm>
                    <a:prstGeom prst="rect"/>
                  </pic:spPr>
                </pic:pic>
              </a:graphicData>
            </a:graphic>
          </wp:inline>
        </w:drawing>
      </w:r>
    </w:p>
    <w:p>
      <w:pPr>
        <w:jc w:val="center"/>
      </w:pPr>
      <w:r>
        <w:t>图 4-4 运行时间 vs 最大风险（真实 24h）</w:t>
      </w:r>
    </w:p>
    <w:p>
      <w:pPr>
        <w:ind w:firstLine="420"/>
        <w:jc w:val="both"/>
      </w:pPr>
      <w:r>
        <w:t>由图 4-3 可知，本文 A*（蓝色）与 Dijkstra（橙色）在总代价轴上几乎重合，但在运行时间轴上横向拉开约一个数量级，证明启发式加速未牺牲解代价。由图 4-4 可知，本文 A* 在两窗口 6 单元中最大风险均低于 Dijkstra （Dijkstra 与本文 A* 共享同一目标函数，故风险相同；图中差异主要反映 Risk-blind 与 Static-field 的风险上移）。需说明的是，development 窗口上 Risk-blind 与 recommended 路线完全相同（n=1 有效样本，详见 4.9.1 节），该结果仅用于现象说明，不构成统计意义上的性能结论。</w:t>
      </w:r>
    </w:p>
    <w:p>
      <w:pPr>
        <w:pStyle w:val="Heading1"/>
      </w:pPr>
      <w:r>
        <w:t>4.8 风险分布与逐段风险时序分析</w:t>
      </w:r>
    </w:p>
    <w:p>
      <w:pPr>
        <w:pStyle w:val="Heading2"/>
      </w:pPr>
      <w:r>
        <w:t>4.8.1 真实 24h 逐段风险时间序列</w:t>
      </w:r>
    </w:p>
    <w:p>
      <w:pPr>
        <w:ind w:firstLine="420"/>
        <w:jc w:val="both"/>
      </w:pPr>
      <w:r>
        <w:t>为直观展示本文方法对风险峰值的抑制效果，绘制真实 24 小时航段的逐段风险时间序列，如图 4-5 所示。</w:t>
      </w:r>
    </w:p>
    <w:p>
      <w:pPr>
        <w:jc w:val="center"/>
      </w:pPr>
      <w:r>
        <w:drawing>
          <wp:inline xmlns:a="http://schemas.openxmlformats.org/drawingml/2006/main" xmlns:pic="http://schemas.openxmlformats.org/drawingml/2006/picture">
            <wp:extent cx="5040000" cy="694269"/>
            <wp:docPr id="5" name="Picture 5"/>
            <wp:cNvGraphicFramePr>
              <a:graphicFrameLocks noChangeAspect="1"/>
            </wp:cNvGraphicFramePr>
            <a:graphic>
              <a:graphicData uri="http://schemas.openxmlformats.org/drawingml/2006/picture">
                <pic:pic>
                  <pic:nvPicPr>
                    <pic:cNvPr id="0" name="fig-risk-timeseries.png"/>
                    <pic:cNvPicPr/>
                  </pic:nvPicPr>
                  <pic:blipFill>
                    <a:blip r:embed="rId13"/>
                    <a:stretch>
                      <a:fillRect/>
                    </a:stretch>
                  </pic:blipFill>
                  <pic:spPr>
                    <a:xfrm>
                      <a:off x="0" y="0"/>
                      <a:ext cx="5040000" cy="694269"/>
                    </a:xfrm>
                    <a:prstGeom prst="rect"/>
                  </pic:spPr>
                </pic:pic>
              </a:graphicData>
            </a:graphic>
          </wp:inline>
        </w:drawing>
      </w:r>
    </w:p>
    <w:p>
      <w:pPr>
        <w:jc w:val="center"/>
      </w:pPr>
      <w:r>
        <w:t>图 4-5 真实 24h 航段逐段风险时间序列（recommended 目标）</w:t>
      </w:r>
    </w:p>
    <w:p>
      <w:pPr>
        <w:ind w:firstLine="420"/>
        <w:jc w:val="both"/>
      </w:pPr>
      <w:r>
        <w:t>由图 4-5 可知，在 holdout 窗口（左子图），本文 A*（蓝色）的逐段风险始终位于静态场（绿色）与风险无关（红色）曲线下方，且峰值被显著压制。这表明本文方法不仅在均值上更优，且在极端航段上也能抑制风险峰值。在 development 窗口（右子图），四条曲线几乎重合，说明该窗口的时变预报带来的可压低空间较小——这是真实数据特征，非算法缺陷。该结果仅用于现象说明（n=1），不构成统计意义上的性能结论。</w:t>
      </w:r>
    </w:p>
    <w:p>
      <w:pPr>
        <w:pStyle w:val="Heading2"/>
      </w:pPr>
      <w:r>
        <w:t>4.8.2 风险分布箱线分析</w:t>
      </w:r>
    </w:p>
    <w:p>
      <w:pPr>
        <w:ind w:firstLine="420"/>
        <w:jc w:val="both"/>
      </w:pPr>
      <w:r>
        <w:t>为进一步量化风险分布特征，绘制真实 24 小时航段的风险分布箱线图，如图 4-6 所示。</w:t>
      </w:r>
    </w:p>
    <w:p>
      <w:pPr>
        <w:jc w:val="center"/>
      </w:pPr>
      <w:r>
        <w:drawing>
          <wp:inline xmlns:a="http://schemas.openxmlformats.org/drawingml/2006/main" xmlns:pic="http://schemas.openxmlformats.org/drawingml/2006/picture">
            <wp:extent cx="5040000" cy="402046"/>
            <wp:docPr id="6" name="Picture 6"/>
            <wp:cNvGraphicFramePr>
              <a:graphicFrameLocks noChangeAspect="1"/>
            </wp:cNvGraphicFramePr>
            <a:graphic>
              <a:graphicData uri="http://schemas.openxmlformats.org/drawingml/2006/picture">
                <pic:pic>
                  <pic:nvPicPr>
                    <pic:cNvPr id="0" name="fig-risk-distribution.png"/>
                    <pic:cNvPicPr/>
                  </pic:nvPicPr>
                  <pic:blipFill>
                    <a:blip r:embed="rId14"/>
                    <a:stretch>
                      <a:fillRect/>
                    </a:stretch>
                  </pic:blipFill>
                  <pic:spPr>
                    <a:xfrm>
                      <a:off x="0" y="0"/>
                      <a:ext cx="5040000" cy="402046"/>
                    </a:xfrm>
                    <a:prstGeom prst="rect"/>
                  </pic:spPr>
                </pic:pic>
              </a:graphicData>
            </a:graphic>
          </wp:inline>
        </w:drawing>
      </w:r>
    </w:p>
    <w:p>
      <w:pPr>
        <w:jc w:val="center"/>
      </w:pPr>
      <w:r>
        <w:t>图 4-6 真实 24h 航段风险分布箱线图（recommended 目标）</w:t>
      </w:r>
    </w:p>
    <w:p>
      <w:pPr>
        <w:ind w:firstLine="420"/>
        <w:jc w:val="both"/>
      </w:pPr>
      <w:r>
        <w:t>由图 4-6 可知，在 holdout 窗口，本文 A* 与 Dijkstra 的箱子较窄且位于低风险区间，而静态场与风险无关的箱子更宽且上移，表明后两者不仅在均值上更差，且风险分布更分散、极端风险更高。这说明本文方法在多数航段下都更好，且极端风险得到抑制，而不仅是均值意义上的改善。</w:t>
      </w:r>
    </w:p>
    <w:p>
      <w:pPr>
        <w:pStyle w:val="Heading1"/>
      </w:pPr>
      <w:r>
        <w:t>4.9 消融、鲁棒性与反向论证</w:t>
      </w:r>
    </w:p>
    <w:p>
      <w:pPr>
        <w:pStyle w:val="Heading2"/>
      </w:pPr>
      <w:r>
        <w:t>4.9.1 模块消融研究</w:t>
      </w:r>
    </w:p>
    <w:p>
      <w:pPr>
        <w:ind w:firstLine="420"/>
        <w:jc w:val="both"/>
      </w:pPr>
      <w:r>
        <w:t>为回答“本文性能提升到底是哪一部分带来的”，进行模块消融研究，结果如表 4-4 所示。</w:t>
      </w:r>
    </w:p>
    <w:p>
      <w:pPr>
        <w:jc w:val="center"/>
      </w:pPr>
      <w:r>
        <w:rPr>
          <w:b/>
        </w:rPr>
        <w:t>表 4-4 模块消融研究（真实 24h，recommended 目标）</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Variant</w:t>
            </w:r>
          </w:p>
        </w:tc>
        <w:tc>
          <w:tcPr>
            <w:tcW w:type="dxa" w:w="1234"/>
          </w:tcPr>
          <w:p>
            <w:r>
              <w:rPr>
                <w:b/>
              </w:rPr>
              <w:t>描述</w:t>
            </w:r>
          </w:p>
        </w:tc>
        <w:tc>
          <w:tcPr>
            <w:tcW w:type="dxa" w:w="1234"/>
          </w:tcPr>
          <w:p>
            <w:r>
              <w:rPr>
                <w:b/>
              </w:rPr>
              <w:t>Runtime</w:t>
            </w:r>
          </w:p>
        </w:tc>
        <w:tc>
          <w:tcPr>
            <w:tcW w:type="dxa" w:w="1234"/>
          </w:tcPr>
          <w:p>
            <w:r>
              <w:rPr>
                <w:b/>
              </w:rPr>
              <w:t>Expanded</w:t>
            </w:r>
          </w:p>
        </w:tc>
        <w:tc>
          <w:tcPr>
            <w:tcW w:type="dxa" w:w="1234"/>
          </w:tcPr>
          <w:p>
            <w:r>
              <w:rPr>
                <w:b/>
              </w:rPr>
              <w:t>Cost</w:t>
            </w:r>
          </w:p>
        </w:tc>
        <w:tc>
          <w:tcPr>
            <w:tcW w:type="dxa" w:w="1234"/>
          </w:tcPr>
          <w:p>
            <w:r>
              <w:rPr>
                <w:b/>
              </w:rPr>
              <w:t>Mean Risk</w:t>
            </w:r>
          </w:p>
        </w:tc>
        <w:tc>
          <w:tcPr>
            <w:tcW w:type="dxa" w:w="1234"/>
          </w:tcPr>
          <w:p>
            <w:r>
              <w:rPr>
                <w:b/>
              </w:rPr>
              <w:t>Max Risk</w:t>
            </w:r>
          </w:p>
        </w:tc>
      </w:tr>
      <w:tr>
        <w:tc>
          <w:tcPr>
            <w:tcW w:type="dxa" w:w="1234"/>
          </w:tcPr>
          <w:p>
            <w:r>
              <w:t>Full</w:t>
            </w:r>
          </w:p>
        </w:tc>
        <w:tc>
          <w:tcPr>
            <w:tcW w:type="dxa" w:w="1234"/>
          </w:tcPr>
          <w:p>
            <w:r>
              <w:t>完整模型</w:t>
            </w:r>
          </w:p>
        </w:tc>
        <w:tc>
          <w:tcPr>
            <w:tcW w:type="dxa" w:w="1234"/>
          </w:tcPr>
          <w:p>
            <w:r>
              <w:t>2147.5 ms</w:t>
            </w:r>
          </w:p>
        </w:tc>
        <w:tc>
          <w:tcPr>
            <w:tcW w:type="dxa" w:w="1234"/>
          </w:tcPr>
          <w:p>
            <w:r>
              <w:t>653</w:t>
            </w:r>
          </w:p>
        </w:tc>
        <w:tc>
          <w:tcPr>
            <w:tcW w:type="dxa" w:w="1234"/>
          </w:tcPr>
          <w:p>
            <w:r>
              <w:t>基准</w:t>
            </w:r>
          </w:p>
        </w:tc>
        <w:tc>
          <w:tcPr>
            <w:tcW w:type="dxa" w:w="1234"/>
          </w:tcPr>
          <w:p>
            <w:r>
              <w:t>0.07552</w:t>
            </w:r>
          </w:p>
        </w:tc>
        <w:tc>
          <w:tcPr>
            <w:tcW w:type="dxa" w:w="1234"/>
          </w:tcPr>
          <w:p>
            <w:r>
              <w:t>0.09007</w:t>
            </w:r>
          </w:p>
        </w:tc>
      </w:tr>
      <w:tr>
        <w:tc>
          <w:tcPr>
            <w:tcW w:type="dxa" w:w="1234"/>
          </w:tcPr>
          <w:p>
            <w:r>
              <w:t>No risk</w:t>
            </w:r>
          </w:p>
        </w:tc>
        <w:tc>
          <w:tcPr>
            <w:tcW w:type="dxa" w:w="1234"/>
          </w:tcPr>
          <w:p>
            <w:r>
              <w:t>risk+uncertainty置零</w:t>
            </w:r>
          </w:p>
        </w:tc>
        <w:tc>
          <w:tcPr>
            <w:tcW w:type="dxa" w:w="1234"/>
          </w:tcPr>
          <w:p>
            <w:r>
              <w:t>≈Full</w:t>
            </w:r>
          </w:p>
        </w:tc>
        <w:tc>
          <w:tcPr>
            <w:tcW w:type="dxa" w:w="1234"/>
          </w:tcPr>
          <w:p>
            <w:r>
              <w:t>≈Full</w:t>
            </w:r>
          </w:p>
        </w:tc>
        <w:tc>
          <w:tcPr>
            <w:tcW w:type="dxa" w:w="1234"/>
          </w:tcPr>
          <w:p>
            <w:r>
              <w:t>dev: 0%差异; hold: +10.4%/+15.4%</w:t>
            </w:r>
          </w:p>
        </w:tc>
        <w:tc>
          <w:tcPr>
            <w:tcW w:type="dxa" w:w="1234"/>
          </w:tcPr>
          <w:p>
            <w:r>
              <w:t>高</w:t>
            </w:r>
          </w:p>
        </w:tc>
        <w:tc>
          <w:tcPr>
            <w:tcW w:type="dxa" w:w="1234"/>
          </w:tcPr>
          <w:p>
            <w:r>
              <w:t>高</w:t>
            </w:r>
          </w:p>
        </w:tc>
      </w:tr>
      <w:tr>
        <w:tc>
          <w:tcPr>
            <w:tcW w:type="dxa" w:w="1234"/>
          </w:tcPr>
          <w:p>
            <w:r>
              <w:t>No heuristic</w:t>
            </w:r>
          </w:p>
        </w:tc>
        <w:tc>
          <w:tcPr>
            <w:tcW w:type="dxa" w:w="1234"/>
          </w:tcPr>
          <w:p>
            <w:r>
              <w:t>Dijkstra</w:t>
            </w:r>
          </w:p>
        </w:tc>
        <w:tc>
          <w:tcPr>
            <w:tcW w:type="dxa" w:w="1234"/>
          </w:tcPr>
          <w:p>
            <w:r>
              <w:t>16839.5 ms</w:t>
            </w:r>
          </w:p>
        </w:tc>
        <w:tc>
          <w:tcPr>
            <w:tcW w:type="dxa" w:w="1234"/>
          </w:tcPr>
          <w:p>
            <w:r>
              <w:t>4864</w:t>
            </w:r>
          </w:p>
        </w:tc>
        <w:tc>
          <w:tcPr>
            <w:tcW w:type="dxa" w:w="1234"/>
          </w:tcPr>
          <w:p>
            <w:r>
              <w:t>严格一致</w:t>
            </w:r>
          </w:p>
        </w:tc>
        <w:tc>
          <w:tcPr>
            <w:tcW w:type="dxa" w:w="1234"/>
          </w:tcPr>
          <w:p>
            <w:r>
              <w:t>0.07552</w:t>
            </w:r>
          </w:p>
        </w:tc>
        <w:tc>
          <w:tcPr>
            <w:tcW w:type="dxa" w:w="1234"/>
          </w:tcPr>
          <w:p>
            <w:r>
              <w:t>0.09007</w:t>
            </w:r>
          </w:p>
        </w:tc>
      </w:tr>
      <w:tr>
        <w:tc>
          <w:tcPr>
            <w:tcW w:type="dxa" w:w="1234"/>
          </w:tcPr>
          <w:p>
            <w:r>
              <w:t>No temporal</w:t>
            </w:r>
          </w:p>
        </w:tc>
        <w:tc>
          <w:tcPr>
            <w:tcW w:type="dxa" w:w="1234"/>
          </w:tcPr>
          <w:p>
            <w:r>
              <w:t>静态场</w:t>
            </w:r>
          </w:p>
        </w:tc>
        <w:tc>
          <w:tcPr>
            <w:tcW w:type="dxa" w:w="1234"/>
          </w:tcPr>
          <w:p>
            <w:r>
              <w:t>≈Full</w:t>
            </w:r>
          </w:p>
        </w:tc>
        <w:tc>
          <w:tcPr>
            <w:tcW w:type="dxa" w:w="1234"/>
          </w:tcPr>
          <w:p>
            <w:r>
              <w:t>≈Full</w:t>
            </w:r>
          </w:p>
        </w:tc>
        <w:tc>
          <w:tcPr>
            <w:tcW w:type="dxa" w:w="1234"/>
          </w:tcPr>
          <w:p>
            <w:r>
              <w:t>航程同397.4km; 风险+15.3%/+29.8%</w:t>
            </w:r>
          </w:p>
        </w:tc>
        <w:tc>
          <w:tcPr>
            <w:tcW w:type="dxa" w:w="1234"/>
          </w:tcPr>
          <w:p>
            <w:r>
              <w:t>高</w:t>
            </w:r>
          </w:p>
        </w:tc>
        <w:tc>
          <w:tcPr>
            <w:tcW w:type="dxa" w:w="1234"/>
          </w:tcPr>
          <w:p>
            <w:r>
              <w:t>高</w:t>
            </w:r>
          </w:p>
        </w:tc>
      </w:tr>
    </w:tbl>
    <w:p>
      <w:pPr>
        <w:ind w:firstLine="420"/>
        <w:jc w:val="both"/>
      </w:pPr>
      <w:r>
        <w:t>由表 4-4 可知：(1) No risk（风险无关）在 development 窗口与 Full 完全相同（路线重合），说明 risk 权重在该窗口不起决定性作用；在 holdout 窗口风险高 10.4%/15.4% 而时间仅快 0.5%，证明“使用风险场”带来 15.4% 峰值风险降低而仅多 0.5% 时间。(2) No heuristic（Dijkstra）扩展数增加 6～7 倍、耗时增加 7～8 倍，但代价严格相同，证明启发式加速不牺牲最优性。(3) No temporal（静态场）在 holdout 上航程与 Full 完全相同但风险高 15.3%/29.8%，证明“使用时变预报”的价值在于在同一条走廊上选出更安全的通行时机。需说明的是，development 窗口上 Risk-blind 与 recommended 路线完全相同，故有效样本 n=1（holdout），该结果仅用于现象说明，不构成统计意义上的性能结论。</w:t>
      </w:r>
    </w:p>
    <w:p>
      <w:pPr>
        <w:ind w:firstLine="420"/>
        <w:jc w:val="both"/>
      </w:pPr>
      <w:r>
        <w:t>此外，关于“no_replanning / no_correction”独立消融档：正式规划路径默认就是单次规划，重规划基线是单独验证产物，与默认路径正交，在正式控制下不存在“再剥一层重规划”的独立语义，故本章消融研究严格只列上述 4 档。</w:t>
      </w:r>
    </w:p>
    <w:p>
      <w:pPr>
        <w:pStyle w:val="Heading2"/>
      </w:pPr>
      <w:r>
        <w:t>4.9.2 改进候选门禁反向论证</w:t>
      </w:r>
    </w:p>
    <w:p>
      <w:pPr>
        <w:ind w:firstLine="420"/>
        <w:jc w:val="both"/>
      </w:pPr>
      <w:r>
        <w:t>本章对 6 个改进候选（FIFO 支配剪枝、轨迹复用、SMO-A* 共享记忆化、ARA* anytime 备选、bounded LRU 风险采样缓存、non-FIFO exact-arrival 与完整 Pareto frontier）进行了完整评估。结果表明，没有一个候选通过最终门禁、没有一个被启用，如图 4-7 所示。</w:t>
      </w:r>
    </w:p>
    <w:p>
      <w:pPr>
        <w:jc w:val="center"/>
      </w:pPr>
      <w:r>
        <w:drawing>
          <wp:inline xmlns:a="http://schemas.openxmlformats.org/drawingml/2006/main" xmlns:pic="http://schemas.openxmlformats.org/drawingml/2006/picture">
            <wp:extent cx="5040000" cy="3822000"/>
            <wp:docPr id="7" name="Picture 7"/>
            <wp:cNvGraphicFramePr>
              <a:graphicFrameLocks noChangeAspect="1"/>
            </wp:cNvGraphicFramePr>
            <a:graphic>
              <a:graphicData uri="http://schemas.openxmlformats.org/drawingml/2006/picture">
                <pic:pic>
                  <pic:nvPicPr>
                    <pic:cNvPr id="0" name="fig-funnel.png"/>
                    <pic:cNvPicPr/>
                  </pic:nvPicPr>
                  <pic:blipFill>
                    <a:blip r:embed="rId15"/>
                    <a:stretch>
                      <a:fillRect/>
                    </a:stretch>
                  </pic:blipFill>
                  <pic:spPr>
                    <a:xfrm>
                      <a:off x="0" y="0"/>
                      <a:ext cx="5040000" cy="3822000"/>
                    </a:xfrm>
                    <a:prstGeom prst="rect"/>
                  </pic:spPr>
                </pic:pic>
              </a:graphicData>
            </a:graphic>
          </wp:inline>
        </w:drawing>
      </w:r>
    </w:p>
    <w:p>
      <w:pPr>
        <w:jc w:val="center"/>
      </w:pPr>
      <w:r>
        <w:t>图 4-7 改进候选门禁漏斗：当前实现未被超越</w:t>
      </w:r>
    </w:p>
    <w:p>
      <w:pPr>
        <w:ind w:firstLine="420"/>
        <w:jc w:val="both"/>
      </w:pPr>
      <w:r>
        <w:t>由图 4-7 可知，6 个候选进入评估，4 个在真实输入或正式门禁上 FAIL，2 个无剪枝增益或撤回，最终 0 个被启用。这一事实不能推出“当前实现性能最优”——本章明确声明相对传统算法的生产级稳定性能优势尚未证明，但可以给出一条更站得住的结论：当前实现是“正确性优先”框架下未被超越的实现，且每个候选的失败方式都反过来印证了当前设计选择是对的。例如，FIFO 支配剪枝失败是因为真实数据违反 FIFO 性质（4.9.3 节），证明当前不做支配剪枝是正确的保守；non-FIFO Pareto 在真实 24h 上语义/frontier 等价但无新增剪枝，证明当前搜索结果与完整 Pareto frontier 语义一致，没有丢任何解。</w:t>
      </w:r>
    </w:p>
    <w:p>
      <w:pPr>
        <w:ind w:firstLine="420"/>
        <w:jc w:val="both"/>
      </w:pPr>
      <w:r>
        <w:t>需特别说明：该漏斗图与反向论证仅用于说明“正确性保守与候选策略筛选”，不得作为算法性能最优的证据。当前实现是未被超越的正确性保守实现，而非性能最优实现。</w:t>
      </w:r>
    </w:p>
    <w:p>
      <w:pPr>
        <w:pStyle w:val="Heading2"/>
      </w:pPr>
      <w:r>
        <w:t>4.9.3 真实数据违反 FIFO 的科学发现</w:t>
      </w:r>
    </w:p>
    <w:p>
      <w:pPr>
        <w:ind w:firstLine="420"/>
        <w:jc w:val="both"/>
      </w:pPr>
      <w:r>
        <w:t>教科书时依赖最短路算法（time-dependent A* / Dijkstra）的时间支配剪枝成立的前提是 FIFO 性质：出发越晚，到达不更早。本章用分区证据扫描真实北极冬航 145 帧输入，发现该前提在真实海洋数据上不成立，如表 4-5 所示。</w:t>
      </w:r>
    </w:p>
    <w:p>
      <w:pPr>
        <w:jc w:val="center"/>
      </w:pPr>
      <w:r>
        <w:rPr>
          <w:b/>
        </w:rPr>
        <w:t>表 4-5 真实海洋数据违反 FIFO 的实证发现</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输入</w:t>
            </w:r>
          </w:p>
        </w:tc>
        <w:tc>
          <w:tcPr>
            <w:tcW w:type="dxa" w:w="1440"/>
          </w:tcPr>
          <w:p>
            <w:r>
              <w:rPr>
                <w:b/>
              </w:rPr>
              <w:t>有向边×目标</w:t>
            </w:r>
          </w:p>
        </w:tc>
        <w:tc>
          <w:tcPr>
            <w:tcW w:type="dxa" w:w="1440"/>
          </w:tcPr>
          <w:p>
            <w:r>
              <w:rPr>
                <w:b/>
              </w:rPr>
              <w:t>interval评估</w:t>
            </w:r>
          </w:p>
        </w:tc>
        <w:tc>
          <w:tcPr>
            <w:tcW w:type="dxa" w:w="1440"/>
          </w:tcPr>
          <w:p>
            <w:r>
              <w:rPr>
                <w:b/>
              </w:rPr>
              <w:t>FIFO违反</w:t>
            </w:r>
          </w:p>
        </w:tc>
        <w:tc>
          <w:tcPr>
            <w:tcW w:type="dxa" w:w="1440"/>
          </w:tcPr>
          <w:p>
            <w:r>
              <w:rPr>
                <w:b/>
              </w:rPr>
              <w:t>certified probes</w:t>
            </w:r>
          </w:p>
        </w:tc>
        <w:tc>
          <w:tcPr>
            <w:tcW w:type="dxa" w:w="1440"/>
          </w:tcPr>
          <w:p>
            <w:r>
              <w:rPr>
                <w:b/>
              </w:rPr>
              <w:t>首个反例</w:t>
            </w:r>
          </w:p>
        </w:tc>
      </w:tr>
      <w:tr>
        <w:tc>
          <w:tcPr>
            <w:tcW w:type="dxa" w:w="1440"/>
          </w:tcPr>
          <w:p>
            <w:r>
              <w:t>holdout</w:t>
            </w:r>
          </w:p>
        </w:tc>
        <w:tc>
          <w:tcPr>
            <w:tcW w:type="dxa" w:w="1440"/>
          </w:tcPr>
          <w:p>
            <w:r>
              <w:t>1388×3</w:t>
            </w:r>
          </w:p>
        </w:tc>
        <w:tc>
          <w:tcPr>
            <w:tcW w:type="dxa" w:w="1440"/>
          </w:tcPr>
          <w:p>
            <w:r>
              <w:t>104100</w:t>
            </w:r>
          </w:p>
        </w:tc>
        <w:tc>
          <w:tcPr>
            <w:tcW w:type="dxa" w:w="1440"/>
          </w:tcPr>
          <w:p>
            <w:r>
              <w:t>43500(每目标14500)</w:t>
            </w:r>
          </w:p>
        </w:tc>
        <w:tc>
          <w:tcPr>
            <w:tcW w:type="dxa" w:w="1440"/>
          </w:tcPr>
          <w:p>
            <w:r>
              <w:t>101958</w:t>
            </w:r>
          </w:p>
        </w:tc>
        <w:tc>
          <w:tcPr>
            <w:tcW w:type="dxa" w:w="1440"/>
          </w:tcPr>
          <w:p>
            <w:r>
              <w:t>edge[(0,0),(0,1)], 2026-02-22, 左2.8943h, 右2.7839h</w:t>
            </w:r>
          </w:p>
        </w:tc>
      </w:tr>
      <w:tr>
        <w:tc>
          <w:tcPr>
            <w:tcW w:type="dxa" w:w="1440"/>
          </w:tcPr>
          <w:p>
            <w:r>
              <w:t>development</w:t>
            </w:r>
          </w:p>
        </w:tc>
        <w:tc>
          <w:tcPr>
            <w:tcW w:type="dxa" w:w="1440"/>
          </w:tcPr>
          <w:p>
            <w:r>
              <w:t>1540×3</w:t>
            </w:r>
          </w:p>
        </w:tc>
        <w:tc>
          <w:tcPr>
            <w:tcW w:type="dxa" w:w="1440"/>
          </w:tcPr>
          <w:p>
            <w:r>
              <w:t>115500</w:t>
            </w:r>
          </w:p>
        </w:tc>
        <w:tc>
          <w:tcPr>
            <w:tcW w:type="dxa" w:w="1440"/>
          </w:tcPr>
          <w:p>
            <w:r>
              <w:t>40776(每目标13592)</w:t>
            </w:r>
          </w:p>
        </w:tc>
        <w:tc>
          <w:tcPr>
            <w:tcW w:type="dxa" w:w="1440"/>
          </w:tcPr>
          <w:p>
            <w:r>
              <w:t>113685</w:t>
            </w:r>
          </w:p>
        </w:tc>
        <w:tc>
          <w:tcPr>
            <w:tcW w:type="dxa" w:w="1440"/>
          </w:tcPr>
          <w:p>
            <w:r>
              <w:t>edge[(0,0),(0,1)], 2026-03-22, 左2.9089h, 右2.9064h</w:t>
            </w:r>
          </w:p>
        </w:tc>
      </w:tr>
    </w:tbl>
    <w:p>
      <w:pPr>
        <w:ind w:firstLine="420"/>
        <w:jc w:val="both"/>
      </w:pPr>
      <w:r>
        <w:t>由表 4-5 可知，跨两独立窗口、每目标约 1.4 万个 interval 级 FIFO 违反。即“同一时刻出发的左 image 到达时间”比“晚 2 小时出发的右 image”更晚——出发晚反而到得早。这一发现使教科书时依赖最短路的支配剪枝在真实数据上不安全，也是本章采取“先证明、后启用”保守工程纪律的直接原因：任何想剪枝的候选都必须在真实数据上先证明其前提，而真实数据拒绝了所有前提。需说明的是，这是科学发现，不是已解决的问题；正式控制仍采用固定两轮 ETA 精化（详见 4.3.2 节）。</w:t>
      </w:r>
    </w:p>
    <w:p>
      <w:pPr>
        <w:pStyle w:val="Heading2"/>
      </w:pPr>
      <w:r>
        <w:t>4.9.4 诚实性边界与本章结论适用范围</w:t>
      </w:r>
    </w:p>
    <w:p>
      <w:pPr>
        <w:ind w:firstLine="420"/>
        <w:jc w:val="both"/>
      </w:pPr>
      <w:r>
        <w:t>为避免论文结论被误读，本章明确以下边界：(1) 真实样本仅 2 个独立窗口，development 窗口上三目标收敛到同一条路线，故质量结论的实际有效样本为 n=1（holdout）；(2) 效率优势源自 admissible 启发式的正确工程实现，而非新的搜索算法；(3) “最优性不变”限于同一离散时间展开图，连续海洋模型上的全局最优性未证明；(4) 静态场基线是构造基线，非某一公开算法的复现，优势应表述为“使用时变预报”这一设计选择的收益；(5) 扩展数减少不等于端到端吞吐提升，本章未测完整 12 路线四层规划；(6) 反向论证仅指“未被超越 + 正确性保守”，不是“性能最优”或“生产级稳定优势”的声明；(7) 本章未画风险场空间热力底图（数据未暴露投影矩阵）、路径地理空间叠加（网格为抽象索引无投影）、参数敏感性（无系统化扫参数据），相关缺失已在《第四章视觉证据计划》§4 声明。</w:t>
      </w:r>
    </w:p>
    <w:p>
      <w:pPr>
        <w:pStyle w:val="Heading1"/>
      </w:pPr>
      <w:r>
        <w:t>4.10 本章小结</w:t>
      </w:r>
    </w:p>
    <w:p>
      <w:pPr>
        <w:ind w:firstLine="420"/>
        <w:jc w:val="both"/>
      </w:pPr>
      <w:r>
        <w:t>本章针对北极航道动态气象导航的科学问题，建立了风险-速度-ETA 三方耦合不动点边代价模型与预测风险约束的时空航路优化模型，采用时间依赖 A* 算法在时间展开状态图上搜索多模式气象航路，并支持事件触发的动态重规划与弱通信边缘决策。实验结果表明：在真实北极冬航 145 帧风险预报序列上，相比静态场规划，本文方法的最大航段风险降低 15.3%～29.8%、平均航段风险降低 10.7%～16.5%，且在 fastest 目标下航程与基线完全相同（397.4 km）而风险显著更低，说明优势来自对通行时机的选择而非绕行；相比无信息 Dijkstra，节点扩展数减少 55.7%～86.6%、加速 2.16×～7.65×，且总代价严格相同，证明启发式加速未牺牲最优性；在合成规模曲线上，加速比随网格规模单调增大（5.67×→17.58×）。本章还发现真实北极海洋数据违反 FIFO 性质（两窗口 43 500 / 40 776 次 interval 级违反），使教科书时依赖最短路的支配剪枝在真实数据上不安全，据此采取“先证明、后启用”的保守工程纪律。这些结果为下一章（第五章）的多模式航路可视化与决策展示提供了可执行的多模式航路候选、事件触发重规划建议与关键风险摘要接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