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1B365D"/>
          <w:sz w:val="48"/>
        </w:rPr>
        <w:t>Census Comparison &amp; Underwriting Automation Agent</w:t>
      </w:r>
    </w:p>
    <w:p>
      <w:pPr>
        <w:spacing w:before="0" w:after="280"/>
      </w:pPr>
      <w:r>
        <w:rPr>
          <w:rFonts w:ascii="Calibri" w:hAnsi="Calibri"/>
          <w:color w:val="007A87"/>
          <w:sz w:val="26"/>
        </w:rPr>
        <w:t>Comprehensive System Architecture, Pipeline Specifications &amp; Technical Overview</w:t>
      </w:r>
    </w:p>
    <w:p>
      <w:pPr>
        <w:spacing w:before="0" w:after="320"/>
      </w:pPr>
      <w:r>
        <w:rPr>
          <w:i/>
          <w:color w:val="6C757D"/>
          <w:sz w:val="18"/>
        </w:rPr>
        <w:t>Platform: Python 3.14 / FastAPI | Model: Anthropic Claude (claude-opus-5-5) | Version: 2.1 Production-Ready</w:t>
      </w:r>
    </w:p>
    <w:p>
      <w:pPr>
        <w:spacing w:after="280"/>
        <w:pBdr>
          <w:bottom w:val="single" w:sz="12" w:space="1" w:color="1B365D"/>
        </w:pBdr>
      </w:pPr>
    </w:p>
    <w:p>
      <w:pPr>
        <w:pStyle w:val="Heading1"/>
      </w:pPr>
      <w:r>
        <w:rPr>
          <w:color w:val="1B365D"/>
        </w:rPr>
        <w:t>1. Executive Summary &amp; Core Objective</w:t>
      </w:r>
    </w:p>
    <w:p>
      <w:r>
        <w:t>The Census Comparison Agent is an automated underwriting intelligence platform designed for group medical insurance submissions. In traditional employee benefits workflows, broker submissions consist of messy, unstructured, and heterogeneous files—including scanned PDF billing statements, raw Excel rosters, broker emails, Group Health Questionnaires (GHQs), and rate proposals. Underwriters spend hours manually reconciling employee enrollment, finding missing dependents, aligning coverage tiers, and checking renewal rates.</w:t>
      </w:r>
    </w:p>
    <w:p>
      <w:r>
        <w:t>This system replaces manual intake with an end-to-end automated 8-stage pipeline that ingests source documents, extracts prospect information and employee demographics, reconciles invoice rosters against carrier censuses, applies carrier-specific underwriting business logic (Florida Blue RAPT vs. Cigna Marsh/SBU), and produces locked, audit-ready Excel workbooks alongside ready-to-send broker intake emails.</w:t>
      </w:r>
    </w:p>
    <w:tbl>
      <w:tblPr>
        <w:tblW w:type="auto" w:w="0"/>
        <w:jc w:val="center"/>
        <w:tblLook w:firstColumn="1" w:firstRow="1" w:lastColumn="0" w:lastRow="0" w:noHBand="0" w:noVBand="1" w:val="04A0"/>
      </w:tblPr>
      <w:tblGrid>
        <w:gridCol w:w="9936"/>
      </w:tblGrid>
      <w:tr>
        <w:tc>
          <w:tcPr>
            <w:tcW w:type="dxa" w:w="9936"/>
            <w:shd w:fill="EDF4F9"/>
            <w:tcMar>
              <w:top w:w="140" w:type="dxa"/>
              <w:bottom w:w="140" w:type="dxa"/>
              <w:left w:w="200" w:type="dxa"/>
              <w:right w:w="200" w:type="dxa"/>
            </w:tcMar>
            <w:tcBorders>
              <w:left w:val="single" w:sz="36" w:space="0" w:color="1B365D"/>
              <w:top w:val="none"/>
              <w:right w:val="none"/>
              <w:bottom w:val="none"/>
            </w:tcBorders>
          </w:tcPr>
          <w:p>
            <w:pPr>
              <w:spacing w:before="0" w:after="40"/>
            </w:pPr>
            <w:r>
              <w:rPr>
                <w:b/>
                <w:color w:val="1B365D"/>
                <w:sz w:val="20"/>
              </w:rPr>
              <w:t>★ GOVERNING UNDERWRITING AUTHORITY</w:t>
              <w:br/>
            </w:r>
            <w:r>
              <w:rPr>
                <w:color w:val="212529"/>
                <w:sz w:val="19"/>
              </w:rPr>
              <w:t>Strict Adherence to Official Instructions: All LLM reasoning, document classification, and field extractions operate strictly under the verbatim mandate of 'Master Unified Medical Submission Agent Instruction.docx'. No ad-hoc rules or hallucinated field values are permitted.</w:t>
            </w:r>
          </w:p>
        </w:tc>
      </w:tr>
    </w:tbl>
    <w:p>
      <w:pPr>
        <w:spacing w:after="80"/>
      </w:pPr>
    </w:p>
    <w:p>
      <w:pPr>
        <w:pStyle w:val="Heading1"/>
      </w:pPr>
      <w:r>
        <w:rPr>
          <w:color w:val="1B365D"/>
        </w:rPr>
        <w:t>2. Core End-to-End Pipeline Architecture (8 Stages)</w:t>
      </w:r>
    </w:p>
    <w:p>
      <w:r>
        <w:t>When files are uploaded via the Web UI (or command-line), they flow sequentially through eight specialized modules:</w:t>
      </w:r>
    </w:p>
    <w:p>
      <w:pPr>
        <w:spacing w:before="60" w:after="40"/>
      </w:pPr>
      <w:r>
        <w:rPr>
          <w:b/>
          <w:color w:val="1B365D"/>
        </w:rPr>
        <w:t xml:space="preserve">• Stage 1: Multi-Format Ingestion &amp; OCR </w:t>
      </w:r>
      <w:r>
        <w:rPr>
          <w:i/>
          <w:color w:val="007A87"/>
        </w:rPr>
        <w:t>[readers.py]</w:t>
        <w:br/>
      </w:r>
      <w:r>
        <w:rPr>
          <w:sz w:val="20"/>
        </w:rPr>
        <w:t>Ingests PDFs (both digital and scanned via PaddleOCR &amp; Poppler), Excel workbooks (using resilient Calamine/openpyxl readers), CSV rosters, and Word documents (.docx). Extracts structured text and tabular matrix structures without XML corruption.</w:t>
      </w:r>
    </w:p>
    <w:p>
      <w:pPr>
        <w:spacing w:before="60" w:after="40"/>
      </w:pPr>
      <w:r>
        <w:rPr>
          <w:b/>
          <w:color w:val="1B365D"/>
        </w:rPr>
        <w:t xml:space="preserve">• Stage 2: Document Role Classification </w:t>
      </w:r>
      <w:r>
        <w:rPr>
          <w:i/>
          <w:color w:val="007A87"/>
        </w:rPr>
        <w:t>[classifier.py]</w:t>
        <w:br/>
      </w:r>
      <w:r>
        <w:rPr>
          <w:sz w:val="20"/>
        </w:rPr>
        <w:t>Classifies each input document into its distinct underwriting role: 'census', 'invoice', 'renewal', 'ghq', 'rfp', 'payroll', or 'deliverable' using header pattern recognition and LLM role assignment.</w:t>
      </w:r>
    </w:p>
    <w:p>
      <w:pPr>
        <w:spacing w:before="60" w:after="40"/>
      </w:pPr>
      <w:r>
        <w:rPr>
          <w:b/>
          <w:color w:val="1B365D"/>
        </w:rPr>
        <w:t xml:space="preserve">• Stage 3: Prospect Extraction &amp; Carrier Routing </w:t>
      </w:r>
      <w:r>
        <w:rPr>
          <w:i/>
          <w:color w:val="007A87"/>
        </w:rPr>
        <w:t>[prospect.py, router.py]</w:t>
        <w:br/>
      </w:r>
      <w:r>
        <w:rPr>
          <w:sz w:val="20"/>
        </w:rPr>
        <w:t>Extracts employer legal name, proposed effective date, SIC/NAICS code, address, broker, and sales representative. Evaluates state location to determine routing: Florida-domiciled employers route to Florida Blue (RAPT template), while Non-Florida employers route to Cigna (Marsh PEO Practice template + SBU deliverable).</w:t>
      </w:r>
    </w:p>
    <w:p>
      <w:pPr>
        <w:spacing w:before="60" w:after="40"/>
      </w:pPr>
      <w:r>
        <w:rPr>
          <w:b/>
          <w:color w:val="1B365D"/>
        </w:rPr>
        <w:t xml:space="preserve">• Stage 4: Census Consolidation &amp; Tier Validation </w:t>
      </w:r>
      <w:r>
        <w:rPr>
          <w:i/>
          <w:color w:val="007A87"/>
        </w:rPr>
        <w:t>[census_builder.py]</w:t>
        <w:br/>
      </w:r>
      <w:r>
        <w:rPr>
          <w:sz w:val="20"/>
        </w:rPr>
        <w:t>Consolidates employee and dependent records across all files. Normalizes names, dates of birth, ZIPs, relationships (EE, SP, CH), and standard coverage tiers (EE, ES, EC, FAM, NE, WP, RC, WO). Applies waiting-period rules discovered from plan documents.</w:t>
      </w:r>
    </w:p>
    <w:p>
      <w:pPr>
        <w:spacing w:before="60" w:after="40"/>
      </w:pPr>
      <w:r>
        <w:rPr>
          <w:b/>
          <w:color w:val="1B365D"/>
        </w:rPr>
        <w:t xml:space="preserve">• Stage 5: Invoice Parsing &amp; Period Selection </w:t>
      </w:r>
      <w:r>
        <w:rPr>
          <w:i/>
          <w:color w:val="007A87"/>
        </w:rPr>
        <w:t>[invoice_parser.py]</w:t>
        <w:br/>
      </w:r>
      <w:r>
        <w:rPr>
          <w:sz w:val="20"/>
        </w:rPr>
        <w:t>Detects billing period start/end dates, selects the latest/revised statement, extracts active subscriber employee rows, enrolled medical plans, monthly premiums, and current coverage statuses (Active, Terminated, Cobra).</w:t>
      </w:r>
    </w:p>
    <w:p>
      <w:pPr>
        <w:spacing w:before="60" w:after="40"/>
      </w:pPr>
      <w:r>
        <w:rPr>
          <w:b/>
          <w:color w:val="1B365D"/>
        </w:rPr>
        <w:t xml:space="preserve">• Stage 6: Renewal Matching &amp; PEO 90-Day Rule Audit </w:t>
      </w:r>
      <w:r>
        <w:rPr>
          <w:i/>
          <w:color w:val="007A87"/>
        </w:rPr>
        <w:t>[renewal_parser.py, router.py]</w:t>
        <w:br/>
      </w:r>
      <w:r>
        <w:rPr>
          <w:sz w:val="20"/>
        </w:rPr>
        <w:t>Parses upcoming medical renewal rate tables (EE/ES/EC/FAM). Evaluates whether a renewal document is mandatory based on current PEO provider status and the 90-day effective date window.</w:t>
      </w:r>
    </w:p>
    <w:p>
      <w:pPr>
        <w:spacing w:before="60" w:after="40"/>
      </w:pPr>
      <w:r>
        <w:rPr>
          <w:b/>
          <w:color w:val="1B365D"/>
        </w:rPr>
        <w:t xml:space="preserve">• Stage 7: Cross-Document Reconciliation &amp; Fuzzy Audit </w:t>
      </w:r>
      <w:r>
        <w:rPr>
          <w:i/>
          <w:color w:val="007A87"/>
        </w:rPr>
        <w:t>[comparator.py]</w:t>
        <w:br/>
      </w:r>
      <w:r>
        <w:rPr>
          <w:sz w:val="20"/>
        </w:rPr>
        <w:t>Executes fuzzy string matching between census employees and invoice subscribers (with DOB confirmation). Calculates match percentages, reconciles premiums against renewal rates, flags discrepancies, and cross-checks census enrollment against payroll registers to detect phantom lives.</w:t>
      </w:r>
    </w:p>
    <w:p>
      <w:pPr>
        <w:spacing w:before="60" w:after="40"/>
      </w:pPr>
      <w:r>
        <w:rPr>
          <w:b/>
          <w:color w:val="1B365D"/>
        </w:rPr>
        <w:t xml:space="preserve">• Stage 8: Deliverables &amp; Workbook Generation </w:t>
      </w:r>
      <w:r>
        <w:rPr>
          <w:i/>
          <w:color w:val="007A87"/>
        </w:rPr>
        <w:t>[workbook_writer.py, router.py]</w:t>
        <w:br/>
      </w:r>
      <w:r>
        <w:rPr>
          <w:sz w:val="20"/>
        </w:rPr>
        <w:t>Fills standardized protected Excel workbooks (preserving protected columns A–L and writing comparison data to columns M+). Generates a ready-to-send intake email detailing missing items, renewal requirements, and high-claim disclosures.</w:t>
      </w:r>
    </w:p>
    <w:p>
      <w:r>
        <w:br w:type="page"/>
      </w:r>
    </w:p>
    <w:p>
      <w:pPr>
        <w:pStyle w:val="Heading1"/>
      </w:pPr>
      <w:r>
        <w:rPr>
          <w:color w:val="1B365D"/>
        </w:rPr>
        <w:t>3. Technical Stack &amp; Subsystems Overview</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B365D"/>
            <w:tcMar>
              <w:top w:w="120" w:type="dxa"/>
              <w:bottom w:w="120" w:type="dxa"/>
              <w:left w:w="120" w:type="dxa"/>
              <w:right w:w="120" w:type="dxa"/>
            </w:tcMar>
          </w:tcPr>
          <w:p>
            <w:r>
              <w:rPr>
                <w:b/>
                <w:color w:val="FFFFFF"/>
                <w:sz w:val="19"/>
              </w:rPr>
              <w:t>Subsystem</w:t>
            </w:r>
          </w:p>
        </w:tc>
        <w:tc>
          <w:tcPr>
            <w:tcW w:type="dxa" w:w="2592"/>
            <w:shd w:fill="1B365D"/>
            <w:tcMar>
              <w:top w:w="120" w:type="dxa"/>
              <w:bottom w:w="120" w:type="dxa"/>
              <w:left w:w="120" w:type="dxa"/>
              <w:right w:w="120" w:type="dxa"/>
            </w:tcMar>
          </w:tcPr>
          <w:p>
            <w:r>
              <w:rPr>
                <w:b/>
                <w:color w:val="FFFFFF"/>
                <w:sz w:val="19"/>
              </w:rPr>
              <w:t>Technologies / Tools</w:t>
            </w:r>
          </w:p>
        </w:tc>
        <w:tc>
          <w:tcPr>
            <w:tcW w:type="dxa" w:w="2160"/>
            <w:shd w:fill="1B365D"/>
            <w:tcMar>
              <w:top w:w="120" w:type="dxa"/>
              <w:bottom w:w="120" w:type="dxa"/>
              <w:left w:w="120" w:type="dxa"/>
              <w:right w:w="120" w:type="dxa"/>
            </w:tcMar>
          </w:tcPr>
          <w:p>
            <w:r>
              <w:rPr>
                <w:b/>
                <w:color w:val="FFFFFF"/>
                <w:sz w:val="19"/>
              </w:rPr>
              <w:t>Primary Modules</w:t>
            </w:r>
          </w:p>
        </w:tc>
        <w:tc>
          <w:tcPr>
            <w:tcW w:type="dxa" w:w="3168"/>
            <w:shd w:fill="1B365D"/>
            <w:tcMar>
              <w:top w:w="120" w:type="dxa"/>
              <w:bottom w:w="120" w:type="dxa"/>
              <w:left w:w="120" w:type="dxa"/>
              <w:right w:w="120" w:type="dxa"/>
            </w:tcMar>
          </w:tcPr>
          <w:p>
            <w:r>
              <w:rPr>
                <w:b/>
                <w:color w:val="FFFFFF"/>
                <w:sz w:val="19"/>
              </w:rPr>
              <w:t>Core Responsibilities</w:t>
            </w:r>
          </w:p>
        </w:tc>
      </w:tr>
      <w:tr>
        <w:tc>
          <w:tcPr>
            <w:tcW w:type="dxa" w:w="2160"/>
            <w:tcMar>
              <w:top w:w="100" w:type="dxa"/>
              <w:bottom w:w="100" w:type="dxa"/>
              <w:left w:w="100" w:type="dxa"/>
              <w:right w:w="100" w:type="dxa"/>
            </w:tcMar>
          </w:tcPr>
          <w:p>
            <w:r>
              <w:rPr>
                <w:color w:val="212529"/>
                <w:sz w:val="18"/>
              </w:rPr>
              <w:t>Language Model (LLM)</w:t>
            </w:r>
          </w:p>
        </w:tc>
        <w:tc>
          <w:tcPr>
            <w:tcW w:type="dxa" w:w="2592"/>
            <w:tcMar>
              <w:top w:w="100" w:type="dxa"/>
              <w:bottom w:w="100" w:type="dxa"/>
              <w:left w:w="100" w:type="dxa"/>
              <w:right w:w="100" w:type="dxa"/>
            </w:tcMar>
            <w:shd w:fill="FAFAFA"/>
          </w:tcPr>
          <w:p>
            <w:r>
              <w:rPr>
                <w:color w:val="212529"/>
                <w:sz w:val="18"/>
              </w:rPr>
              <w:t>Anthropic Claude</w:t>
              <w:br/>
              <w:t>(claude-opus-5-5 / Sonnet)</w:t>
            </w:r>
          </w:p>
        </w:tc>
        <w:tc>
          <w:tcPr>
            <w:tcW w:type="dxa" w:w="2160"/>
            <w:tcMar>
              <w:top w:w="100" w:type="dxa"/>
              <w:bottom w:w="100" w:type="dxa"/>
              <w:left w:w="100" w:type="dxa"/>
              <w:right w:w="100" w:type="dxa"/>
            </w:tcMar>
          </w:tcPr>
          <w:p>
            <w:r>
              <w:rPr>
                <w:color w:val="212529"/>
                <w:sz w:val="18"/>
              </w:rPr>
              <w:t>backend/llm_client.py</w:t>
            </w:r>
          </w:p>
        </w:tc>
        <w:tc>
          <w:tcPr>
            <w:tcW w:type="dxa" w:w="3168"/>
            <w:tcMar>
              <w:top w:w="100" w:type="dxa"/>
              <w:bottom w:w="100" w:type="dxa"/>
              <w:left w:w="100" w:type="dxa"/>
              <w:right w:w="100" w:type="dxa"/>
            </w:tcMar>
            <w:shd w:fill="FAFAFA"/>
          </w:tcPr>
          <w:p>
            <w:r>
              <w:rPr>
                <w:color w:val="212529"/>
                <w:sz w:val="18"/>
              </w:rPr>
              <w:t>Unstructured text parsing, prospect metadata extraction, rate sheet parsing, and document role classification.</w:t>
            </w:r>
          </w:p>
        </w:tc>
      </w:tr>
      <w:tr>
        <w:tc>
          <w:tcPr>
            <w:tcW w:type="dxa" w:w="2160"/>
            <w:tcMar>
              <w:top w:w="100" w:type="dxa"/>
              <w:bottom w:w="100" w:type="dxa"/>
              <w:left w:w="100" w:type="dxa"/>
              <w:right w:w="100" w:type="dxa"/>
            </w:tcMar>
          </w:tcPr>
          <w:p>
            <w:r>
              <w:rPr>
                <w:color w:val="212529"/>
                <w:sz w:val="18"/>
              </w:rPr>
              <w:t>Prompt Caching Subsystem</w:t>
            </w:r>
          </w:p>
        </w:tc>
        <w:tc>
          <w:tcPr>
            <w:tcW w:type="dxa" w:w="2592"/>
            <w:tcMar>
              <w:top w:w="100" w:type="dxa"/>
              <w:bottom w:w="100" w:type="dxa"/>
              <w:left w:w="100" w:type="dxa"/>
              <w:right w:w="100" w:type="dxa"/>
            </w:tcMar>
            <w:shd w:fill="FAFAFA"/>
          </w:tcPr>
          <w:p>
            <w:r>
              <w:rPr>
                <w:color w:val="212529"/>
                <w:sz w:val="18"/>
              </w:rPr>
              <w:t>SQLite, SHA-256 Hashing, Anthropic Ephemeral Caching</w:t>
            </w:r>
          </w:p>
        </w:tc>
        <w:tc>
          <w:tcPr>
            <w:tcW w:type="dxa" w:w="2160"/>
            <w:tcMar>
              <w:top w:w="100" w:type="dxa"/>
              <w:bottom w:w="100" w:type="dxa"/>
              <w:left w:w="100" w:type="dxa"/>
              <w:right w:w="100" w:type="dxa"/>
            </w:tcMar>
          </w:tcPr>
          <w:p>
            <w:r>
              <w:rPr>
                <w:color w:val="212529"/>
                <w:sz w:val="18"/>
              </w:rPr>
              <w:t>backend/caching/</w:t>
              <w:br/>
              <w:t>(local_cache, anthropic_cache, adapter)</w:t>
            </w:r>
          </w:p>
        </w:tc>
        <w:tc>
          <w:tcPr>
            <w:tcW w:type="dxa" w:w="3168"/>
            <w:tcMar>
              <w:top w:w="100" w:type="dxa"/>
              <w:bottom w:w="100" w:type="dxa"/>
              <w:left w:w="100" w:type="dxa"/>
              <w:right w:w="100" w:type="dxa"/>
            </w:tcMar>
            <w:shd w:fill="FAFAFA"/>
          </w:tcPr>
          <w:p>
            <w:r>
              <w:rPr>
                <w:color w:val="212529"/>
                <w:sz w:val="18"/>
              </w:rPr>
              <w:t>Two-tier caching: Tier 1 instant local exact match (&lt;1ms); Tier 2 Anthropic server cache for 22k master instructions (90% savings).</w:t>
            </w:r>
          </w:p>
        </w:tc>
      </w:tr>
      <w:tr>
        <w:tc>
          <w:tcPr>
            <w:tcW w:type="dxa" w:w="2160"/>
            <w:tcMar>
              <w:top w:w="100" w:type="dxa"/>
              <w:bottom w:w="100" w:type="dxa"/>
              <w:left w:w="100" w:type="dxa"/>
              <w:right w:w="100" w:type="dxa"/>
            </w:tcMar>
          </w:tcPr>
          <w:p>
            <w:r>
              <w:rPr>
                <w:color w:val="212529"/>
                <w:sz w:val="18"/>
              </w:rPr>
              <w:t>OCR Subsystem</w:t>
            </w:r>
          </w:p>
        </w:tc>
        <w:tc>
          <w:tcPr>
            <w:tcW w:type="dxa" w:w="2592"/>
            <w:tcMar>
              <w:top w:w="100" w:type="dxa"/>
              <w:bottom w:w="100" w:type="dxa"/>
              <w:left w:w="100" w:type="dxa"/>
              <w:right w:w="100" w:type="dxa"/>
            </w:tcMar>
            <w:shd w:fill="FAFAFA"/>
          </w:tcPr>
          <w:p>
            <w:r>
              <w:rPr>
                <w:color w:val="212529"/>
                <w:sz w:val="18"/>
              </w:rPr>
              <w:t>PaddleOCR 2.7.0,</w:t>
              <w:br/>
              <w:t>PaddlePaddle 2.6.2, Poppler</w:t>
            </w:r>
          </w:p>
        </w:tc>
        <w:tc>
          <w:tcPr>
            <w:tcW w:type="dxa" w:w="2160"/>
            <w:tcMar>
              <w:top w:w="100" w:type="dxa"/>
              <w:bottom w:w="100" w:type="dxa"/>
              <w:left w:w="100" w:type="dxa"/>
              <w:right w:w="100" w:type="dxa"/>
            </w:tcMar>
          </w:tcPr>
          <w:p>
            <w:r>
              <w:rPr>
                <w:color w:val="212529"/>
                <w:sz w:val="18"/>
              </w:rPr>
              <w:t>backend/readers.py,</w:t>
              <w:br/>
              <w:t>backend/ocr_bridge.py</w:t>
            </w:r>
          </w:p>
        </w:tc>
        <w:tc>
          <w:tcPr>
            <w:tcW w:type="dxa" w:w="3168"/>
            <w:tcMar>
              <w:top w:w="100" w:type="dxa"/>
              <w:bottom w:w="100" w:type="dxa"/>
              <w:left w:w="100" w:type="dxa"/>
              <w:right w:w="100" w:type="dxa"/>
            </w:tcMar>
            <w:shd w:fill="FAFAFA"/>
          </w:tcPr>
          <w:p>
            <w:r>
              <w:rPr>
                <w:color w:val="212529"/>
                <w:sz w:val="18"/>
              </w:rPr>
              <w:t>Converts scanned PDF page bitmaps into high-confidence digital text and coordinates for tabular parsing.</w:t>
            </w:r>
          </w:p>
        </w:tc>
      </w:tr>
      <w:tr>
        <w:tc>
          <w:tcPr>
            <w:tcW w:type="dxa" w:w="2160"/>
            <w:tcMar>
              <w:top w:w="100" w:type="dxa"/>
              <w:bottom w:w="100" w:type="dxa"/>
              <w:left w:w="100" w:type="dxa"/>
              <w:right w:w="100" w:type="dxa"/>
            </w:tcMar>
          </w:tcPr>
          <w:p>
            <w:r>
              <w:rPr>
                <w:color w:val="212529"/>
                <w:sz w:val="18"/>
              </w:rPr>
              <w:t>Spreadsheet Engine</w:t>
            </w:r>
          </w:p>
        </w:tc>
        <w:tc>
          <w:tcPr>
            <w:tcW w:type="dxa" w:w="2592"/>
            <w:tcMar>
              <w:top w:w="100" w:type="dxa"/>
              <w:bottom w:w="100" w:type="dxa"/>
              <w:left w:w="100" w:type="dxa"/>
              <w:right w:w="100" w:type="dxa"/>
            </w:tcMar>
            <w:shd w:fill="FAFAFA"/>
          </w:tcPr>
          <w:p>
            <w:r>
              <w:rPr>
                <w:color w:val="212529"/>
                <w:sz w:val="18"/>
              </w:rPr>
              <w:t>python-calamine,</w:t>
              <w:br/>
              <w:t>openpyxl 3.1+</w:t>
            </w:r>
          </w:p>
        </w:tc>
        <w:tc>
          <w:tcPr>
            <w:tcW w:type="dxa" w:w="2160"/>
            <w:tcMar>
              <w:top w:w="100" w:type="dxa"/>
              <w:bottom w:w="100" w:type="dxa"/>
              <w:left w:w="100" w:type="dxa"/>
              <w:right w:w="100" w:type="dxa"/>
            </w:tcMar>
          </w:tcPr>
          <w:p>
            <w:r>
              <w:rPr>
                <w:color w:val="212529"/>
                <w:sz w:val="18"/>
              </w:rPr>
              <w:t>backend/readers.py,</w:t>
              <w:br/>
              <w:t>backend/workbook_writer.py</w:t>
            </w:r>
          </w:p>
        </w:tc>
        <w:tc>
          <w:tcPr>
            <w:tcW w:type="dxa" w:w="3168"/>
            <w:tcMar>
              <w:top w:w="100" w:type="dxa"/>
              <w:bottom w:w="100" w:type="dxa"/>
              <w:left w:w="100" w:type="dxa"/>
              <w:right w:w="100" w:type="dxa"/>
            </w:tcMar>
            <w:shd w:fill="FAFAFA"/>
          </w:tcPr>
          <w:p>
            <w:r>
              <w:rPr>
                <w:color w:val="212529"/>
                <w:sz w:val="18"/>
              </w:rPr>
              <w:t>High-speed XML-immune Excel parsing; fills protected carrier templates without altering underwriting formatting.</w:t>
            </w:r>
          </w:p>
        </w:tc>
      </w:tr>
      <w:tr>
        <w:tc>
          <w:tcPr>
            <w:tcW w:type="dxa" w:w="2160"/>
            <w:tcMar>
              <w:top w:w="100" w:type="dxa"/>
              <w:bottom w:w="100" w:type="dxa"/>
              <w:left w:w="100" w:type="dxa"/>
              <w:right w:w="100" w:type="dxa"/>
            </w:tcMar>
          </w:tcPr>
          <w:p>
            <w:r>
              <w:rPr>
                <w:color w:val="212529"/>
                <w:sz w:val="18"/>
              </w:rPr>
              <w:t>Web UI &amp; API Server</w:t>
            </w:r>
          </w:p>
        </w:tc>
        <w:tc>
          <w:tcPr>
            <w:tcW w:type="dxa" w:w="2592"/>
            <w:tcMar>
              <w:top w:w="100" w:type="dxa"/>
              <w:bottom w:w="100" w:type="dxa"/>
              <w:left w:w="100" w:type="dxa"/>
              <w:right w:w="100" w:type="dxa"/>
            </w:tcMar>
            <w:shd w:fill="FAFAFA"/>
          </w:tcPr>
          <w:p>
            <w:r>
              <w:rPr>
                <w:color w:val="212529"/>
                <w:sz w:val="18"/>
              </w:rPr>
              <w:t>FastAPI, Uvicorn, Vanilla HTML/CSS/JS</w:t>
            </w:r>
          </w:p>
        </w:tc>
        <w:tc>
          <w:tcPr>
            <w:tcW w:type="dxa" w:w="2160"/>
            <w:tcMar>
              <w:top w:w="100" w:type="dxa"/>
              <w:bottom w:w="100" w:type="dxa"/>
              <w:left w:w="100" w:type="dxa"/>
              <w:right w:w="100" w:type="dxa"/>
            </w:tcMar>
          </w:tcPr>
          <w:p>
            <w:r>
              <w:rPr>
                <w:color w:val="212529"/>
                <w:sz w:val="18"/>
              </w:rPr>
              <w:t>backend/api.py,</w:t>
              <w:br/>
              <w:t>run_server.py, static/</w:t>
            </w:r>
          </w:p>
        </w:tc>
        <w:tc>
          <w:tcPr>
            <w:tcW w:type="dxa" w:w="3168"/>
            <w:tcMar>
              <w:top w:w="100" w:type="dxa"/>
              <w:bottom w:w="100" w:type="dxa"/>
              <w:left w:w="100" w:type="dxa"/>
              <w:right w:w="100" w:type="dxa"/>
            </w:tcMar>
            <w:shd w:fill="FAFAFA"/>
          </w:tcPr>
          <w:p>
            <w:r>
              <w:rPr>
                <w:color w:val="212529"/>
                <w:sz w:val="18"/>
              </w:rPr>
              <w:t>Interactive Web UI, drag-and-drop processing, Swagger API docs (/docs), ReDoc (/redoc), and live cache telemetry (/api/cache-stats).</w:t>
            </w:r>
          </w:p>
        </w:tc>
      </w:tr>
      <w:tr>
        <w:tc>
          <w:tcPr>
            <w:tcW w:type="dxa" w:w="2160"/>
            <w:tcMar>
              <w:top w:w="100" w:type="dxa"/>
              <w:bottom w:w="100" w:type="dxa"/>
              <w:left w:w="100" w:type="dxa"/>
              <w:right w:w="100" w:type="dxa"/>
            </w:tcMar>
          </w:tcPr>
          <w:p>
            <w:r>
              <w:rPr>
                <w:color w:val="212529"/>
                <w:sz w:val="18"/>
              </w:rPr>
              <w:t>Audit &amp; Business Logic</w:t>
            </w:r>
          </w:p>
        </w:tc>
        <w:tc>
          <w:tcPr>
            <w:tcW w:type="dxa" w:w="2592"/>
            <w:tcMar>
              <w:top w:w="100" w:type="dxa"/>
              <w:bottom w:w="100" w:type="dxa"/>
              <w:left w:w="100" w:type="dxa"/>
              <w:right w:w="100" w:type="dxa"/>
            </w:tcMar>
            <w:shd w:fill="FAFAFA"/>
          </w:tcPr>
          <w:p>
            <w:r>
              <w:rPr>
                <w:color w:val="212529"/>
                <w:sz w:val="18"/>
              </w:rPr>
              <w:t>FuzzyWuzzy, Python DateUtil, RegEx</w:t>
            </w:r>
          </w:p>
        </w:tc>
        <w:tc>
          <w:tcPr>
            <w:tcW w:type="dxa" w:w="2160"/>
            <w:tcMar>
              <w:top w:w="100" w:type="dxa"/>
              <w:bottom w:w="100" w:type="dxa"/>
              <w:left w:w="100" w:type="dxa"/>
              <w:right w:w="100" w:type="dxa"/>
            </w:tcMar>
          </w:tcPr>
          <w:p>
            <w:r>
              <w:rPr>
                <w:color w:val="212529"/>
                <w:sz w:val="18"/>
              </w:rPr>
              <w:t>backend/comparator.py,</w:t>
              <w:br/>
              <w:t>backend/router.py</w:t>
            </w:r>
          </w:p>
        </w:tc>
        <w:tc>
          <w:tcPr>
            <w:tcW w:type="dxa" w:w="3168"/>
            <w:tcMar>
              <w:top w:w="100" w:type="dxa"/>
              <w:bottom w:w="100" w:type="dxa"/>
              <w:left w:w="100" w:type="dxa"/>
              <w:right w:w="100" w:type="dxa"/>
            </w:tcMar>
            <w:shd w:fill="FAFAFA"/>
          </w:tcPr>
          <w:p>
            <w:r>
              <w:rPr>
                <w:color w:val="212529"/>
                <w:sz w:val="18"/>
              </w:rPr>
              <w:t>Fuzzy demographic matching, tier normalization, PEO 90-day renewal check, high-claims threshold checks (&gt;50 enrolled).</w:t>
            </w:r>
          </w:p>
        </w:tc>
      </w:tr>
    </w:tbl>
    <w:p>
      <w:pPr>
        <w:spacing w:after="160"/>
      </w:pPr>
    </w:p>
    <w:p>
      <w:pPr>
        <w:pStyle w:val="Heading1"/>
      </w:pPr>
      <w:r>
        <w:rPr>
          <w:color w:val="1B365D"/>
        </w:rPr>
        <w:t>4. Two-Tier Prompt Caching Subsystem</w:t>
      </w:r>
    </w:p>
    <w:p>
      <w:r>
        <w:t>A major breakthrough implemented in the architecture is the dedicated Two-Tier Prompt Caching Subsystem (located in 'backend/caching/'). Under official guidelines, every LLM invocation requires sending the entire 22,000-token Master Instruction document. Without caching, a single 8-document submission consumes over 300,000 input tokens and introduces 3 to 6 seconds of prefill latency per call.</w:t>
      </w:r>
    </w:p>
    <w:tbl>
      <w:tblPr>
        <w:tblW w:type="auto" w:w="0"/>
        <w:jc w:val="center"/>
        <w:tblLook w:firstColumn="1" w:firstRow="1" w:lastColumn="0" w:lastRow="0" w:noHBand="0" w:noVBand="1" w:val="04A0"/>
      </w:tblPr>
      <w:tblGrid>
        <w:gridCol w:w="3312"/>
        <w:gridCol w:w="3312"/>
        <w:gridCol w:w="3312"/>
      </w:tblGrid>
      <w:tr>
        <w:tc>
          <w:tcPr>
            <w:tcW w:type="dxa" w:w="3312"/>
            <w:shd w:fill="007A87"/>
            <w:tcMar>
              <w:top w:w="100" w:type="dxa"/>
              <w:bottom w:w="100" w:type="dxa"/>
              <w:left w:w="120" w:type="dxa"/>
              <w:right w:w="120" w:type="dxa"/>
            </w:tcMar>
          </w:tcPr>
          <w:p>
            <w:r>
              <w:rPr>
                <w:b/>
                <w:color w:val="FFFFFF"/>
                <w:sz w:val="19"/>
              </w:rPr>
              <w:t>Caching Layer</w:t>
            </w:r>
          </w:p>
        </w:tc>
        <w:tc>
          <w:tcPr>
            <w:tcW w:type="dxa" w:w="3312"/>
            <w:shd w:fill="007A87"/>
            <w:tcMar>
              <w:top w:w="100" w:type="dxa"/>
              <w:bottom w:w="100" w:type="dxa"/>
              <w:left w:w="120" w:type="dxa"/>
              <w:right w:w="120" w:type="dxa"/>
            </w:tcMar>
          </w:tcPr>
          <w:p>
            <w:r>
              <w:rPr>
                <w:b/>
                <w:color w:val="FFFFFF"/>
                <w:sz w:val="19"/>
              </w:rPr>
              <w:t>Mechanism &amp; Storage</w:t>
            </w:r>
          </w:p>
        </w:tc>
        <w:tc>
          <w:tcPr>
            <w:tcW w:type="dxa" w:w="3312"/>
            <w:shd w:fill="007A87"/>
            <w:tcMar>
              <w:top w:w="100" w:type="dxa"/>
              <w:bottom w:w="100" w:type="dxa"/>
              <w:left w:w="120" w:type="dxa"/>
              <w:right w:w="120" w:type="dxa"/>
            </w:tcMar>
          </w:tcPr>
          <w:p>
            <w:r>
              <w:rPr>
                <w:b/>
                <w:color w:val="FFFFFF"/>
                <w:sz w:val="19"/>
              </w:rPr>
              <w:t>Performance &amp; Economic Impact</w:t>
            </w:r>
          </w:p>
        </w:tc>
      </w:tr>
      <w:tr>
        <w:tc>
          <w:tcPr>
            <w:tcW w:type="dxa" w:w="3312"/>
            <w:tcMar>
              <w:top w:w="90" w:type="dxa"/>
              <w:bottom w:w="90" w:type="dxa"/>
              <w:left w:w="100" w:type="dxa"/>
              <w:right w:w="100" w:type="dxa"/>
            </w:tcMar>
          </w:tcPr>
          <w:p>
            <w:r>
              <w:rPr>
                <w:sz w:val="18"/>
              </w:rPr>
              <w:t>Tier 1: Local Exact Cache</w:t>
            </w:r>
          </w:p>
        </w:tc>
        <w:tc>
          <w:tcPr>
            <w:tcW w:type="dxa" w:w="3312"/>
            <w:tcMar>
              <w:top w:w="90" w:type="dxa"/>
              <w:bottom w:w="90" w:type="dxa"/>
              <w:left w:w="100" w:type="dxa"/>
              <w:right w:w="100" w:type="dxa"/>
            </w:tcMar>
          </w:tcPr>
          <w:p>
            <w:r>
              <w:rPr>
                <w:sz w:val="18"/>
              </w:rPr>
              <w:t>Persistent SQLite DB (prompt_cache.sqlite3) using SHA-256 hash of normalized prompt + model.</w:t>
            </w:r>
          </w:p>
        </w:tc>
        <w:tc>
          <w:tcPr>
            <w:tcW w:type="dxa" w:w="3312"/>
            <w:tcMar>
              <w:top w:w="90" w:type="dxa"/>
              <w:bottom w:w="90" w:type="dxa"/>
              <w:left w:w="100" w:type="dxa"/>
              <w:right w:w="100" w:type="dxa"/>
            </w:tcMar>
          </w:tcPr>
          <w:p>
            <w:r>
              <w:rPr>
                <w:sz w:val="18"/>
              </w:rPr>
              <w:t>100% Token Savings (0 API tokens consumed). Latency reduced to ~1.1 ms (instant local disk response). Survives reboots.</w:t>
            </w:r>
          </w:p>
        </w:tc>
      </w:tr>
      <w:tr>
        <w:tc>
          <w:tcPr>
            <w:tcW w:type="dxa" w:w="3312"/>
            <w:tcMar>
              <w:top w:w="90" w:type="dxa"/>
              <w:bottom w:w="90" w:type="dxa"/>
              <w:left w:w="100" w:type="dxa"/>
              <w:right w:w="100" w:type="dxa"/>
            </w:tcMar>
          </w:tcPr>
          <w:p>
            <w:r>
              <w:rPr>
                <w:sz w:val="18"/>
              </w:rPr>
              <w:t>Tier 2: Anthropic Ephemeral Cache</w:t>
            </w:r>
          </w:p>
        </w:tc>
        <w:tc>
          <w:tcPr>
            <w:tcW w:type="dxa" w:w="3312"/>
            <w:tcMar>
              <w:top w:w="90" w:type="dxa"/>
              <w:bottom w:w="90" w:type="dxa"/>
              <w:left w:w="100" w:type="dxa"/>
              <w:right w:w="100" w:type="dxa"/>
            </w:tcMar>
          </w:tcPr>
          <w:p>
            <w:r>
              <w:rPr>
                <w:sz w:val="18"/>
              </w:rPr>
              <w:t>Anthropic API cache_control: {'type': 'ephemeral'} on the 22k Master Instruction text block.</w:t>
            </w:r>
          </w:p>
        </w:tc>
        <w:tc>
          <w:tcPr>
            <w:tcW w:type="dxa" w:w="3312"/>
            <w:tcMar>
              <w:top w:w="90" w:type="dxa"/>
              <w:bottom w:w="90" w:type="dxa"/>
              <w:left w:w="100" w:type="dxa"/>
              <w:right w:w="100" w:type="dxa"/>
            </w:tcMar>
          </w:tcPr>
          <w:p>
            <w:r>
              <w:rPr>
                <w:sz w:val="18"/>
              </w:rPr>
              <w:t>90% Cost Discount on cache reads. Reduces API time-to-first-token by ~80% across distinct file excerpts within the 5-minute sliding window.</w:t>
            </w:r>
          </w:p>
        </w:tc>
      </w:tr>
      <w:tr>
        <w:tc>
          <w:tcPr>
            <w:tcW w:type="dxa" w:w="3312"/>
            <w:tcMar>
              <w:top w:w="90" w:type="dxa"/>
              <w:bottom w:w="90" w:type="dxa"/>
              <w:left w:w="100" w:type="dxa"/>
              <w:right w:w="100" w:type="dxa"/>
            </w:tcMar>
          </w:tcPr>
          <w:p>
            <w:r>
              <w:rPr>
                <w:sz w:val="18"/>
              </w:rPr>
              <w:t>Zero-Disruption Architecture</w:t>
            </w:r>
          </w:p>
        </w:tc>
        <w:tc>
          <w:tcPr>
            <w:tcW w:type="dxa" w:w="3312"/>
            <w:tcMar>
              <w:top w:w="90" w:type="dxa"/>
              <w:bottom w:w="90" w:type="dxa"/>
              <w:left w:w="100" w:type="dxa"/>
              <w:right w:w="100" w:type="dxa"/>
            </w:tcMar>
          </w:tcPr>
          <w:p>
            <w:r>
              <w:rPr>
                <w:sz w:val="18"/>
              </w:rPr>
              <w:t>Non-invasive fail-open adapter pattern with real-time telemetry streaming to terminal stdout.</w:t>
            </w:r>
          </w:p>
        </w:tc>
        <w:tc>
          <w:tcPr>
            <w:tcW w:type="dxa" w:w="3312"/>
            <w:tcMar>
              <w:top w:w="90" w:type="dxa"/>
              <w:bottom w:w="90" w:type="dxa"/>
              <w:left w:w="100" w:type="dxa"/>
              <w:right w:w="100" w:type="dxa"/>
            </w:tcMar>
          </w:tcPr>
          <w:p>
            <w:r>
              <w:rPr>
                <w:sz w:val="18"/>
              </w:rPr>
              <w:t>If caching encounters an issue or is disabled via .env, requests seamlessly fall back to live API with zero pipeline disruption.</w:t>
            </w:r>
          </w:p>
        </w:tc>
      </w:tr>
    </w:tbl>
    <w:p>
      <w:pPr>
        <w:spacing w:after="160"/>
      </w:pPr>
    </w:p>
    <w:p>
      <w:pPr>
        <w:pStyle w:val="Heading1"/>
      </w:pPr>
      <w:r>
        <w:rPr>
          <w:color w:val="1B365D"/>
        </w:rPr>
        <w:t>5. Primary Deliverables Generated</w:t>
      </w:r>
    </w:p>
    <w:p>
      <w:r>
        <w:t>For every processed prospect submission, the pipeline automatically writes three synchronized deliverables into 'output/':</w:t>
      </w:r>
    </w:p>
    <w:p>
      <w:pPr>
        <w:spacing w:before="80" w:after="40"/>
      </w:pPr>
      <w:r>
        <w:rPr>
          <w:b/>
          <w:color w:val="1B365D"/>
        </w:rPr>
        <w:t>1. Carrier-Specific Protected Master Workbook (.xlsx)</w:t>
        <w:br/>
      </w:r>
      <w:r>
        <w:rPr>
          <w:sz w:val="19"/>
        </w:rPr>
        <w:t>• Florida Blue: RAPT_Census_[Company]_[Timestamp].xlsx</w:t>
        <w:br/>
        <w:t>• Cigna (Non-Florida): Marsh_Census_[Company]_[Timestamp].xlsx &amp; SBU_Census_[Company]_[Timestamp].xlsx</w:t>
        <w:br/>
        <w:t>All columns A–L (underwriting census) remain protected and locked according to official template rules. Reconciliation columns (M onwards) highlight match %, invoice tier, enrolled plan, current premium, and renewal rates.</w:t>
      </w:r>
    </w:p>
    <w:p>
      <w:pPr>
        <w:spacing w:before="80" w:after="40"/>
      </w:pPr>
      <w:r>
        <w:rPr>
          <w:b/>
          <w:color w:val="1B365D"/>
        </w:rPr>
        <w:t>2. Ready-to-Send Broker Intake Email (.txt)</w:t>
        <w:br/>
      </w:r>
      <w:r>
        <w:rPr>
          <w:sz w:val="19"/>
        </w:rPr>
        <w:t>File: Missing_Information_Email_[Company]_[Timestamp].txt</w:t>
        <w:br/>
        <w:t>A pre-composed, professional email addressed to the referring broker or sales representative. Automatically enumerates missing census columns (DOB, ZIP, coverage tiers), informs if renewal rate tables are mandatory under the PEO 90-day rule, and requests historical claims if the group exceeds 50 enrolled medical subscribers.</w:t>
      </w:r>
    </w:p>
    <w:p>
      <w:pPr>
        <w:spacing w:before="80" w:after="40"/>
      </w:pPr>
      <w:r>
        <w:rPr>
          <w:b/>
          <w:color w:val="1B365D"/>
        </w:rPr>
        <w:t>3. Audit &amp; Discrepancies Exception Report (.txt)</w:t>
        <w:br/>
      </w:r>
      <w:r>
        <w:rPr>
          <w:sz w:val="19"/>
        </w:rPr>
        <w:t>File: [WorkbookName]_exceptions.txt</w:t>
        <w:br/>
        <w:t>Comprehensive audit trail documenting: total employee/dependent count reconciliations, terminated employees still billed on the invoice, employees enrolled in census but missing from payroll registers, and non-enrolled reason codes (NE/WP/WO).</w:t>
      </w:r>
    </w:p>
    <w:p>
      <w:r>
        <w:br w:type="page"/>
      </w:r>
    </w:p>
    <w:p>
      <w:pPr>
        <w:pStyle w:val="Heading1"/>
      </w:pPr>
      <w:r>
        <w:rPr>
          <w:color w:val="1B365D"/>
        </w:rPr>
        <w:t>6. Project Directory Map &amp; Operational Commands</w:t>
      </w:r>
    </w:p>
    <w:p>
      <w:pPr>
        <w:spacing w:after="120"/>
      </w:pPr>
      <w:r>
        <w:rPr>
          <w:b/>
        </w:rPr>
        <w:t>Project Directory Organization:</w:t>
        <w:br/>
      </w:r>
      <w:r>
        <w:rPr>
          <w:rFonts w:ascii="Consolas" w:hAnsi="Consolas"/>
          <w:sz w:val="17"/>
        </w:rPr>
        <w:t>census_project_claude/</w:t>
        <w:br/>
        <w:t xml:space="preserve">  ├── backend/</w:t>
        <w:br/>
        <w:t xml:space="preserve">  │     ├── api.py                 # FastAPI Web Server &amp; REST endpoints</w:t>
        <w:br/>
        <w:t xml:space="preserve">  │     ├── caching/               # Two-tier prompt caching subsystem (local_cache, anthropic_cache, adapter)</w:t>
        <w:br/>
        <w:t xml:space="preserve">  │     ├── cache_storage/         # SQLite cache database (prompt_cache.sqlite3)</w:t>
        <w:br/>
        <w:t xml:space="preserve">  │     ├── census_builder.py      # Employee/dependent consolidation, coverage tier standardization</w:t>
        <w:br/>
        <w:t xml:space="preserve">  │     ├── census_config.py       # Central pipeline settings, carrier constants, template coordinates</w:t>
        <w:br/>
        <w:t xml:space="preserve">  │     ├── classifier.py          # Document classification (census, invoice, renewal, ghq, rfp)</w:t>
        <w:br/>
        <w:t xml:space="preserve">  │     ├── comparator.py          # Demographic fuzzy matching, tier reconciliation, discrepancy flags</w:t>
        <w:br/>
        <w:t xml:space="preserve">  │     ├── instructions/          # Master Unified Medical Submission Agent Instruction.docx (92 KB)</w:t>
        <w:br/>
        <w:t xml:space="preserve">  │     ├── invoice_parser.py      # Subscriber extraction, premium parsing, billing period selection</w:t>
        <w:br/>
        <w:t xml:space="preserve">  │     ├── llm_client.py          # Claude Anthropic client (claude-opus-5-5) with prompt caching</w:t>
        <w:br/>
        <w:t xml:space="preserve">  │     ├── main.py                # Command-line entry point &amp; 8-stage pipeline orchestrator</w:t>
        <w:br/>
        <w:t xml:space="preserve">  │     ├── prospect.py            # Employer metadata extraction from GHQ/RFP submissions</w:t>
        <w:br/>
        <w:t xml:space="preserve">  │     ├── readers.py             # Multi-format readers (PDF, XLSX, CSV, DOCX) &amp; PaddleOCR bridge</w:t>
        <w:br/>
        <w:t xml:space="preserve">  │     ├── renewal_parser.py      # Medical renewal rate tables &amp; future effective date selection</w:t>
        <w:br/>
        <w:t xml:space="preserve">  │     ├── router.py              # Carrier routing (Florida Blue vs Cigna) &amp; intake email generator</w:t>
        <w:br/>
        <w:t xml:space="preserve">  │     ├── static/                # Interactive Web UI frontend (index.html, app.js, style.css)</w:t>
        <w:br/>
        <w:t xml:space="preserve">  │     ├── templates/             # Master carrier templates (RAPT, Marsh, SBU Excel files)</w:t>
        <w:br/>
        <w:t xml:space="preserve">  │     └── workbook_writer.py     # Protected Excel workbook output generator</w:t>
        <w:br/>
        <w:t xml:space="preserve">  ├── input/                       # Drop directory for raw files to be processed</w:t>
        <w:br/>
        <w:t xml:space="preserve">  ├── output/                      # Target directory for generated Excel workbooks, emails, reports</w:t>
        <w:br/>
        <w:t xml:space="preserve">  ├── tests/                       # Unit &amp; integration test suites (11 tests, 100% pass rate)</w:t>
        <w:br/>
        <w:t xml:space="preserve">  ├── requirements.txt             # Production Python dependencies</w:t>
        <w:br/>
        <w:t xml:space="preserve">  ├── run_server.py                # Web application launcher (http://127.0.0.1:8000)</w:t>
        <w:br/>
        <w:t xml:space="preserve">  └── .env                         # API keys (ANTHROPIC_API_KEY) and binary paths (Poppler)</w:t>
      </w:r>
    </w:p>
    <w:p>
      <w:pPr>
        <w:pStyle w:val="Heading2"/>
      </w:pPr>
      <w:r>
        <w:rPr>
          <w:color w:val="007A87"/>
        </w:rPr>
        <w:t>Operational Commands Reference</w:t>
      </w:r>
    </w:p>
    <w:tbl>
      <w:tblPr>
        <w:tblW w:type="auto" w:w="0"/>
        <w:jc w:val="center"/>
        <w:tblLook w:firstColumn="1" w:firstRow="1" w:lastColumn="0" w:lastRow="0" w:noHBand="0" w:noVBand="1" w:val="04A0"/>
      </w:tblPr>
      <w:tblGrid>
        <w:gridCol w:w="4968"/>
        <w:gridCol w:w="4968"/>
      </w:tblGrid>
      <w:tr>
        <w:tc>
          <w:tcPr>
            <w:tcW w:type="dxa" w:w="4968"/>
            <w:shd w:fill="1B365D"/>
            <w:tcMar>
              <w:top w:w="80" w:type="dxa"/>
              <w:bottom w:w="80" w:type="dxa"/>
              <w:left w:w="100" w:type="dxa"/>
              <w:right w:w="100" w:type="dxa"/>
            </w:tcMar>
          </w:tcPr>
          <w:p>
            <w:r>
              <w:rPr>
                <w:b/>
                <w:color w:val="FFFFFF"/>
                <w:sz w:val="18"/>
              </w:rPr>
              <w:t>Task / Operation</w:t>
            </w:r>
          </w:p>
        </w:tc>
        <w:tc>
          <w:tcPr>
            <w:tcW w:type="dxa" w:w="4968"/>
            <w:shd w:fill="1B365D"/>
            <w:tcMar>
              <w:top w:w="80" w:type="dxa"/>
              <w:bottom w:w="80" w:type="dxa"/>
              <w:left w:w="100" w:type="dxa"/>
              <w:right w:w="100" w:type="dxa"/>
            </w:tcMar>
          </w:tcPr>
          <w:p>
            <w:r>
              <w:rPr>
                <w:b/>
                <w:color w:val="FFFFFF"/>
                <w:sz w:val="18"/>
              </w:rPr>
              <w:t>Command &amp; Usage</w:t>
            </w:r>
          </w:p>
        </w:tc>
      </w:tr>
      <w:tr>
        <w:tc>
          <w:tcPr>
            <w:tcW w:type="dxa" w:w="4968"/>
            <w:tcMar>
              <w:top w:w="80" w:type="dxa"/>
              <w:bottom w:w="80" w:type="dxa"/>
              <w:left w:w="100" w:type="dxa"/>
              <w:right w:w="100" w:type="dxa"/>
            </w:tcMar>
          </w:tcPr>
          <w:p>
            <w:r>
              <w:rPr>
                <w:sz w:val="17"/>
              </w:rPr>
              <w:t>Launch Web Application &amp; API</w:t>
            </w:r>
          </w:p>
        </w:tc>
        <w:tc>
          <w:tcPr>
            <w:tcW w:type="dxa" w:w="4968"/>
            <w:tcMar>
              <w:top w:w="80" w:type="dxa"/>
              <w:bottom w:w="80" w:type="dxa"/>
              <w:left w:w="100" w:type="dxa"/>
              <w:right w:w="100" w:type="dxa"/>
            </w:tcMar>
          </w:tcPr>
          <w:p>
            <w:r>
              <w:rPr>
                <w:rFonts w:ascii="Consolas" w:hAnsi="Consolas"/>
                <w:sz w:val="17"/>
              </w:rPr>
              <w:t>python run_server.py</w:t>
              <w:br/>
              <w:t>Access Web UI at http://127.0.0.1:8000 (Swagger docs at /docs)</w:t>
            </w:r>
          </w:p>
        </w:tc>
      </w:tr>
      <w:tr>
        <w:tc>
          <w:tcPr>
            <w:tcW w:type="dxa" w:w="4968"/>
            <w:tcMar>
              <w:top w:w="80" w:type="dxa"/>
              <w:bottom w:w="80" w:type="dxa"/>
              <w:left w:w="100" w:type="dxa"/>
              <w:right w:w="100" w:type="dxa"/>
            </w:tcMar>
          </w:tcPr>
          <w:p>
            <w:r>
              <w:rPr>
                <w:sz w:val="17"/>
              </w:rPr>
              <w:t>Execute CLI Batch Pipeline</w:t>
            </w:r>
          </w:p>
        </w:tc>
        <w:tc>
          <w:tcPr>
            <w:tcW w:type="dxa" w:w="4968"/>
            <w:tcMar>
              <w:top w:w="80" w:type="dxa"/>
              <w:bottom w:w="80" w:type="dxa"/>
              <w:left w:w="100" w:type="dxa"/>
              <w:right w:w="100" w:type="dxa"/>
            </w:tcMar>
          </w:tcPr>
          <w:p>
            <w:r>
              <w:rPr>
                <w:rFonts w:ascii="Consolas" w:hAnsi="Consolas"/>
                <w:sz w:val="17"/>
              </w:rPr>
              <w:t>python backend/main.py -i input -o output</w:t>
              <w:br/>
              <w:t>Processes all files in input/ and writes deliverables to output/</w:t>
            </w:r>
          </w:p>
        </w:tc>
      </w:tr>
      <w:tr>
        <w:tc>
          <w:tcPr>
            <w:tcW w:type="dxa" w:w="4968"/>
            <w:tcMar>
              <w:top w:w="80" w:type="dxa"/>
              <w:bottom w:w="80" w:type="dxa"/>
              <w:left w:w="100" w:type="dxa"/>
              <w:right w:w="100" w:type="dxa"/>
            </w:tcMar>
          </w:tcPr>
          <w:p>
            <w:r>
              <w:rPr>
                <w:sz w:val="17"/>
              </w:rPr>
              <w:t>Inspect Prompt Cache Status</w:t>
            </w:r>
          </w:p>
        </w:tc>
        <w:tc>
          <w:tcPr>
            <w:tcW w:type="dxa" w:w="4968"/>
            <w:tcMar>
              <w:top w:w="80" w:type="dxa"/>
              <w:bottom w:w="80" w:type="dxa"/>
              <w:left w:w="100" w:type="dxa"/>
              <w:right w:w="100" w:type="dxa"/>
            </w:tcMar>
          </w:tcPr>
          <w:p>
            <w:r>
              <w:rPr>
                <w:rFonts w:ascii="Consolas" w:hAnsi="Consolas"/>
                <w:sz w:val="17"/>
              </w:rPr>
              <w:t>python backend/caching/local_cache.py</w:t>
              <w:br/>
              <w:t>(Or open http://127.0.0.1:8000/api/cache-stats in browser)</w:t>
            </w:r>
          </w:p>
        </w:tc>
      </w:tr>
      <w:tr>
        <w:tc>
          <w:tcPr>
            <w:tcW w:type="dxa" w:w="4968"/>
            <w:tcMar>
              <w:top w:w="80" w:type="dxa"/>
              <w:bottom w:w="80" w:type="dxa"/>
              <w:left w:w="100" w:type="dxa"/>
              <w:right w:w="100" w:type="dxa"/>
            </w:tcMar>
          </w:tcPr>
          <w:p>
            <w:r>
              <w:rPr>
                <w:sz w:val="17"/>
              </w:rPr>
              <w:t>Execute Automated Test Suite</w:t>
            </w:r>
          </w:p>
        </w:tc>
        <w:tc>
          <w:tcPr>
            <w:tcW w:type="dxa" w:w="4968"/>
            <w:tcMar>
              <w:top w:w="80" w:type="dxa"/>
              <w:bottom w:w="80" w:type="dxa"/>
              <w:left w:w="100" w:type="dxa"/>
              <w:right w:w="100" w:type="dxa"/>
            </w:tcMar>
          </w:tcPr>
          <w:p>
            <w:r>
              <w:rPr>
                <w:rFonts w:ascii="Consolas" w:hAnsi="Consolas"/>
                <w:sz w:val="17"/>
              </w:rPr>
              <w:t>python -m pytest tests/test_claude_llm.py tests/test_prompt_caching.py tests/test_caching_integration.py</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