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tandard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left"/>
        <w:rPr>
          <w:rFonts w:ascii="Arial" w:hAnsi="Arial"/>
          <w:b w:val="1"/>
          <w:bCs w:val="1"/>
          <w:sz w:val="22"/>
          <w:szCs w:val="22"/>
          <w:u w:color="000000"/>
          <w:rtl w:val="0"/>
          <w:lang w:val="de-DE"/>
        </w:rPr>
      </w:pPr>
    </w:p>
    <w:p>
      <w:pPr>
        <w:pStyle w:val="Standard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36"/>
          <w:szCs w:val="3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36"/>
          <w:szCs w:val="3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GO</w:t>
      </w:r>
      <w:r>
        <w:rPr>
          <w:rFonts w:ascii="Arial" w:hAnsi="Arial" w:hint="default"/>
          <w:b w:val="1"/>
          <w:bCs w:val="1"/>
          <w:outline w:val="0"/>
          <w:color w:val="222222"/>
          <w:sz w:val="36"/>
          <w:szCs w:val="3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b w:val="1"/>
          <w:bCs w:val="1"/>
          <w:outline w:val="0"/>
          <w:color w:val="222222"/>
          <w:sz w:val="36"/>
          <w:szCs w:val="3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-Leistungsbausteine </w:t>
      </w:r>
      <w:r>
        <w:rPr>
          <w:rFonts w:ascii="Arial" w:hAnsi="Arial"/>
          <w:b w:val="1"/>
          <w:bCs w:val="1"/>
          <w:outline w:val="0"/>
          <w:color w:val="222222"/>
          <w:sz w:val="36"/>
          <w:szCs w:val="3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(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formular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-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angepasst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)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GO</w:t>
      </w:r>
      <w:r>
        <w:rPr>
          <w:rFonts w:ascii="Arial" w:hAnsi="Arial" w:hint="default"/>
          <w:outline w:val="0"/>
          <w:color w:val="222222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-Nr. | Leistungsbeschreibung | Faktor | Betrag (</w:t>
      </w:r>
      <w:r>
        <w:rPr>
          <w:rFonts w:ascii="Arial" w:hAnsi="Arial" w:hint="default"/>
          <w:outline w:val="0"/>
          <w:color w:val="222222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outline w:val="0"/>
          <w:color w:val="222222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)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1 | Beratung, auch telefonisch | 2,3 | 10,72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 | Eingehende, das gew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hnliche Ma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ß ü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bersteigende Beratung | 2,3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20,10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 | Eingehende, das gew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hnliche Ma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ß ü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bersteigende Beratung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3,5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30,60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4 | Erhebung einer Fremdanamnese und/oder Unterweisung von Bezugspersonen | 2,3 | 29,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67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5 | Symptombezogene Untersuchung | 2,3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16,19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7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vollst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ndige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Untersuchung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mind. 1 Organsystem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3,5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32,64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8 | Untersuchung zur Erhebung des Ganzk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rperstatus | 2,3 | 3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6,3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7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15 | Einleitung und Koordination flankierender Ma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ß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nahmen bei chronisch Kranken | 2,3 | 4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0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,23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/24,15?)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Hom</w:t>
      </w:r>
      <w:r>
        <w:rPr>
          <w:rFonts w:ascii="Arial" w:hAnsi="Arial" w:hint="default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opathische Leistungen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30 | Hom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opathische Erstanamnese | 2,3 | 120,6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5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30 | Hom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opathische Erstanamnese | 3,5 | 183,60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6"/>
          <w:szCs w:val="16"/>
          <w:u w:color="000000"/>
          <w:rtl w:val="0"/>
          <w:lang w:val="de-DE"/>
        </w:rPr>
      </w:pPr>
      <w:r>
        <w:rPr>
          <w:rFonts w:ascii="Arial" w:hAnsi="Arial"/>
          <w:sz w:val="16"/>
          <w:szCs w:val="16"/>
          <w:u w:color="000000"/>
          <w:rtl w:val="0"/>
          <w:lang w:val="de-DE"/>
        </w:rPr>
        <w:t>T94   zeitaufwendiges Verfahren, da polycausale Erkrankung</w:t>
      </w:r>
    </w:p>
    <w:p>
      <w:pPr>
        <w:pStyle w:val="Standard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6"/>
          <w:szCs w:val="16"/>
          <w:u w:color="000000"/>
          <w:rtl w:val="0"/>
          <w:lang w:val="de-DE"/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30 | Hom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opathische Erstanamnese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, analog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| 3,5 | 183,60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0"/>
          <w:szCs w:val="20"/>
          <w:u w:color="000000"/>
          <w:rtl w:val="0"/>
          <w:lang w:val="de-DE"/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31 | Hom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opathische Folgeanamnese (mind. 30 Minuten) | 2,3 | 60,33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31 | Hom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opathische Folgeanamnese (mind. 30 Minuten) | 3,5 | 91,80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34 | Er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rterung der Auswirkungen einer Krankheit auf die Lebensgestaltung | 2,3 | 40,23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(24,15?)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60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eingehende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Er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rterung einer Krankheit auf die Lebens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hrung, mind. 10 Min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3,5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44,80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76 | Individueller Therapie- oder Di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tplan mit Erl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uterung | 2,3 | 9,97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Therapie / Spezialverfahren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269a | Intrakutane Reiztherapie / Akupunktur | 2,3 | 4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8,25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269a | Intrakutane Reiztherapie / Akupunktur | 3,5 | 7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3,42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 269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Analoge komplexe therapeutische Sitzung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2,3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| 48,25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A 269 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Anpassung und Optimierung der Therapie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| 3,5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73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385 | Bioenergetischer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T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est, analog | 2,3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11,80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Psychosomatik / Gespr</w:t>
      </w:r>
      <w:r>
        <w:rPr>
          <w:rFonts w:ascii="Arial" w:hAnsi="Arial" w:hint="default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ch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806 | Behandlung durch gezielte Exploration u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.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eingehendes therapeutisches Gespr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ch| 2,3| 33,51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(23,30?)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812 | Psychotherapeutische Notfallbehandlung | 2,3 | 67,02 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(18,50?)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 825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neurologischer Test Hirnnerven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2,3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20,10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 826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neurologischer Test Koordination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2,3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26,82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 832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Frequenzbasierte Regulationsdiagnostik u. -therapie, analog GO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Ä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Ziffer Nr. 832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| 2,3 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63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(Kollege: Ziffer 832 wurde 3x abgerechnet f</w:t>
      </w:r>
      <w:r>
        <w:rPr>
          <w:rFonts w:ascii="Arial" w:hAnsi="Arial" w:hint="default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r Bioresonanz 3 verschieden Allergene </w:t>
      </w:r>
      <w:r>
        <w:rPr>
          <w:rFonts w:ascii="Arial" w:hAnsi="Arial" w:hint="default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„</w:t>
      </w:r>
      <w:r>
        <w:rPr>
          <w:rFonts w:ascii="Arial" w:hAnsi="Arial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gel</w:t>
      </w:r>
      <w:r>
        <w:rPr>
          <w:rFonts w:ascii="Arial" w:hAnsi="Arial" w:hint="default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scht</w:t>
      </w:r>
      <w:r>
        <w:rPr>
          <w:rFonts w:ascii="Arial" w:hAnsi="Arial" w:hint="default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“</w:t>
      </w:r>
      <w:r>
        <w:rPr>
          <w:rFonts w:ascii="Arial" w:hAnsi="Arial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)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 839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Frequenzbasierte Regulationsdiagnostik u. -therapie, analog GO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Ä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Ziffer Nr. 839 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2,3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|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93,84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€       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</w:t>
      </w:r>
      <w:r>
        <w:rPr>
          <w:rFonts w:ascii="Arial" w:hAnsi="Arial"/>
          <w:i w:val="1"/>
          <w:iCs w:val="1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oder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Frequenzbasierte Regulationsdiagnostik u. -therapie, analog  |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5,0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206,40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€   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        + 30 x 3,5 =183,6 + 206,4 -&gt; 390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                                                       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</w:t>
      </w:r>
      <w:r>
        <w:rPr>
          <w:rFonts w:ascii="Arial" w:hAnsi="Arial"/>
          <w:i w:val="1"/>
          <w:iCs w:val="1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</w:t>
      </w:r>
      <w:r>
        <w:rPr>
          <w:rFonts w:ascii="Arial" w:hAnsi="Arial"/>
          <w:i w:val="1"/>
          <w:iCs w:val="1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oder</w:t>
      </w:r>
      <w:r>
        <w:rPr>
          <w:rFonts w:ascii="Arial" w:hAnsi="Arial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Analoge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apparative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Funktionsdiagnostik (z.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 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B. vegetativ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e Reaktion)  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|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3,5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143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</w:t>
      </w:r>
      <w:r>
        <w:rPr>
          <w:rFonts w:ascii="Arial" w:hAnsi="Arial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</w:t>
      </w:r>
      <w:r>
        <w:rPr>
          <w:rFonts w:ascii="Arial" w:hAnsi="Arial"/>
          <w:i w:val="1"/>
          <w:iCs w:val="1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oder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Analoge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apparative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Funktionsdiagnostik (z.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 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B. vegetativ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e Reaktion)  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|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4,4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180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 </w:t>
      </w:r>
      <w:r>
        <w:rPr>
          <w:rFonts w:ascii="Arial" w:hAnsi="Arial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222222"/>
          <w:sz w:val="16"/>
          <w:szCs w:val="1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oder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Analoge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apparative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Funktionsdiagnostik (z.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 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B. vegetativ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e Reaktion)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-&gt; PKV-Begr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ndungen: akzeptierbare Versionen: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1) Ger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tegest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tzte Behandlung mit wiederholter Anpassung der Therapieparameter aufgrund  wechselnder vegetativer Reaktion w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hrende der 120-min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tigen Sitzung                               (Original 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„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40-min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tige Sitzung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“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)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2) Behandlungsdauer deutlich verl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ngert auf 2 Stunden aufgrund ausf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hrlicher Differentialdiagnostik und mehrfacher Re-Evaluation w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hrend der Sitzung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3) fr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her T94: deutlich erh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hter zeitlicher und medizinischer Aufwand aufgrund komplexer individueller Patientensituation mit erschwerter Durchf</w:t>
      </w:r>
      <w:r>
        <w:rPr>
          <w:rFonts w:ascii="Arial" w:hAnsi="Arial" w:hint="default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hrung und wiederholter Reaktionskontrolle</w:t>
      </w:r>
      <w:r>
        <w:rPr>
          <w:rFonts w:ascii="Arial" w:hAnsi="Arial"/>
          <w:outline w:val="0"/>
          <w:color w:val="222222"/>
          <w:sz w:val="18"/>
          <w:szCs w:val="1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                        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849 | Psychische Behandlung bei psychoreaktiven und psychosomatischen St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rungen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3,5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| 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46,92</w:t>
      </w:r>
      <w:r>
        <w:rPr>
          <w:rFonts w:ascii="Arial" w:hAnsi="Arial" w:hint="default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outline w:val="0"/>
          <w:color w:val="222222"/>
          <w:sz w:val="20"/>
          <w:szCs w:val="20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______________________________________________________________________________</w:t>
      </w:r>
    </w:p>
    <w:p>
      <w:pPr>
        <w:pStyle w:val="Standard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1f1f1f"/>
          <w:sz w:val="27"/>
          <w:szCs w:val="27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f1f1f"/>
          <w:sz w:val="27"/>
          <w:szCs w:val="27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Rechnungs-Kombi-Set</w:t>
      </w:r>
      <w:r>
        <w:rPr>
          <w:rFonts w:ascii="Arial" w:hAnsi="Arial"/>
          <w:b w:val="1"/>
          <w:bCs w:val="1"/>
          <w:outline w:val="0"/>
          <w:color w:val="1f1f1f"/>
          <w:sz w:val="27"/>
          <w:szCs w:val="27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,</w:t>
      </w:r>
      <w:r>
        <w:rPr>
          <w:rFonts w:ascii="Arial" w:hAnsi="Arial"/>
          <w:b w:val="1"/>
          <w:bCs w:val="1"/>
          <w:outline w:val="0"/>
          <w:color w:val="1f1f1f"/>
          <w:sz w:val="27"/>
          <w:szCs w:val="27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1f1f1f"/>
          <w:sz w:val="27"/>
          <w:szCs w:val="27"/>
          <w:rtl w:val="0"/>
          <w:lang w:val="de-DE"/>
          <w14:textFill>
            <w14:solidFill>
              <w14:srgbClr w14:val="1F1F1F"/>
            </w14:solidFill>
          </w14:textFill>
        </w:rPr>
        <w:t xml:space="preserve">Komplexe Behandlungen mit </w:t>
      </w:r>
      <w:r>
        <w:rPr>
          <w:rFonts w:ascii="Arial" w:hAnsi="Arial"/>
          <w:b w:val="1"/>
          <w:bCs w:val="1"/>
          <w:outline w:val="0"/>
          <w:color w:val="1f1f1f"/>
          <w:sz w:val="27"/>
          <w:szCs w:val="27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 xml:space="preserve">Analogziffern </w:t>
      </w:r>
      <w:r>
        <w:rPr>
          <w:rFonts w:ascii="Arial" w:hAnsi="Arial"/>
          <w:b w:val="1"/>
          <w:bCs w:val="1"/>
          <w:outline w:val="0"/>
          <w:color w:val="1f1f1f"/>
          <w:sz w:val="27"/>
          <w:szCs w:val="27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 xml:space="preserve">n. </w:t>
      </w:r>
      <w:r>
        <w:rPr>
          <w:rFonts w:ascii="Arial" w:hAnsi="Arial"/>
          <w:b w:val="1"/>
          <w:bCs w:val="1"/>
          <w:outline w:val="0"/>
          <w:color w:val="1f1f1f"/>
          <w:sz w:val="27"/>
          <w:szCs w:val="27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GO</w:t>
      </w:r>
      <w:r>
        <w:rPr>
          <w:rFonts w:ascii="Arial" w:hAnsi="Arial" w:hint="default"/>
          <w:b w:val="1"/>
          <w:bCs w:val="1"/>
          <w:outline w:val="0"/>
          <w:color w:val="1f1f1f"/>
          <w:sz w:val="27"/>
          <w:szCs w:val="27"/>
          <w:shd w:val="clear" w:color="auto" w:fill="ffffff"/>
          <w:rtl w:val="0"/>
          <w:lang w:val="sv-SE"/>
          <w14:textFill>
            <w14:solidFill>
              <w14:srgbClr w14:val="1F1F1F"/>
            </w14:solidFill>
          </w14:textFill>
        </w:rPr>
        <w:t>Ä</w:t>
      </w:r>
    </w:p>
    <w:p>
      <w:pPr>
        <w:pStyle w:val="Standard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1f1f1f"/>
          <w:sz w:val="27"/>
          <w:szCs w:val="27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Standard"/>
        <w:numPr>
          <w:ilvl w:val="0"/>
          <w:numId w:val="2"/>
        </w:numPr>
        <w:bidi w:val="0"/>
        <w:spacing w:before="0" w:after="200" w:line="240" w:lineRule="auto"/>
        <w:ind w:right="0"/>
        <w:jc w:val="left"/>
        <w:rPr>
          <w:rFonts w:ascii="Arial" w:hAnsi="Arial"/>
          <w:outline w:val="0"/>
          <w:color w:val="222222"/>
          <w:sz w:val="20"/>
          <w:szCs w:val="20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Erstanamnese / Untersuchung / Therapie 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–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Normalpatient (39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2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 €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)</w:t>
      </w:r>
    </w:p>
    <w:p>
      <w:pPr>
        <w:pStyle w:val="Standard"/>
        <w:numPr>
          <w:ilvl w:val="0"/>
          <w:numId w:val="2"/>
        </w:numPr>
        <w:bidi w:val="0"/>
        <w:spacing w:before="0" w:after="200" w:line="240" w:lineRule="auto"/>
        <w:ind w:right="0"/>
        <w:jc w:val="left"/>
        <w:rPr>
          <w:rFonts w:ascii="Arial" w:hAnsi="Arial"/>
          <w:outline w:val="0"/>
          <w:color w:val="222222"/>
          <w:sz w:val="20"/>
          <w:szCs w:val="20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1 Organsystem /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Verlaufstherapie / Wiederholungssitzung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 (180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 €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)</w:t>
      </w:r>
    </w:p>
    <w:p>
      <w:pPr>
        <w:pStyle w:val="Standard"/>
        <w:numPr>
          <w:ilvl w:val="0"/>
          <w:numId w:val="2"/>
        </w:numPr>
        <w:bidi w:val="0"/>
        <w:spacing w:before="0" w:after="200" w:line="240" w:lineRule="auto"/>
        <w:ind w:right="0"/>
        <w:jc w:val="left"/>
        <w:rPr>
          <w:rFonts w:ascii="Arial" w:hAnsi="Arial"/>
          <w:outline w:val="0"/>
          <w:color w:val="222222"/>
          <w:sz w:val="20"/>
          <w:szCs w:val="20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Erstanamnese / Untersuchung / Therapie 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–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Onkologie / hochkomplex (690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 €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)</w:t>
      </w:r>
    </w:p>
    <w:p>
      <w:pPr>
        <w:pStyle w:val="Standard"/>
        <w:numPr>
          <w:ilvl w:val="0"/>
          <w:numId w:val="2"/>
        </w:numPr>
        <w:bidi w:val="0"/>
        <w:spacing w:before="0" w:after="200" w:line="240" w:lineRule="auto"/>
        <w:ind w:right="0"/>
        <w:jc w:val="left"/>
        <w:rPr>
          <w:rFonts w:ascii="Arial" w:hAnsi="Arial"/>
          <w:outline w:val="0"/>
          <w:color w:val="222222"/>
          <w:sz w:val="20"/>
          <w:szCs w:val="20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Monatliche Betreuung chronisch kranker Patienten (295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 €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)</w:t>
      </w:r>
    </w:p>
    <w:p>
      <w:pPr>
        <w:pStyle w:val="Text"/>
        <w:bidi w:val="0"/>
        <w:spacing w:line="276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2d3c4b"/>
          <w:rtl w:val="0"/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Frequenzbasierte Regulationsdiagnostik u. -therapie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                                 (Erstbehandlung 392</w:t>
      </w:r>
      <w:r>
        <w:rPr>
          <w:rFonts w:ascii="Arial" w:hAnsi="Arial" w:hint="default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)</w:t>
      </w:r>
    </w:p>
    <w:tbl>
      <w:tblPr>
        <w:tblW w:w="7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59"/>
        <w:gridCol w:w="5249"/>
        <w:gridCol w:w="706"/>
        <w:gridCol w:w="102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GO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Ä</w:t>
            </w:r>
          </w:p>
        </w:tc>
        <w:tc>
          <w:tcPr>
            <w:tcW w:type="dxa" w:w="5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Leistung</w:t>
            </w:r>
          </w:p>
        </w:tc>
        <w:tc>
          <w:tcPr>
            <w:tcW w:type="dxa" w:w="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Faktor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Betrag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</w:t>
            </w:r>
          </w:p>
        </w:tc>
        <w:tc>
          <w:tcPr>
            <w:tcW w:type="dxa" w:w="5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Eingehende Beratung &gt; 20</w:t>
            </w:r>
            <w:r>
              <w:rPr>
                <w:rFonts w:ascii="Arial" w:hAnsi="Arial" w:hint="default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 </w:t>
            </w: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min</w:t>
            </w:r>
          </w:p>
        </w:tc>
        <w:tc>
          <w:tcPr>
            <w:tcW w:type="dxa" w:w="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40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7</w:t>
            </w:r>
          </w:p>
        </w:tc>
        <w:tc>
          <w:tcPr>
            <w:tcW w:type="dxa" w:w="5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vollst</w:t>
            </w:r>
            <w:r>
              <w:rPr>
                <w:rFonts w:ascii="Arial" w:hAnsi="Arial" w:hint="default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ä</w:t>
            </w: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ndige Untersuchung mind. 1 Organsystem </w:t>
            </w:r>
          </w:p>
        </w:tc>
        <w:tc>
          <w:tcPr>
            <w:tcW w:type="dxa" w:w="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3,5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 385</w:t>
            </w:r>
          </w:p>
        </w:tc>
        <w:tc>
          <w:tcPr>
            <w:tcW w:type="dxa" w:w="5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 Bioenergetischer Test, analog GO</w:t>
            </w:r>
            <w:r>
              <w:rPr>
                <w:rFonts w:ascii="Arial" w:hAnsi="Arial" w:hint="default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Ä</w:t>
            </w: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, je Test 11,80 x 13</w:t>
            </w:r>
          </w:p>
        </w:tc>
        <w:tc>
          <w:tcPr>
            <w:tcW w:type="dxa" w:w="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153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 839</w:t>
            </w:r>
          </w:p>
        </w:tc>
        <w:tc>
          <w:tcPr>
            <w:tcW w:type="dxa" w:w="5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Analoge apparative Funktionsdiagnostik</w:t>
            </w:r>
          </w:p>
        </w:tc>
        <w:tc>
          <w:tcPr>
            <w:tcW w:type="dxa" w:w="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94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 269</w:t>
            </w:r>
          </w:p>
        </w:tc>
        <w:tc>
          <w:tcPr>
            <w:tcW w:type="dxa" w:w="5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Analoge komplexe therapeutische Sitzung</w:t>
            </w:r>
          </w:p>
        </w:tc>
        <w:tc>
          <w:tcPr>
            <w:tcW w:type="dxa" w:w="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73</w:t>
            </w:r>
          </w:p>
        </w:tc>
      </w:tr>
    </w:tbl>
    <w:p>
      <w:pPr>
        <w:pStyle w:val="Standard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Begr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ndung f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r Analoge: 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„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Erweiterte Funktionsdiagnostik und integrative Therapieeinheit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                              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analog zu GO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:lang w:val="sv-SE"/>
          <w14:textFill>
            <w14:solidFill>
              <w14:srgbClr w14:val="222222"/>
            </w14:solidFill>
          </w14:textFill>
        </w:rPr>
        <w:t xml:space="preserve">Ä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385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 / 8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39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 / 269.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</w:p>
    <w:p>
      <w:pPr>
        <w:pStyle w:val="Standard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Frequenzbasierte Regulationsdiagnostik u. -therapie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                                            (1 Organsystem oder Kontrolle 180</w:t>
      </w:r>
      <w:r>
        <w:rPr>
          <w:rFonts w:ascii="Arial" w:hAnsi="Arial" w:hint="default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)</w:t>
      </w:r>
    </w:p>
    <w:tbl>
      <w:tblPr>
        <w:tblW w:w="642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53"/>
        <w:gridCol w:w="4068"/>
        <w:gridCol w:w="709"/>
        <w:gridCol w:w="99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GO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Ä</w:t>
            </w:r>
          </w:p>
        </w:tc>
        <w:tc>
          <w:tcPr>
            <w:tcW w:type="dxa" w:w="4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Leistung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Faktor</w:t>
            </w:r>
          </w:p>
        </w:tc>
        <w:tc>
          <w:tcPr>
            <w:tcW w:type="dxa" w:w="9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Betrag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</w:t>
            </w:r>
          </w:p>
        </w:tc>
        <w:tc>
          <w:tcPr>
            <w:tcW w:type="dxa" w:w="4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eingehende Beratung &gt; 20 Min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9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5</w:t>
            </w:r>
          </w:p>
        </w:tc>
        <w:tc>
          <w:tcPr>
            <w:tcW w:type="dxa" w:w="4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Symptombezogene Untersuchung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9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18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 269</w:t>
            </w:r>
          </w:p>
        </w:tc>
        <w:tc>
          <w:tcPr>
            <w:tcW w:type="dxa" w:w="4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andard"/>
              <w:bidi w:val="0"/>
              <w:spacing w:before="0" w:after="2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22"/>
                <w:szCs w:val="22"/>
                <w:u w:color="000000"/>
                <w:shd w:val="clear" w:color="auto" w:fill="ffffff"/>
                <w:rtl w:val="0"/>
                <w:lang w:val="de-DE"/>
                <w14:textFill>
                  <w14:solidFill>
                    <w14:srgbClr w14:val="222222"/>
                  </w14:solidFill>
                </w14:textFill>
              </w:rPr>
              <w:t xml:space="preserve">Analoge komplexe therapeutische Sitzung 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9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48</w:t>
            </w:r>
          </w:p>
        </w:tc>
      </w:tr>
      <w:tr>
        <w:tblPrEx>
          <w:shd w:val="clear" w:color="auto" w:fill="auto"/>
        </w:tblPrEx>
        <w:trPr>
          <w:trHeight w:val="440" w:hRule="atLeast"/>
        </w:trPr>
        <w:tc>
          <w:tcPr>
            <w:tcW w:type="dxa" w:w="6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 839</w:t>
            </w:r>
          </w:p>
        </w:tc>
        <w:tc>
          <w:tcPr>
            <w:tcW w:type="dxa" w:w="40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Frequenzbasierte Regulationsdiagnostik u. -therapie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9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94</w:t>
            </w:r>
          </w:p>
        </w:tc>
      </w:tr>
    </w:tbl>
    <w:p>
      <w:pPr>
        <w:pStyle w:val="Standard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Begr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ndung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f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r Analoge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: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Funktionsdiagnostik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und Anpassung der Therapie analog GO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:lang w:val="sv-SE"/>
          <w14:textFill>
            <w14:solidFill>
              <w14:srgbClr w14:val="222222"/>
            </w14:solidFill>
          </w14:textFill>
        </w:rPr>
        <w:t>Ä</w:t>
      </w:r>
    </w:p>
    <w:p>
      <w:pPr>
        <w:pStyle w:val="Standard"/>
        <w:bidi w:val="0"/>
        <w:spacing w:before="0" w:after="24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30"/>
          <w:szCs w:val="3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Frequenzbasierte Regulationsdiagnostik u. -therapie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                                          (Erstbehandlung onkologische Diagnose 690</w:t>
      </w:r>
      <w:r>
        <w:rPr>
          <w:rFonts w:ascii="Arial" w:hAnsi="Arial" w:hint="default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)</w:t>
      </w:r>
    </w:p>
    <w:tbl>
      <w:tblPr>
        <w:tblW w:w="71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88"/>
        <w:gridCol w:w="4960"/>
        <w:gridCol w:w="605"/>
        <w:gridCol w:w="907"/>
      </w:tblGrid>
      <w:tr>
        <w:tblPrEx>
          <w:shd w:val="clear" w:color="auto" w:fill="auto"/>
        </w:tblPrEx>
        <w:trPr>
          <w:trHeight w:val="440" w:hRule="atLeast"/>
        </w:trPr>
        <w:tc>
          <w:tcPr>
            <w:tcW w:type="dxa" w:w="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GO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Ä</w:t>
            </w:r>
          </w:p>
        </w:tc>
        <w:tc>
          <w:tcPr>
            <w:tcW w:type="dxa" w:w="4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Leistung</w:t>
            </w:r>
          </w:p>
        </w:tc>
        <w:tc>
          <w:tcPr>
            <w:tcW w:type="dxa" w:w="6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Faktor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Betrag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 31</w:t>
            </w:r>
          </w:p>
        </w:tc>
        <w:tc>
          <w:tcPr>
            <w:tcW w:type="dxa" w:w="4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Eingehende Beratung &gt; 20</w:t>
            </w:r>
            <w:r>
              <w:rPr>
                <w:rFonts w:ascii="Arial" w:hAnsi="Arial" w:hint="default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 </w:t>
            </w: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min</w:t>
            </w:r>
          </w:p>
        </w:tc>
        <w:tc>
          <w:tcPr>
            <w:tcW w:type="dxa" w:w="6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3,5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92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7</w:t>
            </w:r>
          </w:p>
        </w:tc>
        <w:tc>
          <w:tcPr>
            <w:tcW w:type="dxa" w:w="4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vollst</w:t>
            </w:r>
            <w:r>
              <w:rPr>
                <w:rFonts w:ascii="Arial" w:hAnsi="Arial" w:hint="default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ä</w:t>
            </w: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ndige Untersuchung mind. 1 Organsystem</w:t>
            </w:r>
          </w:p>
        </w:tc>
        <w:tc>
          <w:tcPr>
            <w:tcW w:type="dxa" w:w="6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34</w:t>
            </w:r>
          </w:p>
        </w:tc>
        <w:tc>
          <w:tcPr>
            <w:tcW w:type="dxa" w:w="4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andard"/>
              <w:bidi w:val="0"/>
              <w:spacing w:before="0" w:after="2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22"/>
                <w:szCs w:val="22"/>
                <w:u w:color="000000"/>
                <w:shd w:val="clear" w:color="auto" w:fill="ffffff"/>
                <w:rtl w:val="0"/>
                <w:lang w:val="de-DE"/>
                <w14:textFill>
                  <w14:solidFill>
                    <w14:srgbClr w14:val="222222"/>
                  </w14:solidFill>
                </w14:textFill>
              </w:rPr>
              <w:t>Er</w:t>
            </w:r>
            <w:r>
              <w:rPr>
                <w:rFonts w:ascii="Calibri" w:hAnsi="Calibri" w:hint="default"/>
                <w:outline w:val="0"/>
                <w:color w:val="222222"/>
                <w:sz w:val="22"/>
                <w:szCs w:val="22"/>
                <w:u w:color="000000"/>
                <w:shd w:val="clear" w:color="auto" w:fill="ffffff"/>
                <w:rtl w:val="0"/>
                <w:lang w:val="de-DE"/>
                <w14:textFill>
                  <w14:solidFill>
                    <w14:srgbClr w14:val="222222"/>
                  </w14:solidFill>
                </w14:textFill>
              </w:rPr>
              <w:t>ö</w:t>
            </w:r>
            <w:r>
              <w:rPr>
                <w:rFonts w:ascii="Calibri" w:hAnsi="Calibri"/>
                <w:outline w:val="0"/>
                <w:color w:val="222222"/>
                <w:sz w:val="22"/>
                <w:szCs w:val="22"/>
                <w:u w:color="000000"/>
                <w:shd w:val="clear" w:color="auto" w:fill="ffffff"/>
                <w:rtl w:val="0"/>
                <w:lang w:val="de-DE"/>
                <w14:textFill>
                  <w14:solidFill>
                    <w14:srgbClr w14:val="222222"/>
                  </w14:solidFill>
                </w14:textFill>
              </w:rPr>
              <w:t>rterung schwerwiegende Erkrankung</w:t>
            </w:r>
          </w:p>
        </w:tc>
        <w:tc>
          <w:tcPr>
            <w:tcW w:type="dxa" w:w="6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43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A 385 </w:t>
            </w:r>
          </w:p>
        </w:tc>
        <w:tc>
          <w:tcPr>
            <w:tcW w:type="dxa" w:w="4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 Bioenergetischer Test, analog GO</w:t>
            </w:r>
            <w:r>
              <w:rPr>
                <w:rFonts w:ascii="Arial" w:hAnsi="Arial" w:hint="default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Ä</w:t>
            </w: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, je Test 11,80 x 16</w:t>
            </w:r>
          </w:p>
        </w:tc>
        <w:tc>
          <w:tcPr>
            <w:tcW w:type="dxa" w:w="6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2,3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189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 839</w:t>
            </w:r>
          </w:p>
        </w:tc>
        <w:tc>
          <w:tcPr>
            <w:tcW w:type="dxa" w:w="4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Analoge apparative Regulationsdiagnostik</w:t>
            </w:r>
          </w:p>
        </w:tc>
        <w:tc>
          <w:tcPr>
            <w:tcW w:type="dxa" w:w="6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3,5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143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 269</w:t>
            </w:r>
          </w:p>
        </w:tc>
        <w:tc>
          <w:tcPr>
            <w:tcW w:type="dxa" w:w="4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Anpassung und Optimierung der Therapie</w:t>
            </w:r>
          </w:p>
        </w:tc>
        <w:tc>
          <w:tcPr>
            <w:tcW w:type="dxa" w:w="6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3,5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146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 60</w:t>
            </w:r>
          </w:p>
        </w:tc>
        <w:tc>
          <w:tcPr>
            <w:tcW w:type="dxa" w:w="4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0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rtl w:val="0"/>
                <w14:textFill>
                  <w14:solidFill>
                    <w14:srgbClr w14:val="222222"/>
                  </w14:solidFill>
                </w14:textFill>
              </w:rPr>
              <w:t>Analoge intensive Therapieplanung</w:t>
            </w:r>
          </w:p>
        </w:tc>
        <w:tc>
          <w:tcPr>
            <w:tcW w:type="dxa" w:w="6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3,5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222222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222222"/>
                  </w14:solidFill>
                </w14:textFill>
              </w:rPr>
              <w:t>45</w:t>
            </w:r>
          </w:p>
        </w:tc>
      </w:tr>
    </w:tbl>
    <w:p>
      <w:pPr>
        <w:pStyle w:val="Standard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0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0"/>
          <w:szCs w:val="20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Begr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ü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ndung: 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„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Erh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:lang w:val="sv-SE"/>
          <w14:textFill>
            <w14:solidFill>
              <w14:srgbClr w14:val="222222"/>
            </w14:solidFill>
          </w14:textFill>
        </w:rPr>
        <w:t>ö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hte Komplexit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ä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t durch Multisystemerkrankung und integrative Therapieplanung.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</w:p>
    <w:p>
      <w:pPr>
        <w:pStyle w:val="Standard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8"/>
          <w:szCs w:val="28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</w:p>
    <w:p>
      <w:pPr>
        <w:pStyle w:val="Standard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Frequenzbasierte Regulationsdiagnostik u. -therapie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(monatlich 295</w:t>
      </w:r>
      <w:r>
        <w:rPr>
          <w:rFonts w:ascii="Arial" w:hAnsi="Arial" w:hint="default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€</w:t>
      </w:r>
      <w:r>
        <w:rPr>
          <w:rFonts w:ascii="Arial" w:hAnsi="Arial"/>
          <w:b w:val="1"/>
          <w:bCs w:val="1"/>
          <w:outline w:val="0"/>
          <w:color w:val="222222"/>
          <w:sz w:val="26"/>
          <w:szCs w:val="26"/>
          <w:u w:color="000000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)</w:t>
      </w:r>
    </w:p>
    <w:tbl>
      <w:tblPr>
        <w:tblW w:w="699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35"/>
        <w:gridCol w:w="4227"/>
        <w:gridCol w:w="950"/>
        <w:gridCol w:w="108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GO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rtl w:val="0"/>
              </w:rPr>
              <w:t>Ä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Leistung</w:t>
            </w:r>
          </w:p>
        </w:tc>
        <w:tc>
          <w:tcPr>
            <w:tcW w:type="dxa" w:w="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Faktor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 xml:space="preserve">Betrag 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rtl w:val="0"/>
              </w:rPr>
              <w:t>Beratung</w:t>
            </w:r>
          </w:p>
        </w:tc>
        <w:tc>
          <w:tcPr>
            <w:tcW w:type="dxa" w:w="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2,3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rtl w:val="0"/>
              </w:rPr>
              <w:t>Symptombezogene Untersuchung</w:t>
            </w:r>
          </w:p>
        </w:tc>
        <w:tc>
          <w:tcPr>
            <w:tcW w:type="dxa" w:w="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2,3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16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70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rtl w:val="0"/>
              </w:rPr>
              <w:t>Dokumentation</w:t>
            </w:r>
          </w:p>
        </w:tc>
        <w:tc>
          <w:tcPr>
            <w:tcW w:type="dxa" w:w="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1,5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rtl w:val="0"/>
              </w:rPr>
              <w:t xml:space="preserve"> A 385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rtl w:val="0"/>
              </w:rPr>
              <w:t>Funktionsdiagnostik / Verlaufskontrolle</w:t>
            </w:r>
          </w:p>
        </w:tc>
        <w:tc>
          <w:tcPr>
            <w:tcW w:type="dxa" w:w="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2,3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</w:t>
            </w:r>
          </w:p>
        </w:tc>
      </w:tr>
      <w:tr>
        <w:tblPrEx>
          <w:shd w:val="clear" w:color="auto" w:fill="auto"/>
        </w:tblPrEx>
        <w:trPr>
          <w:trHeight w:val="440" w:hRule="atLeast"/>
        </w:trPr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rtl w:val="0"/>
              </w:rPr>
              <w:t xml:space="preserve"> A 839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rtl w:val="0"/>
              </w:rPr>
              <w:t>Frequenzbasierte Regulationsdiagnostik u. -therapie</w:t>
            </w:r>
          </w:p>
        </w:tc>
        <w:tc>
          <w:tcPr>
            <w:tcW w:type="dxa" w:w="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2,3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rtl w:val="0"/>
              </w:rPr>
              <w:t xml:space="preserve"> A 269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ellenstil 2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rtl w:val="0"/>
              </w:rPr>
              <w:t>Anpassung und Optimierung der Therapie</w:t>
            </w:r>
          </w:p>
        </w:tc>
        <w:tc>
          <w:tcPr>
            <w:tcW w:type="dxa" w:w="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2,3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88</w:t>
            </w:r>
          </w:p>
        </w:tc>
      </w:tr>
    </w:tbl>
    <w:p>
      <w:pPr>
        <w:pStyle w:val="Standard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Text"/>
        <w:bidi w:val="0"/>
        <w:spacing w:line="276" w:lineRule="auto"/>
        <w:ind w:left="0" w:right="0" w:firstLine="0"/>
        <w:jc w:val="left"/>
        <w:rPr>
          <w:rFonts w:ascii="Arial" w:cs="Arial" w:hAnsi="Arial" w:eastAsia="Arial"/>
          <w:sz w:val="20"/>
          <w:szCs w:val="20"/>
          <w:u w:color="2d3c4b"/>
          <w:rtl w:val="0"/>
        </w:rPr>
      </w:pPr>
    </w:p>
    <w:p>
      <w:pPr>
        <w:pStyle w:val="Text"/>
        <w:bidi w:val="0"/>
        <w:spacing w:line="276" w:lineRule="auto"/>
        <w:ind w:left="0" w:right="0" w:firstLine="0"/>
        <w:jc w:val="left"/>
        <w:rPr>
          <w:rFonts w:ascii="Arial" w:cs="Arial" w:hAnsi="Arial" w:eastAsia="Arial"/>
          <w:sz w:val="20"/>
          <w:szCs w:val="20"/>
          <w:u w:color="2d3c4b"/>
          <w:rtl w:val="0"/>
        </w:rPr>
      </w:pPr>
      <w:r>
        <w:rPr>
          <w:rFonts w:ascii="Arial" w:hAnsi="Arial"/>
          <w:sz w:val="20"/>
          <w:szCs w:val="20"/>
          <w:u w:color="2d3c4b"/>
          <w:rtl w:val="0"/>
          <w:lang w:val="de-DE"/>
        </w:rPr>
        <w:t>Begr</w:t>
      </w:r>
      <w:r>
        <w:rPr>
          <w:rFonts w:ascii="Arial" w:hAnsi="Arial" w:hint="default"/>
          <w:sz w:val="20"/>
          <w:szCs w:val="20"/>
          <w:u w:color="2d3c4b"/>
          <w:rtl w:val="0"/>
        </w:rPr>
        <w:t>ü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 xml:space="preserve">ndung: </w:t>
      </w:r>
      <w:r>
        <w:rPr>
          <w:rFonts w:ascii="Arial" w:hAnsi="Arial" w:hint="default"/>
          <w:sz w:val="20"/>
          <w:szCs w:val="20"/>
          <w:u w:color="2d3c4b"/>
          <w:rtl w:val="0"/>
        </w:rPr>
        <w:t>„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 xml:space="preserve">Monatliche Betreuung 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 xml:space="preserve">komplex 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 xml:space="preserve">chronisch 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>kranker</w:t>
      </w:r>
      <w:r>
        <w:rPr>
          <w:rFonts w:ascii="Arial" w:hAnsi="Arial"/>
          <w:sz w:val="20"/>
          <w:szCs w:val="20"/>
          <w:u w:color="2d3c4b"/>
          <w:rtl w:val="0"/>
          <w:lang w:val="de-DE"/>
        </w:rPr>
        <w:t xml:space="preserve"> Patienten </w:t>
      </w:r>
    </w:p>
    <w:p>
      <w:pPr>
        <w:pStyle w:val="Text"/>
        <w:bidi w:val="0"/>
        <w:spacing w:line="276" w:lineRule="auto"/>
        <w:ind w:left="0" w:right="0" w:firstLine="0"/>
        <w:jc w:val="left"/>
        <w:rPr>
          <w:rtl w:val="0"/>
        </w:rPr>
      </w:pPr>
      <w:r>
        <w:rPr>
          <w:rFonts w:ascii="Arial" w:hAnsi="Arial"/>
          <w:sz w:val="20"/>
          <w:szCs w:val="20"/>
          <w:u w:color="2d3c4b"/>
          <w:rtl w:val="0"/>
          <w:lang w:val="de-DE"/>
        </w:rPr>
        <w:t>inkl. Funktionsdiagnostik, apparativer Kontrolle und Therapiekorrektur.</w:t>
      </w:r>
      <w:r>
        <w:rPr>
          <w:rFonts w:ascii="Arial" w:hAnsi="Arial" w:hint="default"/>
          <w:sz w:val="20"/>
          <w:szCs w:val="20"/>
          <w:u w:color="2d3c4b"/>
          <w:rtl w:val="0"/>
          <w:lang w:val="de-DE"/>
        </w:rPr>
        <w:t>“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kt"/>
  </w:abstractNum>
  <w:abstractNum w:abstractNumId="1">
    <w:multiLevelType w:val="hybridMultilevel"/>
    <w:styleLink w:val="Punk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Punkt">
    <w:name w:val="Punkt"/>
    <w:pPr>
      <w:numPr>
        <w:numId w:val="1"/>
      </w:numPr>
    </w:p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ellenstil 2">
    <w:name w:val="Tabellenstil 2"/>
    <w:next w:val="Tabellenstil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