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REFERENCIAS — MÓDULO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Respaldo científico de Excel_3_Tests_Profesionales.xlsx y Excel_4_Interpretacion_y_Planes.xlsx — TDAH, Dislexia y Discalculia</w:t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Propósito de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Este documento respalda la parte profesional de la herramienta: la carga de resultados de tests estandarizados por parte del psicólogo escolar, la interpretación automática que hace el sistema y el plan de intervención educativa en tres bloques (profesional, padres y escuela/institución), incluidas las técnicas de orientación cognitivo-conductual (TCC) usadas para redactar cada sugerencia.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Nota metodológica para Bolivia y América Latina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Ningún instrumento de este listado cuenta con baremos propios de Bolivia; se priorizaron pruebas en español o validadas en poblaciones hispanohablantes, marcando siempre que los puntos de corte deben revisarse localmente.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 recomienda un esquema de tres capas por categoría: (1) un test de síntomas o rendimiento, (2) un test de afectación funcional, y (3) un test de perfil cognitivo o académico más amplio.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 TDAH conviene tener presente el sesgo cultural en la percepción de la hiperactividad al comparar reportes de docentes y de padres.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 dislexia y discalculia, cuando el estudiante tiene el castellano como segunda lengua o escolaridad irregular, se prioriza la evaluación dinámica para no confundir barrera lingüística o escolar con dificultad de aprendizaje.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Todo resultado es una hipótesis de necesidad educativa para apoyar la decisión del profesional; nunca un diagnóstico automático.</w:t>
      </w:r>
    </w:p>
    <w:p w:rsidR="00000000" w:rsidDel="00000000" w:rsidP="00000000" w:rsidRDefault="00000000" w:rsidRPr="00000000" w14:paraId="0000000B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Referencias de los tests profesionales (Excel_3)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TDAH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Ramirez, C., Schatz, N. K., Fernandez, O., Phillips, B. M., Lonigan, C., Fabiano, G. A., &amp; Gallo, R. F.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Psychometric Evaluation of the Spanish Translation of the Disruptive-Behavior Disorder Rating Scale.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Attention Disorders, 30, 1163–1177.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10.1177/10870547261438171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Evalúa una traducción al español de una escala de conducta disruptiva con buen soporte psicométrico, base para priorizar instrumentos en español en el listado de tests de TDAH.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Wolraich, M., Lambert, W., Doffing, M. A., Bickman, L., Simmons, T., &amp; Worley, K. (2003).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Psychometric properties of the Vanderbilt ADHD diagnostic parent rating scale in a referred población.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Pediatric Psychology, 28(8), 559–567.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10.1093/jpepsy/jsg046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Sustenta el uso de la escala Vanderbilt, que combina síntomas con una medida de desempeño (impairment) en varias áreas.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Bard, D. E., Wolraich, M., Neas, B., Doffing, M. A., &amp; Beck, L. (2013).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Psychometric Properties of the Vanderbilt Attention-Deficit Hyperactivity Disorder Diagnostic Parent Rating Scale in a Community Population.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Developmental &amp; Behavioral Pediatrics, 34, 72–82.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10.1097/dbp.0b013e31827a3a22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Aporta datos de sensibilidad y especificidad de la escala Vanderbilt en una muestra comunitaria amplia.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Morales-Hidalgo, P., Hernández-Martínez, C., Vera, M., Voltas, N., &amp; Canals, J. (2016).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Psychometric properties of the Conners-3 and Conners Early Childhood Indexes in a Spanish school population.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Journal of Clinical and Health Psychology, 17, 85–96.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10.1016/j.ijchp.2016.07.003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 los índices de Conners-3 y Conners EC en una población escolar española, respaldando su uso como perfil dimensional con seguimiento longitudinal.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Navarro-Soria, I., Molina-Torres, J., Healey, D., &amp; Costa-López, B.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Spanish adaptation and psychometric evidence of the teacher-report version of the Children's Problems Checklist.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Cogent Psychology, 12.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10.1080/23311908.2025.2571276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Aporta una adaptación en español para medir la afectación funcional (impairment) asociada a síntomas de TDAH desde la mirada docente, base del CPC/IRS.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Conesa, P.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Validation and reliability of The Childhood Executive Function Inventory (CHEXI) in Spanish primary school students.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Revista de Psicología Clínica con Niños y Adolescentes.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10.21134/rpcna.2023.10.3.6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 el CHEXI en estudiantes de primaria de habla hispana, instrumento breve de memoria de trabajo e inhibición.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Nuñez, A.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Addressing Disparities in Cross-Cultural Neuropsychological Assessment.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(recurso académico).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10.34917/22110083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Discute cómo adaptar la evaluación neuropsicológica (incluido el WISC) a contextos culturales y lingüísticos distintos al de la norma original, relevante para su uso en Bolivia.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 Dislexia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Ramos-Carrillo, J. M., &amp; Moreno-Pérez, F. J.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Detecting reading difficulties in Spanish in older elementary students in the context of the Response to Intervention model.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Dyslexia.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10.1002/dys.1755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Respalda el uso del PROLEC-R con puntos de corte dentro de un modelo de respuesta a la intervención, en lugar de una etiqueta diagnóstica única.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Jiménez, J. E., García, E., &amp; Balade, J.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Advancing Dyslexia Assessment in Children through Computerized Testing.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Visualized Experiments, 210.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10.3791/67031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Describe la aplicación computarizada de baterías como Sicole-R para obtener un perfil cognitivo lector amplio, útil para planes individualizados.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Moreno Jusdado, D., Ramos Alía, J. F., &amp; De Miguel, C. R.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Escala para la Detección de la Dislexia (EDDIX) en Educación Primaria. Elaboración y validación.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 Siglo XXI.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10.6018/educatio.605491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Presenta la elaboración y validación de EDDIX como cribado docente rápido y fiable en primaria.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Cabañas-Tinajero, J.-Á., Prieto-Corona, B., Rodríguez-Camacho, M., Yáñez-Téllez, G., Flores-Macías, R., &amp; Ricardo-Garcell, J.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Cognitive deficits in Spanish-speaking Mexican children with developmental dyslexia.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Neuropsychology.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10.1037/neu0001035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Documenta déficits cognitivos, incluida la nominación rápida (RAN), en niños hispanohablantes con dislexia del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Outón, P., &amp; Ferraces, M.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Rapid serial naming: Developmental trajectory and relationship with the Bangor Dyslexia Test in Spanish students.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Dyslexia.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10.1002/dys.1683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Muestra la relación entre la nominación rápida (RAN) y el Bangor Dyslexia Test en estudiantes españoles, respaldando su uso combinado.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Rello, L., Baeza-Yates, R., Ali, A., Bigham, J. P., &amp; Serra, M.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Predicting risk of dyslexia with an online gamified test.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PLoS ONE, 15.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10.1371/journal.pone.0241687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 un test gamificado en línea como cribado masivo de riesgo de dislexia, útil para priorizar casos antes de una evaluación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3.3 Discalculia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Rodríguez, C., Jiménez, J. E., De León, S. C., &amp; Marco, I.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Multimedia Battery for Assessment of Cognitive and Basic Skills in Mathematics (BM-PROMA).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Visualized Experiments, 174.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10.3791/62288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Presenta el BM-PROMA como batería multimedia validada en español para un perfil amplio de habilidades matemáticas básicas y cognición numérica.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Jiménez, J. E., García, E., Gutiérrez, N., &amp; Gil, V.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Universal Screening in Mathematics for Spanish Students in First Grade.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Disability Quarterly, 44, 123–135.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10.1177/0731948720903273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Respalda el uso de IPAM como cribado curricular ligado al primer grado en estudiantes de habla hispana.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Jiménez, J. E., &amp; García, E.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Universal Screening of Early Numeracy Skills in Spanish-Speaking Kindergarteners.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Learning Disabilities.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10.1177/00222194261453919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Aporta evidencia de validez predictiva de medidas breves basadas en currículo (CBM Numeracy) desde el nivel de kínder.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Cho, E., Fuchs, L., Seethaler, P. M., Fuchs, D., &amp; Compton, D. L.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Dynamic Assessment for Identifying Spanish-Speaking English Learners' Risk for Mathematics Disabilities: Does Language of Administration Matter?.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Learning Disabilities, 53, 380–398.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10.1177/0022219419898887</w:t>
      </w:r>
    </w:p>
    <w:p w:rsidR="00000000" w:rsidDel="00000000" w:rsidP="00000000" w:rsidRDefault="00000000" w:rsidRPr="00000000" w14:paraId="0000003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Muestra que la evaluación dinámica ayuda a distinguir la dificultad matemática real de la barrera lingüística en estudiantes bilingües, clave para el contexto boliviano.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Larrain, M., Navarro, M., &amp; Pezoa, J.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Development and psychometric validity evidence of a curriculum-based and adaptive mathematics assessment tool.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 in Education: Principles, Policy &amp; Practice, 33, 285–305.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10.1080/0969594x.2026.2689693</w:t>
      </w:r>
    </w:p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Respalda el uso de una herramienta adaptativa basada en currículo para decisiones formativas por área matemática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Referencias de la lógica de interpretación (Excel_4)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Estas referencias sustentan las hojas Reglas_Generales y Perfiles_Interpretacion: cómo transformar puntajes en un perfil de necesidad educativa sin convertirlo en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Fabiano, G., &amp; Massetti, G. M. (2005).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Evidence-Based Assessment of Attention Deficit Hyperactivity Disorder in Children and Adolescents.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Clinical Child &amp; Adolescent Psychology, 34, 449–476.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10.1207/s15374424jccp3403_5</w:t>
      </w:r>
    </w:p>
    <w:p w:rsidR="00000000" w:rsidDel="00000000" w:rsidP="00000000" w:rsidRDefault="00000000" w:rsidRPr="00000000" w14:paraId="0000003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Marco central que sustenta que la evaluación de TDAH debe basarse en múltiples fuentes, medidas de deterioro y selección de conductas objetivo, no en un solo puntaje.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Attention-Deficit, S. O., &amp; Disorder, H. (2000).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Clinical practice guideline: diagnosis and evaluation of the child with attention-deficit/hyperactivity disorder.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Pediatrics (American Academy of Pediatrics), 105(5), 1158–1170.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10.1542/peds.105.5.1158</w:t>
      </w:r>
    </w:p>
    <w:p w:rsidR="00000000" w:rsidDel="00000000" w:rsidP="00000000" w:rsidRDefault="00000000" w:rsidRPr="00000000" w14:paraId="0000003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Guía clínica clásica que recomienda combinar informantes y contextos antes de considerar un perfil de TDAH marcado.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Pappas, D. N. (2006).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ADHD Rating Scale-IV: Checklists, Norms, and Clinical Interpretation.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Psychoeducational Assessment, 24, 172–178.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10.1177/0734282905285792</w:t>
      </w:r>
    </w:p>
    <w:p w:rsidR="00000000" w:rsidDel="00000000" w:rsidP="00000000" w:rsidRDefault="00000000" w:rsidRPr="00000000" w14:paraId="0000003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Describe cómo un manual de escala aporta hojas de puntuación, percentiles y subescalas claras, modelo para los 'manuales resumidos'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Tan, J., Yi, W., Shen, J., Peng, B., Gong, M. N., Li, F., &amp; Chen, L.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Impact of online health education on attention-deficit/hyperactivity disorder screening results and parenting stress among school-aged children.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Frontiers in Psychiatry, 16.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10.3389/fpsyt.2025.1522263</w:t>
      </w:r>
    </w:p>
    <w:p w:rsidR="00000000" w:rsidDel="00000000" w:rsidP="00000000" w:rsidRDefault="00000000" w:rsidRPr="00000000" w14:paraId="0000003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Sustenta el criterio de valorar síntomas junto con afectación funcional (p. ej. 6 de 9 síntomas más deterioro) al interpretar escalas como Vanderbilt.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Holden, C., Kirby, P., Snowling, M., Thompson, P., &amp; Carroll, J.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Towards a Consensus for Dyslexia Practice: Findings of a Delphi Study on Assessment and Identification.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Dyslexia, 31.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10.1002/dys.1800</w:t>
      </w:r>
    </w:p>
    <w:p w:rsidR="00000000" w:rsidDel="00000000" w:rsidP="00000000" w:rsidRDefault="00000000" w:rsidRPr="00000000" w14:paraId="0000003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Estudio Delphi que muestra la diversidad de modelos de identificación de dislexia y la necesidad de combinar test, historia y respuesta a la intervención.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Kuo, N.-C., Wahl, H., McKinney, W., Thompson, M., Roberson, N., Mattison, T., &amp; Ray, M.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Assessing students with dyslexia and other reading difficulties through multiple diagnostic assessments.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Dyslexia, 30(3), e1777.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10.1002/dys.1777</w:t>
      </w:r>
    </w:p>
    <w:p w:rsidR="00000000" w:rsidDel="00000000" w:rsidP="00000000" w:rsidRDefault="00000000" w:rsidRPr="00000000" w14:paraId="0000004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Recomienda usar múltiples evaluaciones diagnósticas en dislexia y estructurar los resultados como un perfil de fortalezas y debilidades por dominio.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Elbeheri, G., &amp; Tridas, E. Q. (2022).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Assessing Dyslexia.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(capítulo/obra de referencia).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10.4324/9781003212058</w:t>
      </w:r>
    </w:p>
    <w:p w:rsidR="00000000" w:rsidDel="00000000" w:rsidP="00000000" w:rsidRDefault="00000000" w:rsidRPr="00000000" w14:paraId="0000004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Obra de referencia sobre evaluación de dislexia que respalda el enfoque de perfil por dominios (fonología, decodificación, fluidez, comprensión).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Nihaya, K., Sabila, N. S., Lestari, P., Fadhilah, N., &amp; Malagola, Y.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Assessing dyslexia: a teacher's guide to understanding and evaluating their pupils' needs.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 3-13, 54, 1267–1269.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10.1080/03004279.2023.2291510</w:t>
      </w:r>
    </w:p>
    <w:p w:rsidR="00000000" w:rsidDel="00000000" w:rsidP="00000000" w:rsidRDefault="00000000" w:rsidRPr="00000000" w14:paraId="0000004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Guía docente que respalda el rol del profesional escolar en traducir resultados de evaluación en necesidades educativas concretas.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Haberstroh, S.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Diagnosis and Treatment of Dyscalculia.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Deutsches Ärzteblatt International, 116(7), 107–114.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10.3238/arztebl.2019.0107</w:t>
      </w:r>
    </w:p>
    <w:p w:rsidR="00000000" w:rsidDel="00000000" w:rsidP="00000000" w:rsidRDefault="00000000" w:rsidRPr="00000000" w14:paraId="0000004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Revisión clínica que sustenta el enfoque de perfil por proceso (sentido numérico, cálculo, razonamiento) en discalculia, en vez de una puntuación global única.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Reeve, R., &amp; Waldecker, C. (2017).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Evidence-Based Assessment and Intervention for Dyscalculia and Maths Disabilities in School Psychology.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(capítulo, pp. 197–213).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10.1007/978-3-319-45166-4_10</w:t>
      </w:r>
    </w:p>
    <w:p w:rsidR="00000000" w:rsidDel="00000000" w:rsidP="00000000" w:rsidRDefault="00000000" w:rsidRPr="00000000" w14:paraId="0000004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Capítulo que sustenta la evaluación e intervención en discalculia dentro del marco de psicología escolar, incluida la técnica de autorregistro de progreso.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Noël, M.-P., &amp; Karagiannakis, G. (2022).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Effective Teaching Strategies for Dyscalculia and Learning Difficulties in Mathematics.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(obra de referencia).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10.4324/b22795</w:t>
      </w:r>
    </w:p>
    <w:p w:rsidR="00000000" w:rsidDel="00000000" w:rsidP="00000000" w:rsidRDefault="00000000" w:rsidRPr="00000000" w14:paraId="0000004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Compendio de estrategias efectivas de enseñanza para discalculia, base de las técnicas de razonamiento matemático y manejo de la ansiedad matemática.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Referencias del plan de intervención y las herramientas TCC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Estas referencias respaldan la hoja Herramientas_TCC y las columnas plan_profesional / plan_padres / plan_escuela_institucion de Perfiles_Interpretacion.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Dahl, V., Ramakrishnan, A., Spears, A., Jorge, A., Lu, J., Bigio, N. A., &amp; Chacko, A.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Psychoeducation Interventions for Parents and Teachers of Children and Adolescents with ADHD: a Systematic Review of the Literature.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Developmental and Physical Disabilities, 32, 257–292.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10.1007/s10882-019-09691-3</w:t>
      </w:r>
    </w:p>
    <w:p w:rsidR="00000000" w:rsidDel="00000000" w:rsidP="00000000" w:rsidRDefault="00000000" w:rsidRPr="00000000" w14:paraId="0000004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Revisión sistemática que respalda la psicoeducación a padres y docentes como componente central del plan de intervención en TDAH.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Hosseinnia, M., Mazaheri, M., &amp; Heydari, Z.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Educational intervention of parents and teachers for children with attention deficit hyperactivity disorder.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Education and Health Promotion, 13.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10.4103/jehp.jehp_1816_22</w:t>
      </w:r>
    </w:p>
    <w:p w:rsidR="00000000" w:rsidDel="00000000" w:rsidP="00000000" w:rsidRDefault="00000000" w:rsidRPr="00000000" w14:paraId="0000005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Sustenta la intervención educativa conjunta de padres y docentes, incluido el uso de consecuencias naturales leves en vez de castigo.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Brown-Chidsey, R., Scott, A. N., Hauerwas, L., &amp; Nalls, A. J.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Understanding Dyslexia Guidance for Parents and Teachers: A Review of States' Handbooks.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Disabilities Research &amp; Practice, 39, 146–161.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10.1177/09388982241245483</w:t>
      </w:r>
    </w:p>
    <w:p w:rsidR="00000000" w:rsidDel="00000000" w:rsidP="00000000" w:rsidRDefault="00000000" w:rsidRPr="00000000" w14:paraId="0000005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Revisión de guías oficiales para padres y docentes sobre dislexia, base de las sugerencias de instrucción fonológica explícita.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Azhari, B., Johar, R., Ramadhani, E., Mailizar, M., &amp; Safrina, K.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Mathematics Learning Model for Children with Dyscalculia through Special Intervention.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Jurnal Ilmiah Peuradeun.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10.26811/peuradeun.v12i3.1528</w:t>
      </w:r>
    </w:p>
    <w:p w:rsidR="00000000" w:rsidDel="00000000" w:rsidP="00000000" w:rsidRDefault="00000000" w:rsidRPr="00000000" w14:paraId="0000005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Propone y evalúa un modelo de intervención matemática especial para discalculia, respaldando el enfoque CRA y el andamiaje progresivo.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Apostolidou, M.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Dyscalculia and intervention tools.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GSC Advanced Research and Reviews.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10.30574/gscarr.2025.22.3.0092</w:t>
      </w:r>
    </w:p>
    <w:p w:rsidR="00000000" w:rsidDel="00000000" w:rsidP="00000000" w:rsidRDefault="00000000" w:rsidRPr="00000000" w14:paraId="0000005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Revisa herramientas de intervención disponibles para discalculia, apoyando un plan sostenido en el tiempo y dirigido al dominio alterado.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Cómo se conecta cada pieza</w:t>
      </w: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80"/>
        <w:gridCol w:w="2940"/>
        <w:gridCol w:w="3795"/>
        <w:tblGridChange w:id="0">
          <w:tblGrid>
            <w:gridCol w:w="3480"/>
            <w:gridCol w:w="2940"/>
            <w:gridCol w:w="3795"/>
          </w:tblGrid>
        </w:tblGridChange>
      </w:tblGrid>
      <w:tr>
        <w:trPr>
          <w:cantSplit w:val="0"/>
          <w:tblHeader w:val="1"/>
        </w:trPr>
        <w:tc>
          <w:tcPr>
            <w:shd w:fill="5c2e4a" w:val="clea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c2e4a" w:val="clea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c2e4a" w:val="clea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 apoya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Excel_3_Tests_Profesionales.xlsx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profesional registra qué test aplicó y carga sus variables.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Sección 3 (tests validados en español / Latinoamérica).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Excel_4_Interpretacion_y_Planes.xlsx — Reglas_Generales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cuándo un resultado es preliminar y qué advertencias mostrar.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Sección 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Excel_4_Interpretacion_y_Planes.xlsx — Perfiles_Interpretacion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Traduce los datos cargados en un perfil de necesidad educativa.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Sección 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Excel_4_Interpretacion_y_Planes.xlsx — Herramientas_TCC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Provee las técnicas concretas que se sugieren en cada plan.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Sección 5.</w:t>
            </w:r>
          </w:p>
        </w:tc>
      </w:tr>
    </w:tbl>
    <w:p w:rsidR="00000000" w:rsidDel="00000000" w:rsidP="00000000" w:rsidRDefault="00000000" w:rsidRPr="00000000" w14:paraId="00000067">
      <w:pPr>
        <w:spacing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Nota final: este documento complementa —no reemplaza— a Documento_Referencias.docx (banco de preguntas de tamizaje inicial). Juntos cubren las dos capas de la herramienta: el tamizaje inicial para docentes/padres y el módulo profesional para el psicólogo escolar.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Página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Módulo profesional — TDAH / Dislexia / Discalculia (Bolivia)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r5sRK76ag7pGOQeLHWt24/rdEw==">CgMxLjA4AHIhMUJBc1ZxNzVGOUhSakFlaXF5V3BncVRGYXVxSk1hMnMw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2026-09-15T00:49:59.418Z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