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3516A63A" w14:textId="0F794C85" w:rsidR="00422CEE" w:rsidRPr="00A45F69" w:rsidRDefault="00422CEE" w:rsidP="00B85EF8">
      <w:pPr>
        <w:pStyle w:val="NOMEAUTOR"/>
        <w:rPr>
          <w:color w:val="000000"/>
        </w:rPr>
      </w:pPr>
      <w:r w:rsidRPr="00A45F69">
        <w:rPr>
          <w:color w:val="000000"/>
        </w:rPr>
        <w:t>VISUALIZADOR PARA</w:t>
      </w:r>
      <w:r w:rsidR="00F864C1">
        <w:rPr>
          <w:color w:val="000000"/>
        </w:rPr>
        <w:t xml:space="preserve"> REGRAS DE ASSOCIAÇÃO</w:t>
      </w:r>
      <w:r w:rsidR="00204197">
        <w:rPr>
          <w:color w:val="000000"/>
        </w:rPr>
        <w:t>:</w:t>
      </w:r>
      <w:r w:rsidR="00F864C1">
        <w:rPr>
          <w:color w:val="000000"/>
        </w:rPr>
        <w:t xml:space="preserve"> </w:t>
      </w:r>
      <w:r w:rsidR="00204197">
        <w:rPr>
          <w:color w:val="000000"/>
        </w:rPr>
        <w:t xml:space="preserve">BASE DE </w:t>
      </w:r>
      <w:r w:rsidR="00204197">
        <w:rPr>
          <w:color w:val="000000"/>
        </w:rPr>
        <w:br/>
      </w:r>
      <w:r w:rsidRPr="00A45F69">
        <w:rPr>
          <w:color w:val="000000"/>
        </w:rPr>
        <w:t>DADOS DE MÚLTIPLA ESCOLHA</w:t>
      </w:r>
      <w:r w:rsidR="00204197">
        <w:rPr>
          <w:color w:val="000000"/>
        </w:rPr>
        <w:t xml:space="preserve"> </w:t>
      </w:r>
      <w:r w:rsidRPr="00A45F69">
        <w:rPr>
          <w:color w:val="000000"/>
        </w:rPr>
        <w:t xml:space="preserve">COM MAPEAMENTO DO </w:t>
      </w:r>
      <w:r w:rsidR="00204197">
        <w:rPr>
          <w:color w:val="000000"/>
        </w:rPr>
        <w:br/>
      </w:r>
      <w:r w:rsidRPr="00A45F69">
        <w:rPr>
          <w:color w:val="000000"/>
        </w:rPr>
        <w:t>DUAL SCALING</w:t>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6541A133" w:rsidR="00B916E6" w:rsidRDefault="00B916E6" w:rsidP="00B85EF8">
      <w:pPr>
        <w:pStyle w:val="NOMEAUTOR"/>
      </w:pPr>
    </w:p>
    <w:p w14:paraId="21D213CC" w14:textId="59C5B427" w:rsidR="00204197" w:rsidRDefault="00204197" w:rsidP="00B85EF8">
      <w:pPr>
        <w:pStyle w:val="NOMEAUTOR"/>
      </w:pPr>
    </w:p>
    <w:p w14:paraId="1A16ED42" w14:textId="6DE19977" w:rsidR="00204197" w:rsidRDefault="00204197"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521D8EB6" w14:textId="77777777" w:rsidR="00204197" w:rsidRPr="00A45F69" w:rsidRDefault="00204197" w:rsidP="00204197">
      <w:pPr>
        <w:pStyle w:val="NOMEAUTOR"/>
        <w:rPr>
          <w:color w:val="000000"/>
        </w:rPr>
      </w:pPr>
      <w:r w:rsidRPr="00A45F69">
        <w:rPr>
          <w:color w:val="000000"/>
        </w:rPr>
        <w:t>VISUALIZADOR PARA</w:t>
      </w:r>
      <w:r>
        <w:rPr>
          <w:color w:val="000000"/>
        </w:rPr>
        <w:t xml:space="preserve"> REGRAS DE ASSOCIAÇÃO: BASE DE </w:t>
      </w:r>
      <w:r>
        <w:rPr>
          <w:color w:val="000000"/>
        </w:rPr>
        <w:br/>
      </w:r>
      <w:r w:rsidRPr="00A45F69">
        <w:rPr>
          <w:color w:val="000000"/>
        </w:rPr>
        <w:t>DADOS DE MÚLTIPLA ESCOLHA</w:t>
      </w:r>
      <w:r>
        <w:rPr>
          <w:color w:val="000000"/>
        </w:rPr>
        <w:t xml:space="preserve"> </w:t>
      </w:r>
      <w:r w:rsidRPr="00A45F69">
        <w:rPr>
          <w:color w:val="000000"/>
        </w:rPr>
        <w:t xml:space="preserve">COM MAPEAMENTO DO </w:t>
      </w:r>
      <w:r>
        <w:rPr>
          <w:color w:val="000000"/>
        </w:rPr>
        <w:br/>
      </w:r>
      <w:r w:rsidRPr="00A45F69">
        <w:rPr>
          <w:color w:val="000000"/>
        </w:rPr>
        <w:t>DUAL SCALING</w:t>
      </w:r>
    </w:p>
    <w:p w14:paraId="0EAEA495" w14:textId="49A4CB71" w:rsidR="00422CEE" w:rsidRPr="00422CEE" w:rsidRDefault="00422CEE" w:rsidP="00F864C1">
      <w:pPr>
        <w:pStyle w:val="NOMEAUTOR"/>
        <w:rPr>
          <w:color w:val="000000"/>
        </w:rPr>
      </w:pP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008CE622" w14:textId="77777777" w:rsidR="00204197" w:rsidRPr="00A45F69" w:rsidRDefault="00204197" w:rsidP="00204197">
      <w:pPr>
        <w:pStyle w:val="NOMEAUTOR"/>
        <w:rPr>
          <w:color w:val="000000"/>
        </w:rPr>
      </w:pPr>
      <w:r w:rsidRPr="00A45F69">
        <w:rPr>
          <w:color w:val="000000"/>
        </w:rPr>
        <w:t>VISUALIZADOR PARA</w:t>
      </w:r>
      <w:r>
        <w:rPr>
          <w:color w:val="000000"/>
        </w:rPr>
        <w:t xml:space="preserve"> REGRAS DE ASSOCIAÇÃO: BASE DE </w:t>
      </w:r>
      <w:r>
        <w:rPr>
          <w:color w:val="000000"/>
        </w:rPr>
        <w:br/>
      </w:r>
      <w:r w:rsidRPr="00A45F69">
        <w:rPr>
          <w:color w:val="000000"/>
        </w:rPr>
        <w:t>DADOS DE MÚLTIPLA ESCOLHA</w:t>
      </w:r>
      <w:r>
        <w:rPr>
          <w:color w:val="000000"/>
        </w:rPr>
        <w:t xml:space="preserve"> </w:t>
      </w:r>
      <w:r w:rsidRPr="00A45F69">
        <w:rPr>
          <w:color w:val="000000"/>
        </w:rPr>
        <w:t xml:space="preserve">COM MAPEAMENTO DO </w:t>
      </w:r>
      <w:r>
        <w:rPr>
          <w:color w:val="000000"/>
        </w:rPr>
        <w:br/>
      </w:r>
      <w:r w:rsidRPr="00A45F69">
        <w:rPr>
          <w:color w:val="000000"/>
        </w:rPr>
        <w:t>DUAL SCALING</w:t>
      </w:r>
    </w:p>
    <w:p w14:paraId="43C5B648" w14:textId="12BEF823" w:rsidR="00B916E6" w:rsidRDefault="00B916E6">
      <w:pPr>
        <w:pStyle w:val="NOMEAUTOR"/>
      </w:pPr>
    </w:p>
    <w:p w14:paraId="43420F96" w14:textId="77777777" w:rsidR="00204197" w:rsidRDefault="00204197">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5240E3BD" w:rsidR="008177D2" w:rsidRDefault="00983EF0" w:rsidP="008177D2">
      <w:pPr>
        <w:jc w:val="center"/>
      </w:pPr>
      <w:r>
        <w:t>Niterói</w:t>
      </w:r>
      <w:r w:rsidR="008177D2">
        <w:t>,</w:t>
      </w:r>
      <w:r w:rsidR="006479A4">
        <w:t xml:space="preserve"> </w:t>
      </w:r>
      <w:r w:rsidR="00697896">
        <w:t>20</w:t>
      </w:r>
      <w:r w:rsidR="006479A4">
        <w:t xml:space="preserve"> de </w:t>
      </w:r>
      <w:r w:rsidR="00697896">
        <w:t>junho</w:t>
      </w:r>
      <w:r w:rsidR="006479A4">
        <w:t xml:space="preserve"> de </w:t>
      </w:r>
      <w:r w:rsidR="00265230" w:rsidRPr="00666181">
        <w:rPr>
          <w:color w:val="000000"/>
        </w:rPr>
        <w:t>2019</w:t>
      </w:r>
      <w:r w:rsidR="008177D2">
        <w:t>.</w:t>
      </w:r>
    </w:p>
    <w:p w14:paraId="0E7EAD2F" w14:textId="77777777" w:rsidR="00204197" w:rsidRDefault="00204197" w:rsidP="008177D2">
      <w:pPr>
        <w:jc w:val="center"/>
      </w:pP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r>
        <w:t>_________________________________________</w:t>
      </w:r>
    </w:p>
    <w:p w14:paraId="0300E65A" w14:textId="30E97392" w:rsidR="00B916E6" w:rsidRDefault="00B916E6" w:rsidP="002739BA">
      <w:pPr>
        <w:jc w:val="center"/>
      </w:pPr>
      <w:r>
        <w:t xml:space="preserve">Prof. </w:t>
      </w:r>
      <w:r w:rsidR="00265230">
        <w:t xml:space="preserve">Altobelli de Brito </w:t>
      </w:r>
      <w:proofErr w:type="spellStart"/>
      <w:r w:rsidR="00265230">
        <w:t>Mantuan</w:t>
      </w:r>
      <w:proofErr w:type="spellEnd"/>
      <w:r w:rsidR="00983EF0">
        <w:t xml:space="preserve">, </w:t>
      </w:r>
      <w:proofErr w:type="spellStart"/>
      <w:r w:rsidR="00697896">
        <w:t>MSc</w:t>
      </w:r>
      <w:proofErr w:type="spellEnd"/>
      <w:r w:rsidR="00697896">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20B384D9" w:rsidR="002739BA" w:rsidRDefault="002739BA" w:rsidP="002739BA">
      <w:pPr>
        <w:jc w:val="center"/>
      </w:pPr>
      <w:r>
        <w:t xml:space="preserve">Prof. </w:t>
      </w:r>
      <w:r w:rsidR="00697896" w:rsidRPr="00697896">
        <w:t>Jacó Júlio de Souza Costa</w:t>
      </w:r>
      <w:r w:rsidR="00697896">
        <w:t xml:space="preserve">, </w:t>
      </w:r>
      <w:proofErr w:type="spellStart"/>
      <w:r w:rsidR="00697896">
        <w:t>MSc</w:t>
      </w:r>
      <w:proofErr w:type="spellEnd"/>
      <w:r w:rsidR="00697896">
        <w:t>.</w:t>
      </w:r>
      <w:r w:rsidR="00697896">
        <w:rPr>
          <w:rFonts w:cs="Arial"/>
          <w:color w:val="222222"/>
          <w:shd w:val="clear" w:color="auto" w:fill="FFFFFF"/>
        </w:rPr>
        <w:t xml:space="preserve"> </w:t>
      </w:r>
      <w:r>
        <w:t>–</w:t>
      </w:r>
      <w:r w:rsidR="00697896">
        <w:t xml:space="preserve"> </w:t>
      </w:r>
      <w:r w:rsidRPr="00377959">
        <w:t>Avaliador</w:t>
      </w:r>
    </w:p>
    <w:p w14:paraId="116BB8ED" w14:textId="03645499" w:rsidR="00B916E6" w:rsidRDefault="00697896">
      <w:pPr>
        <w:jc w:val="center"/>
        <w:rPr>
          <w:b/>
        </w:rPr>
      </w:pPr>
      <w:r w:rsidRPr="00697896">
        <w:t>IME – Instituto Militar de Engenharia</w:t>
      </w: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669E977C" w14:textId="12B070FB" w:rsidR="00B916E6" w:rsidRDefault="00B916E6" w:rsidP="00AB74FB">
      <w:pPr>
        <w:pStyle w:val="TITULOagradecimentossumarioresumosetc"/>
      </w:pPr>
      <w:r w:rsidRPr="00AB74FB">
        <w:lastRenderedPageBreak/>
        <w:t>AGRADECIMENTOS</w:t>
      </w:r>
    </w:p>
    <w:p w14:paraId="15EB0682" w14:textId="7DB4E7EB" w:rsidR="00DB1A0F" w:rsidRPr="00AB74FB" w:rsidRDefault="00DB1A0F" w:rsidP="00AB74FB">
      <w:pPr>
        <w:pStyle w:val="TITULOagradecimentossumarioresumosetc"/>
      </w:pPr>
      <w:proofErr w:type="spellStart"/>
      <w:proofErr w:type="gramStart"/>
      <w:r>
        <w:t>sampaio</w:t>
      </w:r>
      <w:proofErr w:type="spellEnd"/>
      <w:proofErr w:type="gramEnd"/>
    </w:p>
    <w:p w14:paraId="6D265712" w14:textId="77777777" w:rsidR="00B916E6" w:rsidRPr="005E1D7F" w:rsidRDefault="00B916E6">
      <w:pPr>
        <w:ind w:left="4140"/>
        <w:rPr>
          <w:rFonts w:cs="Arial"/>
        </w:rPr>
      </w:pPr>
      <w:commentRangeStart w:id="0"/>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commentRangeEnd w:id="0"/>
      <w:r w:rsidR="00697896">
        <w:rPr>
          <w:rStyle w:val="Refdecomentrio"/>
        </w:rPr>
        <w:commentReference w:id="0"/>
      </w:r>
    </w:p>
    <w:p w14:paraId="0BF4CA4C" w14:textId="77777777" w:rsidR="009372F3" w:rsidRDefault="009372F3">
      <w:pPr>
        <w:spacing w:line="240" w:lineRule="auto"/>
        <w:jc w:val="left"/>
        <w:rPr>
          <w:rFonts w:cs="Arial"/>
        </w:rPr>
      </w:pPr>
      <w:r>
        <w:rPr>
          <w:rFonts w:cs="Arial"/>
        </w:rPr>
        <w:br w:type="page"/>
      </w:r>
    </w:p>
    <w:p w14:paraId="1D9589AD" w14:textId="57B77C5D" w:rsidR="00336327" w:rsidRDefault="00336327" w:rsidP="00087AF9">
      <w:pPr>
        <w:pStyle w:val="Ttulo1"/>
        <w:numPr>
          <w:ilvl w:val="0"/>
          <w:numId w:val="0"/>
        </w:numPr>
        <w:ind w:left="432"/>
        <w:jc w:val="center"/>
      </w:pPr>
      <w:bookmarkStart w:id="1" w:name="_Toc11509260"/>
      <w:bookmarkStart w:id="2" w:name="_Toc11753106"/>
      <w:bookmarkStart w:id="3" w:name="_Toc11753192"/>
      <w:bookmarkStart w:id="4" w:name="_Toc11753375"/>
      <w:r w:rsidRPr="00E91C43">
        <w:lastRenderedPageBreak/>
        <w:t>RESUMO</w:t>
      </w:r>
      <w:bookmarkStart w:id="5" w:name="RESUMO"/>
      <w:bookmarkEnd w:id="1"/>
      <w:bookmarkEnd w:id="2"/>
      <w:bookmarkEnd w:id="3"/>
      <w:bookmarkEnd w:id="4"/>
      <w:bookmarkEnd w:id="5"/>
    </w:p>
    <w:p w14:paraId="07CDB910" w14:textId="43CD92B3" w:rsidR="007E464C" w:rsidRDefault="009372F3" w:rsidP="007E464C">
      <w:r w:rsidRPr="009372F3">
        <w:t xml:space="preserve">Este </w:t>
      </w:r>
      <w:r w:rsidR="00697896">
        <w:t>t</w:t>
      </w:r>
      <w:r w:rsidRPr="009372F3">
        <w:t>rabalho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w:t>
      </w:r>
      <w:r w:rsidR="00697896">
        <w:t>,</w:t>
      </w:r>
      <w:r>
        <w:t xml:space="preserve">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sidR="00697896">
        <w:rPr>
          <w:iCs/>
        </w:rPr>
        <w:t xml:space="preserve"> o cálculo de distância</w:t>
      </w:r>
      <w:r>
        <w:rPr>
          <w:iCs/>
        </w:rPr>
        <w:t xml:space="preserve">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204197">
        <w:rPr>
          <w:lang w:val="en-US"/>
        </w:rPr>
        <w:br w:type="page"/>
      </w:r>
      <w:bookmarkStart w:id="6" w:name="_Toc11509261"/>
      <w:bookmarkStart w:id="7" w:name="_Toc11753107"/>
      <w:bookmarkStart w:id="8" w:name="_Toc11753193"/>
      <w:bookmarkStart w:id="9" w:name="_Toc11753376"/>
      <w:r w:rsidR="00336327" w:rsidRPr="00350DCB">
        <w:rPr>
          <w:lang w:val="en-US"/>
        </w:rPr>
        <w:lastRenderedPageBreak/>
        <w:t>ABSTRACT</w:t>
      </w:r>
      <w:bookmarkStart w:id="10" w:name="ABSTRACT"/>
      <w:bookmarkEnd w:id="6"/>
      <w:bookmarkEnd w:id="7"/>
      <w:bookmarkEnd w:id="8"/>
      <w:bookmarkEnd w:id="9"/>
      <w:bookmarkEnd w:id="10"/>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1"/>
      <w:commentRangeStart w:id="12"/>
      <w:r w:rsidR="00350DCB" w:rsidRPr="00160DD3">
        <w:rPr>
          <w:color w:val="00B0F0"/>
          <w:lang w:val="en-US"/>
        </w:rPr>
        <w:t xml:space="preserve">{(CBT) </w:t>
      </w:r>
      <w:proofErr w:type="spellStart"/>
      <w:r w:rsidR="00350DCB" w:rsidRPr="00160DD3">
        <w:rPr>
          <w:color w:val="00B0F0"/>
          <w:lang w:val="en-US"/>
        </w:rPr>
        <w:t>ou</w:t>
      </w:r>
      <w:proofErr w:type="spellEnd"/>
      <w:r w:rsidR="00350DCB" w:rsidRPr="00160DD3">
        <w:rPr>
          <w:color w:val="00B0F0"/>
          <w:lang w:val="en-US"/>
        </w:rPr>
        <w:t xml:space="preserve">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1"/>
      <w:r w:rsidR="00160DD3">
        <w:rPr>
          <w:rStyle w:val="Refdecomentrio"/>
        </w:rPr>
        <w:commentReference w:id="11"/>
      </w:r>
      <w:commentRangeEnd w:id="12"/>
      <w:r w:rsidR="007E3A33">
        <w:rPr>
          <w:rStyle w:val="Refdecomentrio"/>
        </w:rPr>
        <w:commentReference w:id="12"/>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3"/>
      <w:commentRangeStart w:id="14"/>
      <w:r w:rsidR="00160DD3" w:rsidRPr="00160DD3">
        <w:rPr>
          <w:color w:val="00B0F0"/>
          <w:lang w:val="en-US"/>
        </w:rPr>
        <w:t xml:space="preserve">{(DB) </w:t>
      </w:r>
      <w:proofErr w:type="spellStart"/>
      <w:r w:rsidR="00160DD3" w:rsidRPr="00160DD3">
        <w:rPr>
          <w:color w:val="00B0F0"/>
          <w:lang w:val="en-US"/>
        </w:rPr>
        <w:t>ou</w:t>
      </w:r>
      <w:proofErr w:type="spellEnd"/>
      <w:r w:rsidR="00160DD3" w:rsidRPr="00160DD3">
        <w:rPr>
          <w:color w:val="00B0F0"/>
          <w:lang w:val="en-US"/>
        </w:rPr>
        <w:t xml:space="preserve"> </w:t>
      </w:r>
      <w:r w:rsidRPr="00160DD3">
        <w:rPr>
          <w:color w:val="00B0F0"/>
          <w:lang w:val="en-US"/>
        </w:rPr>
        <w:t>(BD)</w:t>
      </w:r>
      <w:r w:rsidR="00160DD3" w:rsidRPr="00160DD3">
        <w:rPr>
          <w:color w:val="00B0F0"/>
          <w:lang w:val="en-US"/>
        </w:rPr>
        <w:t>}</w:t>
      </w:r>
      <w:commentRangeEnd w:id="13"/>
      <w:r w:rsidR="00160DD3">
        <w:rPr>
          <w:rStyle w:val="Refdecomentrio"/>
        </w:rPr>
        <w:commentReference w:id="13"/>
      </w:r>
      <w:commentRangeEnd w:id="14"/>
      <w:r w:rsidR="007E3A33">
        <w:rPr>
          <w:rStyle w:val="Refdecomentrio"/>
        </w:rPr>
        <w:commentReference w:id="14"/>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204197">
        <w:br w:type="column"/>
      </w:r>
      <w:bookmarkStart w:id="15" w:name="_Toc11509262"/>
      <w:bookmarkStart w:id="16" w:name="_Toc11753108"/>
      <w:bookmarkStart w:id="17" w:name="_Toc11753194"/>
      <w:bookmarkStart w:id="18" w:name="_Toc11753377"/>
      <w:commentRangeStart w:id="19"/>
      <w:r w:rsidR="00FF01F7">
        <w:lastRenderedPageBreak/>
        <w:t>LISTA DE ILUSTRAÇÕES</w:t>
      </w:r>
      <w:bookmarkStart w:id="20" w:name="LISTADEILISTRACOES"/>
      <w:bookmarkEnd w:id="15"/>
      <w:bookmarkEnd w:id="16"/>
      <w:bookmarkEnd w:id="17"/>
      <w:bookmarkEnd w:id="18"/>
      <w:bookmarkEnd w:id="20"/>
      <w:commentRangeEnd w:id="19"/>
      <w:r w:rsidR="007E3A33">
        <w:rPr>
          <w:rStyle w:val="Refdecomentrio"/>
          <w:b w:val="0"/>
          <w:caps w:val="0"/>
          <w:kern w:val="0"/>
        </w:rPr>
        <w:commentReference w:id="19"/>
      </w:r>
    </w:p>
    <w:p w14:paraId="6483DC37" w14:textId="77777777" w:rsidR="00FF01F7" w:rsidRDefault="00FF01F7" w:rsidP="00087AF9">
      <w:pPr>
        <w:pStyle w:val="Ttulo1"/>
        <w:numPr>
          <w:ilvl w:val="0"/>
          <w:numId w:val="0"/>
        </w:numPr>
        <w:ind w:left="432"/>
        <w:jc w:val="center"/>
      </w:pPr>
      <w:bookmarkStart w:id="21" w:name="_Toc378693901"/>
      <w:bookmarkStart w:id="22" w:name="_GoBack"/>
      <w:bookmarkEnd w:id="22"/>
      <w:r w:rsidRPr="00FE07B5">
        <w:br w:type="page"/>
      </w:r>
      <w:bookmarkStart w:id="23" w:name="_Toc268009113"/>
      <w:bookmarkStart w:id="24" w:name="_Toc299204216"/>
      <w:bookmarkStart w:id="25" w:name="_Toc330745075"/>
      <w:bookmarkStart w:id="26" w:name="_Toc378694362"/>
      <w:bookmarkStart w:id="27" w:name="_Toc11509263"/>
      <w:bookmarkStart w:id="28" w:name="_Toc11753109"/>
      <w:bookmarkStart w:id="29" w:name="_Toc11753195"/>
      <w:bookmarkStart w:id="30" w:name="_Toc11753378"/>
      <w:commentRangeStart w:id="31"/>
      <w:r>
        <w:lastRenderedPageBreak/>
        <w:t>LISTA DE TABELAS</w:t>
      </w:r>
      <w:bookmarkStart w:id="32" w:name="LISTADETABELASEGRAFICOS"/>
      <w:bookmarkEnd w:id="21"/>
      <w:bookmarkEnd w:id="23"/>
      <w:bookmarkEnd w:id="24"/>
      <w:bookmarkEnd w:id="25"/>
      <w:bookmarkEnd w:id="26"/>
      <w:bookmarkEnd w:id="27"/>
      <w:bookmarkEnd w:id="28"/>
      <w:bookmarkEnd w:id="29"/>
      <w:bookmarkEnd w:id="30"/>
      <w:bookmarkEnd w:id="32"/>
      <w:commentRangeEnd w:id="31"/>
      <w:r w:rsidR="007E3A33">
        <w:rPr>
          <w:rStyle w:val="Refdecomentrio"/>
          <w:b w:val="0"/>
          <w:caps w:val="0"/>
          <w:kern w:val="0"/>
        </w:rPr>
        <w:commentReference w:id="31"/>
      </w:r>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087AF9">
      <w:pPr>
        <w:pStyle w:val="Ttulo1"/>
        <w:numPr>
          <w:ilvl w:val="0"/>
          <w:numId w:val="0"/>
        </w:numPr>
        <w:ind w:left="432"/>
        <w:jc w:val="center"/>
      </w:pPr>
      <w:r>
        <w:br w:type="page"/>
      </w:r>
      <w:bookmarkStart w:id="33" w:name="_Toc11509264"/>
      <w:bookmarkStart w:id="34" w:name="_Toc11753110"/>
      <w:bookmarkStart w:id="35" w:name="_Toc11753196"/>
      <w:bookmarkStart w:id="36" w:name="_Toc11753379"/>
      <w:commentRangeStart w:id="37"/>
      <w:r>
        <w:lastRenderedPageBreak/>
        <w:t>LISTA DE GRÁFICOS</w:t>
      </w:r>
      <w:bookmarkEnd w:id="33"/>
      <w:bookmarkEnd w:id="34"/>
      <w:bookmarkEnd w:id="35"/>
      <w:bookmarkEnd w:id="36"/>
      <w:commentRangeEnd w:id="37"/>
      <w:r w:rsidR="007E3A33">
        <w:rPr>
          <w:rStyle w:val="Refdecomentrio"/>
          <w:b w:val="0"/>
          <w:caps w:val="0"/>
          <w:kern w:val="0"/>
        </w:rPr>
        <w:commentReference w:id="37"/>
      </w:r>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8" w:name="_Toc11509265"/>
      <w:bookmarkStart w:id="39" w:name="_Toc11753111"/>
      <w:bookmarkStart w:id="40" w:name="_Toc11753197"/>
      <w:bookmarkStart w:id="41" w:name="_Toc11753380"/>
      <w:r>
        <w:lastRenderedPageBreak/>
        <w:t>LISTA DE ABREVIATURAS E SIGLAS</w:t>
      </w:r>
      <w:bookmarkStart w:id="42" w:name="LISTADEABREVIATURASESIGLAS"/>
      <w:bookmarkEnd w:id="38"/>
      <w:bookmarkEnd w:id="39"/>
      <w:bookmarkEnd w:id="40"/>
      <w:bookmarkEnd w:id="41"/>
      <w:bookmarkEnd w:id="42"/>
    </w:p>
    <w:p w14:paraId="2EF7D0B4" w14:textId="77777777" w:rsidR="00350DCB" w:rsidRDefault="00350DCB" w:rsidP="00350DCB">
      <w:pPr>
        <w:pStyle w:val="PargrafodaLista"/>
      </w:pPr>
      <w:bookmarkStart w:id="43" w:name="D"/>
      <w:bookmarkStart w:id="44" w:name="CAD"/>
      <w:r>
        <w:t>B</w:t>
      </w:r>
      <w:r w:rsidRPr="001B6017">
        <w:t>D</w:t>
      </w:r>
      <w:bookmarkEnd w:id="43"/>
      <w:r w:rsidRPr="001B6017">
        <w:t xml:space="preserve"> – Base de </w:t>
      </w:r>
      <w:r>
        <w:t>Dados</w:t>
      </w:r>
    </w:p>
    <w:p w14:paraId="15913B7F" w14:textId="77777777" w:rsidR="002912BB" w:rsidRPr="002912BB" w:rsidRDefault="002912BB" w:rsidP="002912BB">
      <w:pPr>
        <w:pStyle w:val="PargrafodaLista"/>
      </w:pPr>
      <w:r w:rsidRPr="002912BB">
        <w:t xml:space="preserve">CAD </w:t>
      </w:r>
      <w:bookmarkEnd w:id="44"/>
      <w:r w:rsidRPr="002912BB">
        <w:t xml:space="preserve">– </w:t>
      </w:r>
      <w:r w:rsidRPr="002912BB">
        <w:rPr>
          <w:i/>
        </w:rPr>
        <w:t>Computer Aided Design</w:t>
      </w:r>
      <w:r w:rsidRPr="002912BB">
        <w:t xml:space="preserve"> (Desenho Assistido po</w:t>
      </w:r>
      <w:r>
        <w:t>r Computador)</w:t>
      </w:r>
    </w:p>
    <w:p w14:paraId="740C881C" w14:textId="17152629" w:rsidR="00577901" w:rsidRPr="00E02E64" w:rsidRDefault="001B6017" w:rsidP="00577901">
      <w:pPr>
        <w:pStyle w:val="PargrafodaLista"/>
        <w:rPr>
          <w:lang w:val="en-US"/>
        </w:rPr>
      </w:pPr>
      <w:bookmarkStart w:id="45" w:name="DS"/>
      <w:r w:rsidRPr="00E02E64">
        <w:rPr>
          <w:lang w:val="en-US"/>
        </w:rPr>
        <w:t>DS</w:t>
      </w:r>
      <w:bookmarkEnd w:id="45"/>
      <w:r w:rsidRPr="00E02E64">
        <w:rPr>
          <w:lang w:val="en-US"/>
        </w:rPr>
        <w:t xml:space="preserve"> – </w:t>
      </w:r>
      <w:r w:rsidRPr="00E02E64">
        <w:rPr>
          <w:i/>
          <w:lang w:val="en-US"/>
        </w:rPr>
        <w:t>Dual Scaling</w:t>
      </w:r>
    </w:p>
    <w:p w14:paraId="6C554D24" w14:textId="1816F64F" w:rsidR="001B6017" w:rsidRPr="00E02E64" w:rsidRDefault="002D4411" w:rsidP="00707742">
      <w:pPr>
        <w:pStyle w:val="PargrafodaLista"/>
        <w:rPr>
          <w:lang w:val="en-US"/>
        </w:rPr>
      </w:pPr>
      <w:bookmarkStart w:id="46" w:name="DM"/>
      <w:r w:rsidRPr="00E02E64">
        <w:rPr>
          <w:lang w:val="en-US"/>
        </w:rPr>
        <w:t>DM</w:t>
      </w:r>
      <w:bookmarkEnd w:id="46"/>
      <w:r w:rsidRPr="00E02E64">
        <w:rPr>
          <w:lang w:val="en-US"/>
        </w:rP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7" w:name="KDD"/>
      <w:r w:rsidRPr="002D4411">
        <w:rPr>
          <w:noProof/>
          <w:lang w:val="en-US"/>
        </w:rPr>
        <w:t>KDD</w:t>
      </w:r>
      <w:bookmarkEnd w:id="47"/>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8" w:name="RA"/>
      <w:r w:rsidRPr="009372F3">
        <w:rPr>
          <w:lang w:val="en-US"/>
        </w:rPr>
        <w:t>RA</w:t>
      </w:r>
      <w:bookmarkEnd w:id="48"/>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25050F7E" w14:textId="2204C0D1" w:rsidR="00FA6A42" w:rsidRPr="00707742" w:rsidRDefault="00FA6A42" w:rsidP="00E02E64">
          <w:pPr>
            <w:pStyle w:val="Sumrio1"/>
            <w:rPr>
              <w:rFonts w:eastAsiaTheme="minorEastAsia" w:cstheme="minorBidi"/>
              <w:noProof/>
              <w:lang w:eastAsia="ko-KR"/>
            </w:rPr>
          </w:pPr>
          <w:r>
            <w:fldChar w:fldCharType="begin"/>
          </w:r>
          <w:r>
            <w:instrText xml:space="preserve"> TOC \o "1-3" \h \z \u </w:instrText>
          </w:r>
          <w:r>
            <w:fldChar w:fldCharType="separate"/>
          </w:r>
          <w:hyperlink w:anchor="_Toc11753375" w:history="1">
            <w:r w:rsidRPr="00707742">
              <w:rPr>
                <w:rStyle w:val="Hyperlink"/>
                <w:noProof/>
                <w:szCs w:val="24"/>
              </w:rPr>
              <w:t>RESUMO</w:t>
            </w:r>
            <w:r w:rsidRPr="00707742">
              <w:rPr>
                <w:noProof/>
                <w:webHidden/>
              </w:rPr>
              <w:tab/>
            </w:r>
            <w:r w:rsidRPr="00707742">
              <w:rPr>
                <w:noProof/>
                <w:webHidden/>
              </w:rPr>
              <w:fldChar w:fldCharType="begin"/>
            </w:r>
            <w:r w:rsidRPr="00707742">
              <w:rPr>
                <w:noProof/>
                <w:webHidden/>
              </w:rPr>
              <w:instrText xml:space="preserve"> PAGEREF _Toc11753375 \h </w:instrText>
            </w:r>
            <w:r w:rsidRPr="00707742">
              <w:rPr>
                <w:noProof/>
                <w:webHidden/>
              </w:rPr>
            </w:r>
            <w:r w:rsidRPr="00707742">
              <w:rPr>
                <w:noProof/>
                <w:webHidden/>
              </w:rPr>
              <w:fldChar w:fldCharType="separate"/>
            </w:r>
            <w:r w:rsidR="00350DCB" w:rsidRPr="00707742">
              <w:rPr>
                <w:noProof/>
                <w:webHidden/>
              </w:rPr>
              <w:t>6</w:t>
            </w:r>
            <w:r w:rsidRPr="00707742">
              <w:rPr>
                <w:noProof/>
                <w:webHidden/>
              </w:rPr>
              <w:fldChar w:fldCharType="end"/>
            </w:r>
          </w:hyperlink>
        </w:p>
        <w:p w14:paraId="4E3012E3" w14:textId="7A4472BC" w:rsidR="00FA6A42" w:rsidRPr="00707742" w:rsidRDefault="00697896" w:rsidP="00E02E64">
          <w:pPr>
            <w:pStyle w:val="Sumrio1"/>
            <w:rPr>
              <w:rFonts w:eastAsiaTheme="minorEastAsia" w:cstheme="minorBidi"/>
              <w:noProof/>
              <w:lang w:eastAsia="ko-KR"/>
            </w:rPr>
          </w:pPr>
          <w:hyperlink w:anchor="_Toc11753376" w:history="1">
            <w:r w:rsidR="00FA6A42" w:rsidRPr="00707742">
              <w:rPr>
                <w:rStyle w:val="Hyperlink"/>
                <w:noProof/>
                <w:szCs w:val="24"/>
              </w:rPr>
              <w:t>ABSTRACT</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_Toc11753376 \h </w:instrText>
            </w:r>
            <w:r w:rsidR="00FA6A42" w:rsidRPr="00707742">
              <w:rPr>
                <w:noProof/>
                <w:webHidden/>
              </w:rPr>
            </w:r>
            <w:r w:rsidR="00FA6A42" w:rsidRPr="00707742">
              <w:rPr>
                <w:noProof/>
                <w:webHidden/>
              </w:rPr>
              <w:fldChar w:fldCharType="separate"/>
            </w:r>
            <w:r w:rsidR="00350DCB" w:rsidRPr="00707742">
              <w:rPr>
                <w:noProof/>
                <w:webHidden/>
              </w:rPr>
              <w:t>7</w:t>
            </w:r>
            <w:r w:rsidR="00FA6A42" w:rsidRPr="00707742">
              <w:rPr>
                <w:noProof/>
                <w:webHidden/>
              </w:rPr>
              <w:fldChar w:fldCharType="end"/>
            </w:r>
          </w:hyperlink>
        </w:p>
        <w:p w14:paraId="25517E8F" w14:textId="28C9FD9A" w:rsidR="00FA6A42" w:rsidRPr="00707742" w:rsidRDefault="00697896" w:rsidP="00E02E64">
          <w:pPr>
            <w:pStyle w:val="Sumrio1"/>
            <w:rPr>
              <w:rFonts w:eastAsiaTheme="minorEastAsia" w:cstheme="minorBidi"/>
              <w:noProof/>
              <w:lang w:eastAsia="ko-KR"/>
            </w:rPr>
          </w:pPr>
          <w:hyperlink w:anchor="_Toc11753377" w:history="1">
            <w:r w:rsidR="00FA6A42" w:rsidRPr="00707742">
              <w:rPr>
                <w:rStyle w:val="Hyperlink"/>
                <w:noProof/>
                <w:szCs w:val="24"/>
              </w:rPr>
              <w:t>LISTA DE ILUSTRAÇÕES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_Toc11753377 \h </w:instrText>
            </w:r>
            <w:r w:rsidR="00FA6A42" w:rsidRPr="00707742">
              <w:rPr>
                <w:noProof/>
                <w:webHidden/>
              </w:rPr>
            </w:r>
            <w:r w:rsidR="00FA6A42" w:rsidRPr="00707742">
              <w:rPr>
                <w:noProof/>
                <w:webHidden/>
              </w:rPr>
              <w:fldChar w:fldCharType="separate"/>
            </w:r>
            <w:r w:rsidR="00350DCB" w:rsidRPr="00707742">
              <w:rPr>
                <w:noProof/>
                <w:webHidden/>
              </w:rPr>
              <w:t>8</w:t>
            </w:r>
            <w:r w:rsidR="00FA6A42" w:rsidRPr="00707742">
              <w:rPr>
                <w:noProof/>
                <w:webHidden/>
              </w:rPr>
              <w:fldChar w:fldCharType="end"/>
            </w:r>
          </w:hyperlink>
        </w:p>
        <w:p w14:paraId="42710399" w14:textId="308E0AD4" w:rsidR="00FA6A42" w:rsidRPr="00707742" w:rsidRDefault="00697896" w:rsidP="00E02E64">
          <w:pPr>
            <w:pStyle w:val="Sumrio1"/>
            <w:rPr>
              <w:rFonts w:eastAsiaTheme="minorEastAsia" w:cstheme="minorBidi"/>
              <w:noProof/>
              <w:lang w:eastAsia="ko-KR"/>
            </w:rPr>
          </w:pPr>
          <w:hyperlink w:anchor="_Toc11753378" w:history="1">
            <w:r w:rsidR="00FA6A42" w:rsidRPr="00707742">
              <w:rPr>
                <w:rStyle w:val="Hyperlink"/>
                <w:noProof/>
                <w:szCs w:val="24"/>
              </w:rPr>
              <w:t>LISTA DE TABELAS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_Toc11753378 \h </w:instrText>
            </w:r>
            <w:r w:rsidR="00FA6A42" w:rsidRPr="00707742">
              <w:rPr>
                <w:noProof/>
                <w:webHidden/>
              </w:rPr>
            </w:r>
            <w:r w:rsidR="00FA6A42" w:rsidRPr="00707742">
              <w:rPr>
                <w:noProof/>
                <w:webHidden/>
              </w:rPr>
              <w:fldChar w:fldCharType="separate"/>
            </w:r>
            <w:r w:rsidR="00350DCB" w:rsidRPr="00707742">
              <w:rPr>
                <w:noProof/>
                <w:webHidden/>
              </w:rPr>
              <w:t>9</w:t>
            </w:r>
            <w:r w:rsidR="00FA6A42" w:rsidRPr="00707742">
              <w:rPr>
                <w:noProof/>
                <w:webHidden/>
              </w:rPr>
              <w:fldChar w:fldCharType="end"/>
            </w:r>
          </w:hyperlink>
        </w:p>
        <w:p w14:paraId="04A3E1A6" w14:textId="0C65C73E" w:rsidR="00FA6A42" w:rsidRPr="00707742" w:rsidRDefault="00697896" w:rsidP="00E02E64">
          <w:pPr>
            <w:pStyle w:val="Sumrio1"/>
            <w:rPr>
              <w:rFonts w:eastAsiaTheme="minorEastAsia" w:cstheme="minorBidi"/>
              <w:noProof/>
              <w:lang w:eastAsia="ko-KR"/>
            </w:rPr>
          </w:pPr>
          <w:hyperlink w:anchor="_Toc11753379" w:history="1">
            <w:r w:rsidR="00FA6A42" w:rsidRPr="00707742">
              <w:rPr>
                <w:rStyle w:val="Hyperlink"/>
                <w:noProof/>
                <w:szCs w:val="24"/>
              </w:rPr>
              <w:t>LISTA DE GRÁFICOS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_Toc11753379 \h </w:instrText>
            </w:r>
            <w:r w:rsidR="00FA6A42" w:rsidRPr="00707742">
              <w:rPr>
                <w:noProof/>
                <w:webHidden/>
              </w:rPr>
            </w:r>
            <w:r w:rsidR="00FA6A42" w:rsidRPr="00707742">
              <w:rPr>
                <w:noProof/>
                <w:webHidden/>
              </w:rPr>
              <w:fldChar w:fldCharType="separate"/>
            </w:r>
            <w:r w:rsidR="00350DCB" w:rsidRPr="00707742">
              <w:rPr>
                <w:noProof/>
                <w:webHidden/>
              </w:rPr>
              <w:t>10</w:t>
            </w:r>
            <w:r w:rsidR="00FA6A42" w:rsidRPr="00707742">
              <w:rPr>
                <w:noProof/>
                <w:webHidden/>
              </w:rPr>
              <w:fldChar w:fldCharType="end"/>
            </w:r>
          </w:hyperlink>
        </w:p>
        <w:p w14:paraId="1E144159" w14:textId="1066E198" w:rsidR="00FA6A42" w:rsidRPr="00707742" w:rsidRDefault="00697896" w:rsidP="00E02E64">
          <w:pPr>
            <w:pStyle w:val="Sumrio1"/>
            <w:rPr>
              <w:rFonts w:eastAsiaTheme="minorEastAsia" w:cstheme="minorBidi"/>
              <w:noProof/>
              <w:lang w:eastAsia="ko-KR"/>
            </w:rPr>
          </w:pPr>
          <w:hyperlink w:anchor="_Toc11753380" w:history="1">
            <w:r w:rsidR="00FA6A42" w:rsidRPr="00707742">
              <w:rPr>
                <w:rStyle w:val="Hyperlink"/>
                <w:noProof/>
                <w:szCs w:val="24"/>
              </w:rPr>
              <w:t>LISTA DE ABREVIATURAS E SIGLAS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_Toc11753380 \h </w:instrText>
            </w:r>
            <w:r w:rsidR="00FA6A42" w:rsidRPr="00707742">
              <w:rPr>
                <w:noProof/>
                <w:webHidden/>
              </w:rPr>
            </w:r>
            <w:r w:rsidR="00FA6A42" w:rsidRPr="00707742">
              <w:rPr>
                <w:noProof/>
                <w:webHidden/>
              </w:rPr>
              <w:fldChar w:fldCharType="separate"/>
            </w:r>
            <w:r w:rsidR="00350DCB" w:rsidRPr="00707742">
              <w:rPr>
                <w:noProof/>
                <w:webHidden/>
              </w:rPr>
              <w:t>11</w:t>
            </w:r>
            <w:r w:rsidR="00FA6A42" w:rsidRPr="00707742">
              <w:rPr>
                <w:noProof/>
                <w:webHidden/>
              </w:rPr>
              <w:fldChar w:fldCharType="end"/>
            </w:r>
          </w:hyperlink>
        </w:p>
        <w:p w14:paraId="0A1BB4F9" w14:textId="71CAB9A6" w:rsidR="00FA6A42" w:rsidRPr="00707742" w:rsidRDefault="00697896" w:rsidP="00E02E64">
          <w:pPr>
            <w:pStyle w:val="Sumrio1"/>
            <w:rPr>
              <w:rFonts w:eastAsiaTheme="minorEastAsia" w:cstheme="minorBidi"/>
              <w:noProof/>
              <w:lang w:eastAsia="ko-KR"/>
            </w:rPr>
          </w:pPr>
          <w:hyperlink w:anchor="_Toc11753381" w:history="1">
            <w:r w:rsidR="00FA6A42" w:rsidRPr="00707742">
              <w:rPr>
                <w:rStyle w:val="Hyperlink"/>
                <w:noProof/>
                <w:szCs w:val="24"/>
              </w:rPr>
              <w:t>1</w:t>
            </w:r>
            <w:r w:rsidR="00FA6A42" w:rsidRPr="00707742">
              <w:rPr>
                <w:rFonts w:eastAsiaTheme="minorEastAsia" w:cstheme="minorBidi"/>
                <w:noProof/>
                <w:lang w:eastAsia="ko-KR"/>
              </w:rPr>
              <w:tab/>
            </w:r>
            <w:r w:rsidR="00FA6A42" w:rsidRPr="00707742">
              <w:rPr>
                <w:rStyle w:val="Hyperlink"/>
                <w:noProof/>
                <w:szCs w:val="24"/>
              </w:rPr>
              <w:t>INTRODUÇÃO</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_Toc11753381 \h </w:instrText>
            </w:r>
            <w:r w:rsidR="00FA6A42" w:rsidRPr="00707742">
              <w:rPr>
                <w:noProof/>
                <w:webHidden/>
              </w:rPr>
            </w:r>
            <w:r w:rsidR="00FA6A42" w:rsidRPr="00707742">
              <w:rPr>
                <w:noProof/>
                <w:webHidden/>
              </w:rPr>
              <w:fldChar w:fldCharType="separate"/>
            </w:r>
            <w:r w:rsidR="00350DCB" w:rsidRPr="00707742">
              <w:rPr>
                <w:noProof/>
                <w:webHidden/>
              </w:rPr>
              <w:t>13</w:t>
            </w:r>
            <w:r w:rsidR="00FA6A42" w:rsidRPr="00707742">
              <w:rPr>
                <w:noProof/>
                <w:webHidden/>
              </w:rPr>
              <w:fldChar w:fldCharType="end"/>
            </w:r>
          </w:hyperlink>
        </w:p>
        <w:p w14:paraId="63FA6C6D" w14:textId="1EFD23E8" w:rsidR="00FA6A42" w:rsidRPr="00707742" w:rsidRDefault="00697896" w:rsidP="00E02E64">
          <w:pPr>
            <w:pStyle w:val="Sumrio1"/>
            <w:rPr>
              <w:rFonts w:eastAsiaTheme="minorEastAsia" w:cstheme="minorBidi"/>
              <w:noProof/>
              <w:lang w:eastAsia="ko-KR"/>
            </w:rPr>
          </w:pPr>
          <w:hyperlink w:anchor="_Toc11753382" w:history="1">
            <w:r w:rsidR="00FA6A42" w:rsidRPr="00707742">
              <w:rPr>
                <w:rStyle w:val="Hyperlink"/>
                <w:noProof/>
                <w:szCs w:val="24"/>
              </w:rPr>
              <w:t>2</w:t>
            </w:r>
            <w:r w:rsidR="00FA6A42" w:rsidRPr="00707742">
              <w:rPr>
                <w:rFonts w:eastAsiaTheme="minorEastAsia" w:cstheme="minorBidi"/>
                <w:noProof/>
                <w:lang w:eastAsia="ko-KR"/>
              </w:rPr>
              <w:tab/>
            </w:r>
            <w:r w:rsidR="00FA6A42" w:rsidRPr="00707742">
              <w:rPr>
                <w:rStyle w:val="Hyperlink"/>
                <w:noProof/>
                <w:szCs w:val="24"/>
              </w:rPr>
              <w:t>TRABALHOS RELACIONADOS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_Toc11753382 \h </w:instrText>
            </w:r>
            <w:r w:rsidR="00FA6A42" w:rsidRPr="00707742">
              <w:rPr>
                <w:noProof/>
                <w:webHidden/>
              </w:rPr>
            </w:r>
            <w:r w:rsidR="00FA6A42" w:rsidRPr="00707742">
              <w:rPr>
                <w:noProof/>
                <w:webHidden/>
              </w:rPr>
              <w:fldChar w:fldCharType="separate"/>
            </w:r>
            <w:r w:rsidR="00350DCB" w:rsidRPr="00707742">
              <w:rPr>
                <w:noProof/>
                <w:webHidden/>
              </w:rPr>
              <w:t>15</w:t>
            </w:r>
            <w:r w:rsidR="00FA6A42" w:rsidRPr="00707742">
              <w:rPr>
                <w:noProof/>
                <w:webHidden/>
              </w:rPr>
              <w:fldChar w:fldCharType="end"/>
            </w:r>
          </w:hyperlink>
        </w:p>
        <w:p w14:paraId="191E85BD" w14:textId="5E9218A7" w:rsidR="00FA6A42" w:rsidRPr="00707742" w:rsidRDefault="00697896" w:rsidP="00E02E64">
          <w:pPr>
            <w:pStyle w:val="Sumrio1"/>
            <w:rPr>
              <w:rFonts w:eastAsiaTheme="minorEastAsia" w:cstheme="minorBidi"/>
              <w:noProof/>
              <w:lang w:eastAsia="ko-KR"/>
            </w:rPr>
          </w:pPr>
          <w:hyperlink w:anchor="_Toc11753383" w:history="1">
            <w:r w:rsidR="00FA6A42" w:rsidRPr="00707742">
              <w:rPr>
                <w:rStyle w:val="Hyperlink"/>
                <w:noProof/>
                <w:szCs w:val="24"/>
              </w:rPr>
              <w:t>3</w:t>
            </w:r>
            <w:r w:rsidR="00FA6A42" w:rsidRPr="00707742">
              <w:rPr>
                <w:rFonts w:eastAsiaTheme="minorEastAsia" w:cstheme="minorBidi"/>
                <w:noProof/>
                <w:lang w:eastAsia="ko-KR"/>
              </w:rPr>
              <w:tab/>
            </w:r>
            <w:r w:rsidR="00FA6A42" w:rsidRPr="00707742">
              <w:rPr>
                <w:rStyle w:val="Hyperlink"/>
                <w:noProof/>
                <w:szCs w:val="24"/>
              </w:rPr>
              <w:t>FUNDAMENTAÇÃO TEÓRICA</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_Toc11753383 \h </w:instrText>
            </w:r>
            <w:r w:rsidR="00FA6A42" w:rsidRPr="00707742">
              <w:rPr>
                <w:noProof/>
                <w:webHidden/>
              </w:rPr>
            </w:r>
            <w:r w:rsidR="00FA6A42" w:rsidRPr="00707742">
              <w:rPr>
                <w:noProof/>
                <w:webHidden/>
              </w:rPr>
              <w:fldChar w:fldCharType="separate"/>
            </w:r>
            <w:r w:rsidR="00350DCB" w:rsidRPr="00707742">
              <w:rPr>
                <w:noProof/>
                <w:webHidden/>
              </w:rPr>
              <w:t>18</w:t>
            </w:r>
            <w:r w:rsidR="00FA6A42" w:rsidRPr="00707742">
              <w:rPr>
                <w:noProof/>
                <w:webHidden/>
              </w:rPr>
              <w:fldChar w:fldCharType="end"/>
            </w:r>
          </w:hyperlink>
        </w:p>
        <w:p w14:paraId="42FD6BF7" w14:textId="1C86B9C7"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4" w:history="1">
            <w:r w:rsidR="00FA6A42" w:rsidRPr="00707742">
              <w:rPr>
                <w:rStyle w:val="Hyperlink"/>
                <w:rFonts w:ascii="Arial" w:hAnsi="Arial" w:cs="Arial"/>
                <w:noProof/>
                <w:sz w:val="24"/>
                <w:szCs w:val="24"/>
              </w:rPr>
              <w:t>3.1</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REGRAS DE ASSOCIAÇÃO</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_Toc11753384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18</w:t>
            </w:r>
            <w:r w:rsidR="00FA6A42" w:rsidRPr="00707742">
              <w:rPr>
                <w:rFonts w:ascii="Arial" w:hAnsi="Arial" w:cs="Arial"/>
                <w:noProof/>
                <w:webHidden/>
                <w:sz w:val="24"/>
                <w:szCs w:val="24"/>
              </w:rPr>
              <w:fldChar w:fldCharType="end"/>
            </w:r>
          </w:hyperlink>
        </w:p>
        <w:p w14:paraId="0F23C770" w14:textId="3106B794"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5" w:history="1">
            <w:r w:rsidR="00FA6A42" w:rsidRPr="00707742">
              <w:rPr>
                <w:rStyle w:val="Hyperlink"/>
                <w:rFonts w:ascii="Arial" w:hAnsi="Arial" w:cs="Arial"/>
                <w:noProof/>
                <w:sz w:val="24"/>
                <w:szCs w:val="24"/>
              </w:rPr>
              <w:t>3.2</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DUAL SCALING</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_Toc11753385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20</w:t>
            </w:r>
            <w:r w:rsidR="00FA6A42" w:rsidRPr="00707742">
              <w:rPr>
                <w:rFonts w:ascii="Arial" w:hAnsi="Arial" w:cs="Arial"/>
                <w:noProof/>
                <w:webHidden/>
                <w:sz w:val="24"/>
                <w:szCs w:val="24"/>
              </w:rPr>
              <w:fldChar w:fldCharType="end"/>
            </w:r>
          </w:hyperlink>
        </w:p>
        <w:p w14:paraId="6AA6CBF5" w14:textId="24CCD70E"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6" w:history="1">
            <w:r w:rsidR="00FA6A42" w:rsidRPr="00707742">
              <w:rPr>
                <w:rStyle w:val="Hyperlink"/>
                <w:rFonts w:ascii="Arial" w:hAnsi="Arial" w:cs="Arial"/>
                <w:noProof/>
                <w:sz w:val="24"/>
                <w:szCs w:val="24"/>
              </w:rPr>
              <w:t>3.3</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CÁLCULO DAS DISTANCIAS</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_Toc11753386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24</w:t>
            </w:r>
            <w:r w:rsidR="00FA6A42" w:rsidRPr="00707742">
              <w:rPr>
                <w:rFonts w:ascii="Arial" w:hAnsi="Arial" w:cs="Arial"/>
                <w:noProof/>
                <w:webHidden/>
                <w:sz w:val="24"/>
                <w:szCs w:val="24"/>
              </w:rPr>
              <w:fldChar w:fldCharType="end"/>
            </w:r>
          </w:hyperlink>
        </w:p>
        <w:p w14:paraId="1BEB5FA8" w14:textId="2B5185DD" w:rsidR="00FA6A42" w:rsidRPr="00707742" w:rsidRDefault="00697896"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7" w:history="1">
            <w:r w:rsidR="00FA6A42" w:rsidRPr="00707742">
              <w:rPr>
                <w:rStyle w:val="Hyperlink"/>
                <w:rFonts w:ascii="Arial" w:hAnsi="Arial" w:cs="Arial"/>
                <w:i w:val="0"/>
                <w:iCs w:val="0"/>
                <w:noProof/>
                <w:sz w:val="24"/>
                <w:szCs w:val="24"/>
              </w:rPr>
              <w:t>3.3.1</w:t>
            </w:r>
            <w:r w:rsidR="00FA6A42" w:rsidRPr="00707742">
              <w:rPr>
                <w:rFonts w:ascii="Arial" w:eastAsiaTheme="minorEastAsia" w:hAnsi="Arial" w:cs="Arial"/>
                <w:i w:val="0"/>
                <w:iCs w:val="0"/>
                <w:noProof/>
                <w:sz w:val="24"/>
                <w:szCs w:val="24"/>
                <w:lang w:eastAsia="ko-KR"/>
              </w:rPr>
              <w:tab/>
            </w:r>
            <w:r w:rsidR="00FA6A42" w:rsidRPr="00707742">
              <w:rPr>
                <w:rStyle w:val="Hyperlink"/>
                <w:rFonts w:ascii="Arial" w:hAnsi="Arial" w:cs="Arial"/>
                <w:i w:val="0"/>
                <w:iCs w:val="0"/>
                <w:noProof/>
                <w:sz w:val="24"/>
                <w:szCs w:val="24"/>
              </w:rPr>
              <w:t>DISTÂNCIAS INTRA-GRUPO – ITENS</w:t>
            </w:r>
            <w:r w:rsidR="00FA6A42" w:rsidRPr="00707742">
              <w:rPr>
                <w:rFonts w:ascii="Arial" w:hAnsi="Arial" w:cs="Arial"/>
                <w:i w:val="0"/>
                <w:iCs w:val="0"/>
                <w:noProof/>
                <w:webHidden/>
                <w:sz w:val="24"/>
                <w:szCs w:val="24"/>
              </w:rPr>
              <w:tab/>
            </w:r>
            <w:r w:rsidR="00FA6A42" w:rsidRPr="00707742">
              <w:rPr>
                <w:rFonts w:ascii="Arial" w:hAnsi="Arial" w:cs="Arial"/>
                <w:i w:val="0"/>
                <w:iCs w:val="0"/>
                <w:noProof/>
                <w:webHidden/>
                <w:sz w:val="24"/>
                <w:szCs w:val="24"/>
              </w:rPr>
              <w:fldChar w:fldCharType="begin"/>
            </w:r>
            <w:r w:rsidR="00FA6A42" w:rsidRPr="00707742">
              <w:rPr>
                <w:rFonts w:ascii="Arial" w:hAnsi="Arial" w:cs="Arial"/>
                <w:i w:val="0"/>
                <w:iCs w:val="0"/>
                <w:noProof/>
                <w:webHidden/>
                <w:sz w:val="24"/>
                <w:szCs w:val="24"/>
              </w:rPr>
              <w:instrText xml:space="preserve"> PAGEREF _Toc11753387 \h </w:instrText>
            </w:r>
            <w:r w:rsidR="00FA6A42" w:rsidRPr="00707742">
              <w:rPr>
                <w:rFonts w:ascii="Arial" w:hAnsi="Arial" w:cs="Arial"/>
                <w:i w:val="0"/>
                <w:iCs w:val="0"/>
                <w:noProof/>
                <w:webHidden/>
                <w:sz w:val="24"/>
                <w:szCs w:val="24"/>
              </w:rPr>
            </w:r>
            <w:r w:rsidR="00FA6A42"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25</w:t>
            </w:r>
            <w:r w:rsidR="00FA6A42" w:rsidRPr="00707742">
              <w:rPr>
                <w:rFonts w:ascii="Arial" w:hAnsi="Arial" w:cs="Arial"/>
                <w:i w:val="0"/>
                <w:iCs w:val="0"/>
                <w:noProof/>
                <w:webHidden/>
                <w:sz w:val="24"/>
                <w:szCs w:val="24"/>
              </w:rPr>
              <w:fldChar w:fldCharType="end"/>
            </w:r>
          </w:hyperlink>
        </w:p>
        <w:p w14:paraId="2FC167DB" w14:textId="395732DA" w:rsidR="00FA6A42" w:rsidRPr="00707742" w:rsidRDefault="00697896"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8" w:history="1">
            <w:r w:rsidR="00FA6A42" w:rsidRPr="00707742">
              <w:rPr>
                <w:rStyle w:val="Hyperlink"/>
                <w:rFonts w:ascii="Arial" w:hAnsi="Arial" w:cs="Arial"/>
                <w:i w:val="0"/>
                <w:iCs w:val="0"/>
                <w:noProof/>
                <w:sz w:val="24"/>
                <w:szCs w:val="24"/>
              </w:rPr>
              <w:t>3.3.2</w:t>
            </w:r>
            <w:r w:rsidR="00FA6A42" w:rsidRPr="00707742">
              <w:rPr>
                <w:rFonts w:ascii="Arial" w:eastAsiaTheme="minorEastAsia" w:hAnsi="Arial" w:cs="Arial"/>
                <w:i w:val="0"/>
                <w:iCs w:val="0"/>
                <w:noProof/>
                <w:sz w:val="24"/>
                <w:szCs w:val="24"/>
                <w:lang w:eastAsia="ko-KR"/>
              </w:rPr>
              <w:tab/>
            </w:r>
            <w:r w:rsidR="00FA6A42" w:rsidRPr="00707742">
              <w:rPr>
                <w:rStyle w:val="Hyperlink"/>
                <w:rFonts w:ascii="Arial" w:hAnsi="Arial" w:cs="Arial"/>
                <w:i w:val="0"/>
                <w:iCs w:val="0"/>
                <w:noProof/>
                <w:sz w:val="24"/>
                <w:szCs w:val="24"/>
              </w:rPr>
              <w:t>DISTÂNCIAS INTRA-GRUPO - TRANSAÇÕES</w:t>
            </w:r>
            <w:r w:rsidR="00FA6A42" w:rsidRPr="00707742">
              <w:rPr>
                <w:rFonts w:ascii="Arial" w:hAnsi="Arial" w:cs="Arial"/>
                <w:i w:val="0"/>
                <w:iCs w:val="0"/>
                <w:noProof/>
                <w:webHidden/>
                <w:sz w:val="24"/>
                <w:szCs w:val="24"/>
              </w:rPr>
              <w:tab/>
            </w:r>
            <w:r w:rsidR="00FA6A42" w:rsidRPr="00707742">
              <w:rPr>
                <w:rFonts w:ascii="Arial" w:hAnsi="Arial" w:cs="Arial"/>
                <w:i w:val="0"/>
                <w:iCs w:val="0"/>
                <w:noProof/>
                <w:webHidden/>
                <w:sz w:val="24"/>
                <w:szCs w:val="24"/>
              </w:rPr>
              <w:fldChar w:fldCharType="begin"/>
            </w:r>
            <w:r w:rsidR="00FA6A42" w:rsidRPr="00707742">
              <w:rPr>
                <w:rFonts w:ascii="Arial" w:hAnsi="Arial" w:cs="Arial"/>
                <w:i w:val="0"/>
                <w:iCs w:val="0"/>
                <w:noProof/>
                <w:webHidden/>
                <w:sz w:val="24"/>
                <w:szCs w:val="24"/>
              </w:rPr>
              <w:instrText xml:space="preserve"> PAGEREF _Toc11753388 \h </w:instrText>
            </w:r>
            <w:r w:rsidR="00FA6A42" w:rsidRPr="00707742">
              <w:rPr>
                <w:rFonts w:ascii="Arial" w:hAnsi="Arial" w:cs="Arial"/>
                <w:i w:val="0"/>
                <w:iCs w:val="0"/>
                <w:noProof/>
                <w:webHidden/>
                <w:sz w:val="24"/>
                <w:szCs w:val="24"/>
              </w:rPr>
            </w:r>
            <w:r w:rsidR="00FA6A42"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26</w:t>
            </w:r>
            <w:r w:rsidR="00FA6A42" w:rsidRPr="00707742">
              <w:rPr>
                <w:rFonts w:ascii="Arial" w:hAnsi="Arial" w:cs="Arial"/>
                <w:i w:val="0"/>
                <w:iCs w:val="0"/>
                <w:noProof/>
                <w:webHidden/>
                <w:sz w:val="24"/>
                <w:szCs w:val="24"/>
              </w:rPr>
              <w:fldChar w:fldCharType="end"/>
            </w:r>
          </w:hyperlink>
        </w:p>
        <w:p w14:paraId="29B9FC66" w14:textId="6E3A4F03" w:rsidR="00FA6A42" w:rsidRPr="00707742" w:rsidRDefault="00697896" w:rsidP="00E02E64">
          <w:pPr>
            <w:pStyle w:val="Sumrio1"/>
            <w:rPr>
              <w:rFonts w:eastAsiaTheme="minorEastAsia" w:cstheme="minorBidi"/>
              <w:noProof/>
              <w:lang w:eastAsia="ko-KR"/>
            </w:rPr>
          </w:pPr>
          <w:hyperlink w:anchor="_Toc11753389" w:history="1">
            <w:r w:rsidR="00FA6A42" w:rsidRPr="00707742">
              <w:rPr>
                <w:rStyle w:val="Hyperlink"/>
                <w:noProof/>
                <w:szCs w:val="24"/>
              </w:rPr>
              <w:t>4</w:t>
            </w:r>
            <w:r w:rsidR="00FA6A42" w:rsidRPr="00707742">
              <w:rPr>
                <w:rFonts w:eastAsiaTheme="minorEastAsia" w:cstheme="minorBidi"/>
                <w:noProof/>
                <w:lang w:eastAsia="ko-KR"/>
              </w:rPr>
              <w:tab/>
            </w:r>
            <w:r w:rsidR="00FA6A42" w:rsidRPr="00707742">
              <w:rPr>
                <w:rStyle w:val="Hyperlink"/>
                <w:noProof/>
                <w:szCs w:val="24"/>
              </w:rPr>
              <w:t>VISUALIZADOR</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_Toc11753389 \h </w:instrText>
            </w:r>
            <w:r w:rsidR="00FA6A42" w:rsidRPr="00707742">
              <w:rPr>
                <w:noProof/>
                <w:webHidden/>
              </w:rPr>
            </w:r>
            <w:r w:rsidR="00FA6A42" w:rsidRPr="00707742">
              <w:rPr>
                <w:noProof/>
                <w:webHidden/>
              </w:rPr>
              <w:fldChar w:fldCharType="separate"/>
            </w:r>
            <w:r w:rsidR="00350DCB" w:rsidRPr="00707742">
              <w:rPr>
                <w:noProof/>
                <w:webHidden/>
              </w:rPr>
              <w:t>29</w:t>
            </w:r>
            <w:r w:rsidR="00FA6A42" w:rsidRPr="00707742">
              <w:rPr>
                <w:noProof/>
                <w:webHidden/>
              </w:rPr>
              <w:fldChar w:fldCharType="end"/>
            </w:r>
          </w:hyperlink>
        </w:p>
        <w:p w14:paraId="5F14A59A" w14:textId="725F5415"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0" w:history="1">
            <w:r w:rsidR="00FA6A42" w:rsidRPr="00707742">
              <w:rPr>
                <w:rStyle w:val="Hyperlink"/>
                <w:rFonts w:ascii="Arial" w:hAnsi="Arial" w:cs="Arial"/>
                <w:noProof/>
                <w:sz w:val="24"/>
                <w:szCs w:val="24"/>
              </w:rPr>
              <w:t>4.1</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SUBMATRIZ DE DISTÂNCIA DADA UMA RA</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_Toc11753390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29</w:t>
            </w:r>
            <w:r w:rsidR="00FA6A42" w:rsidRPr="00707742">
              <w:rPr>
                <w:rFonts w:ascii="Arial" w:hAnsi="Arial" w:cs="Arial"/>
                <w:noProof/>
                <w:webHidden/>
                <w:sz w:val="24"/>
                <w:szCs w:val="24"/>
              </w:rPr>
              <w:fldChar w:fldCharType="end"/>
            </w:r>
          </w:hyperlink>
        </w:p>
        <w:p w14:paraId="3621E8E7" w14:textId="2F008694"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1" w:history="1">
            <w:r w:rsidR="00FA6A42" w:rsidRPr="00707742">
              <w:rPr>
                <w:rStyle w:val="Hyperlink"/>
                <w:rFonts w:ascii="Arial" w:hAnsi="Arial" w:cs="Arial"/>
                <w:noProof/>
                <w:sz w:val="24"/>
                <w:szCs w:val="24"/>
              </w:rPr>
              <w:t>4.2</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VERIFICAÇÃO DAS RELAÇÕES DE DISTÂNCIAS</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_Toc11753391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30</w:t>
            </w:r>
            <w:r w:rsidR="00FA6A42" w:rsidRPr="00707742">
              <w:rPr>
                <w:rFonts w:ascii="Arial" w:hAnsi="Arial" w:cs="Arial"/>
                <w:noProof/>
                <w:webHidden/>
                <w:sz w:val="24"/>
                <w:szCs w:val="24"/>
              </w:rPr>
              <w:fldChar w:fldCharType="end"/>
            </w:r>
          </w:hyperlink>
        </w:p>
        <w:p w14:paraId="4DF0A53B" w14:textId="6CCBFDA9"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2" w:history="1">
            <w:r w:rsidR="00FA6A42" w:rsidRPr="00707742">
              <w:rPr>
                <w:rStyle w:val="Hyperlink"/>
                <w:rFonts w:ascii="Arial" w:hAnsi="Arial" w:cs="Arial"/>
                <w:noProof/>
                <w:sz w:val="24"/>
                <w:szCs w:val="24"/>
              </w:rPr>
              <w:t>4.3</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PREPARAÇÃO PARA A PLOTAGEM GRÁFICA</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_Toc11753392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35</w:t>
            </w:r>
            <w:r w:rsidR="00FA6A42" w:rsidRPr="00707742">
              <w:rPr>
                <w:rFonts w:ascii="Arial" w:hAnsi="Arial" w:cs="Arial"/>
                <w:noProof/>
                <w:webHidden/>
                <w:sz w:val="24"/>
                <w:szCs w:val="24"/>
              </w:rPr>
              <w:fldChar w:fldCharType="end"/>
            </w:r>
          </w:hyperlink>
        </w:p>
        <w:p w14:paraId="23FFB4EF" w14:textId="70717578" w:rsidR="00FA6A42" w:rsidRPr="00707742" w:rsidRDefault="00697896"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3" w:history="1">
            <w:r w:rsidR="00FA6A42" w:rsidRPr="00707742">
              <w:rPr>
                <w:rStyle w:val="Hyperlink"/>
                <w:rFonts w:ascii="Arial" w:hAnsi="Arial" w:cs="Arial"/>
                <w:noProof/>
                <w:sz w:val="24"/>
                <w:szCs w:val="24"/>
              </w:rPr>
              <w:t>4.4</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META INFORMAÇÃO</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_Toc11753393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40</w:t>
            </w:r>
            <w:r w:rsidR="00FA6A42" w:rsidRPr="00707742">
              <w:rPr>
                <w:rFonts w:ascii="Arial" w:hAnsi="Arial" w:cs="Arial"/>
                <w:noProof/>
                <w:webHidden/>
                <w:sz w:val="24"/>
                <w:szCs w:val="24"/>
              </w:rPr>
              <w:fldChar w:fldCharType="end"/>
            </w:r>
          </w:hyperlink>
        </w:p>
        <w:p w14:paraId="23CCE8E7" w14:textId="631F32B8" w:rsidR="00FA6A42" w:rsidRPr="00707742" w:rsidRDefault="00697896" w:rsidP="007F6703">
          <w:pPr>
            <w:pStyle w:val="Sumrio2"/>
            <w:tabs>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4" w:history="1">
            <w:r w:rsidR="00FA6A42" w:rsidRPr="00707742">
              <w:rPr>
                <w:rStyle w:val="Hyperlink"/>
                <w:rFonts w:ascii="Arial" w:hAnsi="Arial" w:cs="Arial"/>
                <w:noProof/>
                <w:sz w:val="24"/>
                <w:szCs w:val="24"/>
              </w:rPr>
              <w:t>4.5</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_Toc11753394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41</w:t>
            </w:r>
            <w:r w:rsidR="00FA6A42" w:rsidRPr="00707742">
              <w:rPr>
                <w:rFonts w:ascii="Arial" w:hAnsi="Arial" w:cs="Arial"/>
                <w:noProof/>
                <w:webHidden/>
                <w:sz w:val="24"/>
                <w:szCs w:val="24"/>
              </w:rPr>
              <w:fldChar w:fldCharType="end"/>
            </w:r>
          </w:hyperlink>
        </w:p>
        <w:p w14:paraId="070FA29D" w14:textId="23B398D3" w:rsidR="00FA6A42" w:rsidRPr="00707742" w:rsidRDefault="00697896" w:rsidP="00E02E64">
          <w:pPr>
            <w:pStyle w:val="Sumrio1"/>
            <w:rPr>
              <w:rFonts w:eastAsiaTheme="minorEastAsia" w:cstheme="minorBidi"/>
              <w:noProof/>
              <w:lang w:eastAsia="ko-KR"/>
            </w:rPr>
          </w:pPr>
          <w:hyperlink w:anchor="_Toc11753395" w:history="1">
            <w:r w:rsidR="00FA6A42" w:rsidRPr="00707742">
              <w:rPr>
                <w:rStyle w:val="Hyperlink"/>
                <w:noProof/>
                <w:szCs w:val="24"/>
              </w:rPr>
              <w:t>5</w:t>
            </w:r>
            <w:r w:rsidR="00FA6A42" w:rsidRPr="00707742">
              <w:rPr>
                <w:rFonts w:eastAsiaTheme="minorEastAsia" w:cstheme="minorBidi"/>
                <w:noProof/>
                <w:lang w:eastAsia="ko-KR"/>
              </w:rPr>
              <w:tab/>
            </w:r>
            <w:r w:rsidR="00FA6A42" w:rsidRPr="00707742">
              <w:rPr>
                <w:rStyle w:val="Hyperlink"/>
                <w:noProof/>
                <w:szCs w:val="24"/>
              </w:rPr>
              <w:t>TESTES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_Toc11753395 \h </w:instrText>
            </w:r>
            <w:r w:rsidR="00FA6A42" w:rsidRPr="00707742">
              <w:rPr>
                <w:noProof/>
                <w:webHidden/>
              </w:rPr>
            </w:r>
            <w:r w:rsidR="00FA6A42" w:rsidRPr="00707742">
              <w:rPr>
                <w:noProof/>
                <w:webHidden/>
              </w:rPr>
              <w:fldChar w:fldCharType="separate"/>
            </w:r>
            <w:r w:rsidR="00350DCB" w:rsidRPr="00707742">
              <w:rPr>
                <w:noProof/>
                <w:webHidden/>
              </w:rPr>
              <w:t>42</w:t>
            </w:r>
            <w:r w:rsidR="00FA6A42" w:rsidRPr="00707742">
              <w:rPr>
                <w:noProof/>
                <w:webHidden/>
              </w:rPr>
              <w:fldChar w:fldCharType="end"/>
            </w:r>
          </w:hyperlink>
        </w:p>
        <w:p w14:paraId="7DDE1974" w14:textId="178EAEC6" w:rsidR="00FA6A42" w:rsidRPr="00707742" w:rsidRDefault="00697896" w:rsidP="00E02E64">
          <w:pPr>
            <w:pStyle w:val="Sumrio1"/>
            <w:rPr>
              <w:rFonts w:eastAsiaTheme="minorEastAsia" w:cstheme="minorBidi"/>
              <w:noProof/>
              <w:lang w:eastAsia="ko-KR"/>
            </w:rPr>
          </w:pPr>
          <w:hyperlink w:anchor="_Toc11753396" w:history="1">
            <w:r w:rsidR="00FA6A42" w:rsidRPr="00707742">
              <w:rPr>
                <w:rStyle w:val="Hyperlink"/>
                <w:noProof/>
                <w:szCs w:val="24"/>
              </w:rPr>
              <w:t>6</w:t>
            </w:r>
            <w:r w:rsidR="00FA6A42" w:rsidRPr="00707742">
              <w:rPr>
                <w:rFonts w:eastAsiaTheme="minorEastAsia" w:cstheme="minorBidi"/>
                <w:noProof/>
                <w:lang w:eastAsia="ko-KR"/>
              </w:rPr>
              <w:tab/>
            </w:r>
            <w:r w:rsidR="00FA6A42" w:rsidRPr="00707742">
              <w:rPr>
                <w:rStyle w:val="Hyperlink"/>
                <w:noProof/>
                <w:szCs w:val="24"/>
              </w:rPr>
              <w:t>CONCLUSÕES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_Toc11753396 \h </w:instrText>
            </w:r>
            <w:r w:rsidR="00FA6A42" w:rsidRPr="00707742">
              <w:rPr>
                <w:noProof/>
                <w:webHidden/>
              </w:rPr>
            </w:r>
            <w:r w:rsidR="00FA6A42" w:rsidRPr="00707742">
              <w:rPr>
                <w:noProof/>
                <w:webHidden/>
              </w:rPr>
              <w:fldChar w:fldCharType="separate"/>
            </w:r>
            <w:r w:rsidR="00350DCB" w:rsidRPr="00707742">
              <w:rPr>
                <w:noProof/>
                <w:webHidden/>
              </w:rPr>
              <w:t>43</w:t>
            </w:r>
            <w:r w:rsidR="00FA6A42" w:rsidRPr="00707742">
              <w:rPr>
                <w:noProof/>
                <w:webHidden/>
              </w:rPr>
              <w:fldChar w:fldCharType="end"/>
            </w:r>
          </w:hyperlink>
        </w:p>
        <w:p w14:paraId="4C836EBA" w14:textId="6AF22A22" w:rsidR="00FA6A42" w:rsidRPr="00707742" w:rsidRDefault="00697896" w:rsidP="00E02E64">
          <w:pPr>
            <w:pStyle w:val="Sumrio1"/>
            <w:rPr>
              <w:rFonts w:eastAsiaTheme="minorEastAsia" w:cstheme="minorBidi"/>
              <w:noProof/>
              <w:lang w:eastAsia="ko-KR"/>
            </w:rPr>
          </w:pPr>
          <w:hyperlink w:anchor="_Toc11753397" w:history="1">
            <w:r w:rsidR="00FA6A42" w:rsidRPr="00707742">
              <w:rPr>
                <w:rStyle w:val="Hyperlink"/>
                <w:noProof/>
                <w:szCs w:val="24"/>
              </w:rPr>
              <w:t>7</w:t>
            </w:r>
            <w:r w:rsidR="00FA6A42" w:rsidRPr="00707742">
              <w:rPr>
                <w:rFonts w:eastAsiaTheme="minorEastAsia" w:cstheme="minorBidi"/>
                <w:noProof/>
                <w:lang w:eastAsia="ko-KR"/>
              </w:rPr>
              <w:tab/>
            </w:r>
            <w:r w:rsidR="00FA6A42" w:rsidRPr="00707742">
              <w:rPr>
                <w:rStyle w:val="Hyperlink"/>
                <w:noProof/>
                <w:szCs w:val="24"/>
              </w:rPr>
              <w:t>BIBLIOGRAFIA</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_Toc11753397 \h </w:instrText>
            </w:r>
            <w:r w:rsidR="00FA6A42" w:rsidRPr="00707742">
              <w:rPr>
                <w:noProof/>
                <w:webHidden/>
              </w:rPr>
            </w:r>
            <w:r w:rsidR="00FA6A42" w:rsidRPr="00707742">
              <w:rPr>
                <w:noProof/>
                <w:webHidden/>
              </w:rPr>
              <w:fldChar w:fldCharType="separate"/>
            </w:r>
            <w:r w:rsidR="00350DCB" w:rsidRPr="00707742">
              <w:rPr>
                <w:noProof/>
                <w:webHidden/>
              </w:rPr>
              <w:t>44</w:t>
            </w:r>
            <w:r w:rsidR="00FA6A42" w:rsidRPr="00707742">
              <w:rPr>
                <w:noProof/>
                <w:webHidden/>
              </w:rPr>
              <w:fldChar w:fldCharType="end"/>
            </w:r>
          </w:hyperlink>
        </w:p>
        <w:p w14:paraId="610E6719" w14:textId="664E900D"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0"/>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9" w:name="_Toc101326828"/>
      <w:bookmarkStart w:id="50" w:name="_Toc11509266"/>
      <w:bookmarkStart w:id="51" w:name="_Toc11753112"/>
      <w:bookmarkStart w:id="52" w:name="_Toc11753198"/>
      <w:bookmarkStart w:id="53" w:name="_Toc11753381"/>
      <w:r>
        <w:lastRenderedPageBreak/>
        <w:t>INTRODUÇÃO</w:t>
      </w:r>
      <w:bookmarkEnd w:id="49"/>
      <w:bookmarkEnd w:id="50"/>
      <w:bookmarkEnd w:id="51"/>
      <w:bookmarkEnd w:id="52"/>
      <w:bookmarkEnd w:id="53"/>
    </w:p>
    <w:p w14:paraId="5594A917" w14:textId="26BF1FC0" w:rsidR="00540FBA" w:rsidRDefault="0042060A" w:rsidP="00956E82">
      <w:pPr>
        <w:ind w:firstLine="1134"/>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um conjunto de técnicas de pesquisas em bases de dados, é utilizado cada vez mais.</w:t>
      </w: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17B15D24" w:rsidR="00F34AF0" w:rsidRDefault="00F34AF0" w:rsidP="00F34AF0">
      <w:pPr>
        <w:pStyle w:val="PargrafodaLista"/>
        <w:numPr>
          <w:ilvl w:val="0"/>
          <w:numId w:val="37"/>
        </w:numPr>
      </w:pPr>
      <w:r>
        <w:t xml:space="preserve">Implementação do cálculo da </w:t>
      </w:r>
      <w:r w:rsidR="007E3A33">
        <w:t>distância</w:t>
      </w:r>
      <w:r>
        <w:t xml:space="preserve">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lastRenderedPageBreak/>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1"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54" w:name="_Toc11509267"/>
      <w:bookmarkStart w:id="55" w:name="_Toc11753113"/>
      <w:bookmarkStart w:id="56" w:name="_Toc11753199"/>
      <w:bookmarkStart w:id="57" w:name="_Toc11753382"/>
      <w:r w:rsidR="004761EA">
        <w:lastRenderedPageBreak/>
        <w:t>T</w:t>
      </w:r>
      <w:r w:rsidR="007B293D">
        <w:t>RABALHOS RELACIONADOS</w:t>
      </w:r>
      <w:bookmarkEnd w:id="54"/>
      <w:bookmarkEnd w:id="55"/>
      <w:bookmarkEnd w:id="56"/>
      <w:bookmarkEnd w:id="57"/>
    </w:p>
    <w:p w14:paraId="7EAC5195" w14:textId="7F20E69D"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8" w:name="CAPITULO1"/>
      <w:r>
        <w:t>regras de associação</w:t>
      </w:r>
      <w:bookmarkEnd w:id="58"/>
      <w:r w:rsidR="00BA758C">
        <w:t xml:space="preserve"> (</w:t>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2912BB">
        <w:fldChar w:fldCharType="begin"/>
      </w:r>
      <w:r w:rsidR="002912BB">
        <w:instrText xml:space="preserve"> REF RA \h </w:instrText>
      </w:r>
      <w:r w:rsidR="002912BB">
        <w:fldChar w:fldCharType="separate"/>
      </w:r>
      <w:r w:rsidR="00350DCB" w:rsidRPr="00350DC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lastRenderedPageBreak/>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9" w:name="IDEA"/>
      <w:r>
        <w:rPr>
          <w:noProof/>
        </w:rPr>
        <w:t>IDEA</w:t>
      </w:r>
      <w:bookmarkEnd w:id="59"/>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60" w:name="_Toc11509268"/>
      <w:bookmarkStart w:id="61" w:name="_Toc11753114"/>
      <w:bookmarkStart w:id="62" w:name="_Toc11753200"/>
      <w:bookmarkStart w:id="63" w:name="_Toc11753383"/>
      <w:r w:rsidR="00112C66">
        <w:lastRenderedPageBreak/>
        <w:t>FUNDAMENTAÇÃO TEÓRICA</w:t>
      </w:r>
      <w:bookmarkEnd w:id="60"/>
      <w:bookmarkEnd w:id="61"/>
      <w:bookmarkEnd w:id="62"/>
      <w:bookmarkEnd w:id="63"/>
    </w:p>
    <w:p w14:paraId="3AE2C376" w14:textId="7934021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64" w:name="_Toc11509269"/>
      <w:bookmarkStart w:id="65" w:name="_Toc11753115"/>
      <w:bookmarkStart w:id="66" w:name="_Toc11753201"/>
      <w:bookmarkStart w:id="67" w:name="_Toc11753384"/>
      <w:r>
        <w:t>REGRAS DE ASSOCIAÇÃO</w:t>
      </w:r>
      <w:bookmarkEnd w:id="64"/>
      <w:bookmarkEnd w:id="65"/>
      <w:bookmarkEnd w:id="66"/>
      <w:bookmarkEnd w:id="67"/>
    </w:p>
    <w:p w14:paraId="21320BC3" w14:textId="40817E33" w:rsidR="00374CA3" w:rsidRPr="001F120E" w:rsidRDefault="005A5516" w:rsidP="00E02E64">
      <w:pPr>
        <w:pStyle w:val="Sumrio1"/>
      </w:pPr>
      <w:bookmarkStart w:id="68" w:name="_Hlk8944476"/>
      <w:r>
        <w:tab/>
      </w:r>
      <w:r w:rsidRPr="001F120E">
        <w:t xml:space="preserve">Formada por milhares de itens armazenados uma grande base de dados </w:t>
      </w:r>
      <w:bookmarkStart w:id="69"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9"/>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r w:rsidRPr="008E6844">
        <w:rPr>
          <w:rFonts w:cs="Arial"/>
          <w:i/>
          <w:iCs/>
        </w:rPr>
        <w:t>itemset</w:t>
      </w:r>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70"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fldSimple w:instr=" SEQ Equação \* ARABIC ">
              <w:r w:rsidR="00350DCB">
                <w:rPr>
                  <w:noProof/>
                </w:rPr>
                <w:t>1</w:t>
              </w:r>
            </w:fldSimple>
            <w:r w:rsidRPr="00B658AD">
              <w:t>)</w:t>
            </w:r>
          </w:p>
        </w:tc>
      </w:tr>
      <w:bookmarkEnd w:id="70"/>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fldSimple w:instr=" SEQ Equação \* ARABIC ">
              <w:r>
                <w:rPr>
                  <w:noProof/>
                </w:rPr>
                <w:t>2</w:t>
              </w:r>
            </w:fldSimple>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229F5633" w:rsidR="00374CA3" w:rsidRPr="005B15E8" w:rsidRDefault="00374CA3" w:rsidP="00374CA3">
      <w:pPr>
        <w:ind w:firstLine="1134"/>
      </w:pPr>
      <w:r>
        <w:t xml:space="preserve">O suporte de um </w:t>
      </w:r>
      <w:r w:rsidRPr="00BB3233">
        <w:rPr>
          <w:i/>
        </w:rPr>
        <w:t>itemset</w:t>
      </w:r>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r w:rsidRPr="00332DB1">
        <w:t xml:space="preserve"> </w:t>
      </w:r>
      <w:bookmarkEnd w:id="68"/>
    </w:p>
    <w:p w14:paraId="1AB137CE" w14:textId="77777777" w:rsidR="000C2F83" w:rsidRPr="000C2F83" w:rsidRDefault="000C2F83" w:rsidP="00E02E64">
      <w:pPr>
        <w:pStyle w:val="Sumrio1"/>
      </w:pPr>
    </w:p>
    <w:p w14:paraId="1BB68C31" w14:textId="7AB0D144" w:rsidR="000C2F83" w:rsidRDefault="00B209E7" w:rsidP="00180DE7">
      <w:pPr>
        <w:pStyle w:val="Ttulo2"/>
      </w:pPr>
      <w:bookmarkStart w:id="71" w:name="_dUAL_sCALING"/>
      <w:bookmarkStart w:id="72" w:name="_Ref11107904"/>
      <w:bookmarkStart w:id="73" w:name="_Ref11107936"/>
      <w:bookmarkStart w:id="74" w:name="_Ref11107964"/>
      <w:bookmarkStart w:id="75" w:name="_Ref11107966"/>
      <w:bookmarkStart w:id="76" w:name="_Ref11108715"/>
      <w:bookmarkStart w:id="77" w:name="_Toc11509270"/>
      <w:bookmarkStart w:id="78" w:name="_Toc11753116"/>
      <w:bookmarkStart w:id="79" w:name="_Toc11753202"/>
      <w:bookmarkStart w:id="80" w:name="_Toc11753385"/>
      <w:bookmarkEnd w:id="71"/>
      <w:r>
        <w:lastRenderedPageBreak/>
        <w:t>DUAL SCALING</w:t>
      </w:r>
      <w:bookmarkEnd w:id="72"/>
      <w:bookmarkEnd w:id="73"/>
      <w:bookmarkEnd w:id="74"/>
      <w:bookmarkEnd w:id="75"/>
      <w:bookmarkEnd w:id="76"/>
      <w:bookmarkEnd w:id="77"/>
      <w:bookmarkEnd w:id="78"/>
      <w:bookmarkEnd w:id="79"/>
      <w:bookmarkEnd w:id="80"/>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697896"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fldSimple w:instr=" SEQ Equação \* ARABIC ">
              <w:r w:rsidR="00350DCB">
                <w:rPr>
                  <w:noProof/>
                </w:rPr>
                <w:t>3</w:t>
              </w:r>
            </w:fldSimple>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697896"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fldSimple w:instr=" SEQ Equação \* ARABIC ">
              <w:r w:rsidR="00350DCB">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697896"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fldSimple w:instr=" SEQ Equação \* ARABIC ">
              <w:r w:rsidR="00350DCB">
                <w:rPr>
                  <w:noProof/>
                </w:rPr>
                <w:t>5</w:t>
              </w:r>
            </w:fldSimple>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697896"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fldSimple w:instr=" SEQ Equação \* ARABIC ">
              <w:r w:rsidR="00350DCB">
                <w:rPr>
                  <w:noProof/>
                </w:rPr>
                <w:t>6</w:t>
              </w:r>
            </w:fldSimple>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697896"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fldSimple w:instr=" SEQ Equação \* ARABIC ">
              <w:r w:rsidR="00350DCB">
                <w:rPr>
                  <w:noProof/>
                </w:rPr>
                <w:t>7</w:t>
              </w:r>
            </w:fldSimple>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fldSimple w:instr=" SEQ Equação \* ARABIC ">
              <w:r w:rsidR="00350DCB">
                <w:rPr>
                  <w:noProof/>
                </w:rPr>
                <w:t>8</w:t>
              </w:r>
            </w:fldSimple>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fldSimple w:instr=" SEQ Equação \* ARABIC ">
              <w:r w:rsidR="00350DCB">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697896"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fldSimple w:instr=" SEQ Equação \* ARABIC ">
              <w:r w:rsidR="00350DCB">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697896"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fldSimple w:instr=" SEQ Equação \* ARABIC ">
              <w:r w:rsidR="00350DCB">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697896"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fldSimple w:instr=" SEQ Equação \* ARABIC ">
              <w:r w:rsidR="00350DCB">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697896"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fldSimple w:instr=" SEQ Equação \* ARABIC ">
              <w:r w:rsidR="00350DCB">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697896"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fldSimple w:instr=" SEQ Equação \* ARABIC ">
              <w:r w:rsidR="00350DCB">
                <w:rPr>
                  <w:noProof/>
                </w:rPr>
                <w:t>14</w:t>
              </w:r>
            </w:fldSimple>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fldSimple w:instr=" SEQ Equação \* ARABIC ">
              <w:r w:rsidR="00350DCB">
                <w:rPr>
                  <w:noProof/>
                </w:rPr>
                <w:t>15</w:t>
              </w:r>
            </w:fldSimple>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697896"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fldSimple w:instr=" SEQ Equação \* ARABIC ">
              <w:r w:rsidR="00350DCB">
                <w:rPr>
                  <w:noProof/>
                </w:rPr>
                <w:t>16</w:t>
              </w:r>
            </w:fldSimple>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697896"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fldSimple w:instr=" SEQ Equação \* ARABIC ">
              <w:r w:rsidR="00350DCB">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697896"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fldSimple w:instr=" SEQ Equação \* ARABIC ">
              <w:r w:rsidR="00350DCB">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81" w:name="_Toc11509271"/>
      <w:bookmarkStart w:id="82" w:name="_Toc11753117"/>
      <w:bookmarkStart w:id="83" w:name="_Toc11753203"/>
      <w:bookmarkStart w:id="84" w:name="_Toc11753386"/>
      <w:r>
        <w:t>CÁLCULO DAS DISTANCIAS</w:t>
      </w:r>
      <w:bookmarkEnd w:id="81"/>
      <w:bookmarkEnd w:id="82"/>
      <w:bookmarkEnd w:id="83"/>
      <w:bookmarkEnd w:id="84"/>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E02E64">
      <w:pPr>
        <w:pStyle w:val="Sumrio1"/>
      </w:pPr>
    </w:p>
    <w:p w14:paraId="79095797" w14:textId="05F4B993" w:rsidR="00354159" w:rsidRDefault="00354159" w:rsidP="00354159">
      <w:pPr>
        <w:pStyle w:val="Ttulo3"/>
      </w:pPr>
      <w:bookmarkStart w:id="85" w:name="_Toc516400569"/>
      <w:bookmarkStart w:id="86" w:name="_Toc11509272"/>
      <w:bookmarkStart w:id="87" w:name="_Toc11753118"/>
      <w:bookmarkStart w:id="88" w:name="_Toc11753204"/>
      <w:bookmarkStart w:id="89" w:name="_Toc11753387"/>
      <w:commentRangeStart w:id="90"/>
      <w:r w:rsidRPr="00DC5985">
        <w:t>D</w:t>
      </w:r>
      <w:r>
        <w:t>ISTÂNCIAS INTRA-GRUPO – ITENS</w:t>
      </w:r>
      <w:bookmarkEnd w:id="85"/>
      <w:bookmarkEnd w:id="86"/>
      <w:bookmarkEnd w:id="87"/>
      <w:bookmarkEnd w:id="88"/>
      <w:bookmarkEnd w:id="89"/>
      <w:commentRangeEnd w:id="90"/>
      <w:r w:rsidR="007E3A33">
        <w:rPr>
          <w:rStyle w:val="Refdecomentrio"/>
        </w:rPr>
        <w:commentReference w:id="90"/>
      </w:r>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697896"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fldSimple w:instr=" SEQ Equação \* ARABIC ">
              <w:r w:rsidR="00350DCB">
                <w:rPr>
                  <w:noProof/>
                </w:rPr>
                <w:t>19</w:t>
              </w:r>
            </w:fldSimple>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commentRangeStart w:id="91"/>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commentRangeEnd w:id="91"/>
      <w:r w:rsidR="007E3A33">
        <w:rPr>
          <w:rStyle w:val="Refdecomentrio"/>
        </w:rPr>
        <w:commentReference w:id="91"/>
      </w:r>
      <w:r>
        <w:rPr>
          <w:rFonts w:cs="Arial"/>
          <w:szCs w:val="24"/>
        </w:rPr>
        <w:t xml:space="preserve">, vamos exemplificar o cálculo da distância dos itens 3 (pressão alta) e 9 (idoso). Temos então: </w:t>
      </w:r>
    </w:p>
    <w:p w14:paraId="108FFE1B" w14:textId="77777777" w:rsidR="00354159" w:rsidRDefault="00697896"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697896"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commentRangeStart w:id="92"/>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commentRangeEnd w:id="92"/>
      <w:r w:rsidR="007E3A33">
        <w:rPr>
          <w:rStyle w:val="Refdecomentrio"/>
        </w:rPr>
        <w:commentReference w:id="92"/>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E02E64">
      <w:pPr>
        <w:pStyle w:val="Sumrio1"/>
      </w:pPr>
    </w:p>
    <w:p w14:paraId="323916DC" w14:textId="2CE49B15" w:rsidR="00354159" w:rsidRDefault="00354159" w:rsidP="00354159">
      <w:pPr>
        <w:pStyle w:val="Ttulo3"/>
      </w:pPr>
      <w:bookmarkStart w:id="93" w:name="_Toc516400570"/>
      <w:bookmarkStart w:id="94" w:name="_Toc11509273"/>
      <w:bookmarkStart w:id="95" w:name="_Toc11753119"/>
      <w:bookmarkStart w:id="96" w:name="_Toc11753205"/>
      <w:bookmarkStart w:id="97" w:name="_Toc11753388"/>
      <w:commentRangeStart w:id="98"/>
      <w:r>
        <w:t>DISTÂNCIAS INTRA-GRUPO - TRANSAÇÕES</w:t>
      </w:r>
      <w:bookmarkEnd w:id="93"/>
      <w:bookmarkEnd w:id="94"/>
      <w:bookmarkEnd w:id="95"/>
      <w:bookmarkEnd w:id="96"/>
      <w:bookmarkEnd w:id="97"/>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697896"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fldSimple w:instr=" SEQ Equação \* ARABIC ">
              <w:r w:rsidR="00350DCB">
                <w:rPr>
                  <w:noProof/>
                </w:rPr>
                <w:t>20</w:t>
              </w:r>
            </w:fldSimple>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lastRenderedPageBreak/>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697896"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697896"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9"/>
      <w:r w:rsidR="009B3C68">
        <w:rPr>
          <w:rFonts w:cs="Arial"/>
          <w:color w:val="C00000"/>
          <w:szCs w:val="24"/>
        </w:rPr>
        <w:t>(o que ocorre aqui)</w:t>
      </w:r>
      <w:commentRangeEnd w:id="99"/>
      <w:r w:rsidR="009B3C68">
        <w:rPr>
          <w:rStyle w:val="Refdecomentrio"/>
        </w:rPr>
        <w:commentReference w:id="99"/>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commentRangeEnd w:id="98"/>
      <w:r w:rsidR="007E3A33">
        <w:rPr>
          <w:rStyle w:val="Refdecomentrio"/>
        </w:rPr>
        <w:commentReference w:id="98"/>
      </w:r>
    </w:p>
    <w:p w14:paraId="4369B502" w14:textId="4E97BFF7" w:rsidR="000C4D53" w:rsidRDefault="000C4D53" w:rsidP="00354159">
      <w:pPr>
        <w:pStyle w:val="Ttulo3"/>
      </w:pPr>
      <w:r>
        <w:br w:type="page"/>
      </w:r>
    </w:p>
    <w:p w14:paraId="4951EB29" w14:textId="7BC24E78" w:rsidR="000543FD" w:rsidRDefault="000543FD" w:rsidP="00DB7E44">
      <w:pPr>
        <w:pStyle w:val="Ttulo1"/>
      </w:pPr>
      <w:bookmarkStart w:id="100" w:name="_Toc11509274"/>
      <w:bookmarkStart w:id="101" w:name="_Toc11753120"/>
      <w:bookmarkStart w:id="102" w:name="_Toc11753206"/>
      <w:bookmarkStart w:id="103" w:name="_Toc11753389"/>
      <w:r>
        <w:lastRenderedPageBreak/>
        <w:t>VISUALIZADOR</w:t>
      </w:r>
      <w:bookmarkEnd w:id="100"/>
      <w:bookmarkEnd w:id="101"/>
      <w:bookmarkEnd w:id="102"/>
      <w:bookmarkEnd w:id="103"/>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hyperlink w:anchor="_dUAL_sCALING" w:history="1">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hyperlink>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104" w:name="_Toc11753121"/>
      <w:bookmarkStart w:id="105" w:name="_Toc11753207"/>
      <w:bookmarkStart w:id="106" w:name="_Toc11753390"/>
      <w:r>
        <w:t xml:space="preserve">SUBMATRIZ DE </w:t>
      </w:r>
      <w:r w:rsidR="00956E82">
        <w:t>DISTÂNCIA DADA UMA RA</w:t>
      </w:r>
      <w:bookmarkEnd w:id="104"/>
      <w:bookmarkEnd w:id="105"/>
      <w:bookmarkEnd w:id="106"/>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lastRenderedPageBreak/>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71CD5521" w14:textId="134A69F4" w:rsidR="00956E82" w:rsidRDefault="00956E82" w:rsidP="00956E82">
      <w:pPr>
        <w:pStyle w:val="Ttulo2"/>
        <w:tabs>
          <w:tab w:val="clear" w:pos="2420"/>
          <w:tab w:val="num" w:pos="576"/>
        </w:tabs>
        <w:ind w:left="576"/>
      </w:pPr>
      <w:bookmarkStart w:id="107" w:name="_Toc11753122"/>
      <w:bookmarkStart w:id="108" w:name="_Toc11753208"/>
      <w:bookmarkStart w:id="109" w:name="_Toc11753391"/>
      <w:bookmarkStart w:id="110" w:name="_Toc11509276"/>
      <w:r>
        <w:t>VE</w:t>
      </w:r>
      <w:r w:rsidR="006E7D37">
        <w:t>RIFICAÇÃO DAS RELAÇÕES D</w:t>
      </w:r>
      <w:r w:rsidR="006357E4">
        <w:t>E</w:t>
      </w:r>
      <w:r w:rsidR="006E7D37">
        <w:t xml:space="preserve"> DISTÂNCIAS</w:t>
      </w:r>
      <w:bookmarkEnd w:id="107"/>
      <w:bookmarkEnd w:id="108"/>
      <w:bookmarkEnd w:id="109"/>
      <w:r w:rsidR="006E7D37">
        <w:t xml:space="preserve"> </w:t>
      </w:r>
    </w:p>
    <w:p w14:paraId="214A6041" w14:textId="238BD412" w:rsidR="00956E82" w:rsidRDefault="009B3C68" w:rsidP="00E02E64">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11" w:name="_Ref11107657"/>
            <w:r w:rsidRPr="00B658AD">
              <w:t>(</w:t>
            </w:r>
            <w:fldSimple w:instr=" SEQ Equação \* ARABIC ">
              <w:r>
                <w:rPr>
                  <w:noProof/>
                </w:rPr>
                <w:t>21</w:t>
              </w:r>
            </w:fldSimple>
            <w:r w:rsidRPr="00B658AD">
              <w:t>)</w:t>
            </w:r>
            <w:bookmarkEnd w:id="111"/>
          </w:p>
        </w:tc>
      </w:tr>
    </w:tbl>
    <w:p w14:paraId="7619FDA4" w14:textId="77777777" w:rsidR="00956E82" w:rsidRDefault="00956E82" w:rsidP="00E02E64">
      <w:pPr>
        <w:pStyle w:val="Sumrio1"/>
      </w:pPr>
    </w:p>
    <w:p w14:paraId="5E248386" w14:textId="6520E7FB" w:rsidR="00956E82" w:rsidRDefault="009B3C68" w:rsidP="00E02E6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E02E64">
      <w:pPr>
        <w:pStyle w:val="Sumrio1"/>
      </w:pPr>
      <w:r>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697896"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12" w:name="_Hlk10313235"/>
    <w:p w14:paraId="69CF6764" w14:textId="69EB5881" w:rsidR="00956E82" w:rsidRPr="00661F6C" w:rsidRDefault="00697896"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12"/>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t xml:space="preserve">O questionário realizado com 15 indivíduos, foi tabulado no padrão 0 e 1, onde 0 corresponde à resposta negativa e 1 à positiva para cada um dos itens. O resultado pode ser observado na Tabela 1. Nesta, cada indivíduo é tratado como uma </w:t>
      </w:r>
      <w:r>
        <w:rPr>
          <w:rFonts w:cs="Arial"/>
          <w:szCs w:val="24"/>
          <w:lang w:eastAsia="ko-KR"/>
        </w:rPr>
        <w:lastRenderedPageBreak/>
        <w:t>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00C492DB" w:rsidR="00956E82" w:rsidRDefault="00956E82" w:rsidP="00956E82">
      <w:pPr>
        <w:jc w:val="left"/>
      </w:pPr>
      <w:r w:rsidRPr="00DD2AB7">
        <w:t xml:space="preserve">Tabela </w:t>
      </w:r>
      <w:r>
        <w:t>1</w:t>
      </w:r>
      <w:r w:rsidRPr="00DD2AB7">
        <w:t xml:space="preserve"> </w:t>
      </w:r>
      <w:r w:rsidR="00EB0F7A">
        <w:t>– Matriz</w:t>
      </w:r>
      <w:r w:rsidRPr="00DD2AB7">
        <w:t xml:space="preserve"> </w:t>
      </w:r>
      <w:r>
        <w:t>P</w:t>
      </w:r>
      <w:r w:rsidRPr="00DD2AB7">
        <w:t xml:space="preserve">adrão de </w:t>
      </w:r>
      <w:r>
        <w:t>R</w:t>
      </w:r>
      <w:r w:rsidRPr="00DD2AB7">
        <w:t>espostas.</w:t>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13" w:name="RANGE!E5:T24"/>
            <w:r w:rsidRPr="005617A5">
              <w:rPr>
                <w:rFonts w:cs="Arial"/>
                <w:szCs w:val="24"/>
                <w:lang w:eastAsia="ko-KR"/>
              </w:rPr>
              <w:t> </w:t>
            </w:r>
            <w:bookmarkEnd w:id="113"/>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w:t>
      </w:r>
      <w:r>
        <w:lastRenderedPageBreak/>
        <w:t xml:space="preserve">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697896"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697896"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E02E64">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14" w:name="_Toc11753123"/>
      <w:bookmarkStart w:id="115" w:name="_Toc11753209"/>
      <w:bookmarkStart w:id="116" w:name="_Toc11753392"/>
      <w:commentRangeStart w:id="117"/>
      <w:r>
        <w:t>P</w:t>
      </w:r>
      <w:r w:rsidR="006E7D37">
        <w:t>REPARAÇÃO PARA A PLOTAGEM GRÁFICA</w:t>
      </w:r>
      <w:bookmarkEnd w:id="114"/>
      <w:bookmarkEnd w:id="115"/>
      <w:bookmarkEnd w:id="116"/>
      <w:commentRangeEnd w:id="117"/>
      <w:r w:rsidR="00692233">
        <w:rPr>
          <w:rStyle w:val="Refdecomentrio"/>
          <w:b w:val="0"/>
          <w:caps w:val="0"/>
        </w:rPr>
        <w:commentReference w:id="117"/>
      </w:r>
    </w:p>
    <w:bookmarkEnd w:id="110"/>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 xml:space="preserve">Entramos no estágio de finalização dos cálculos visando a produção final das visualizações e para tal faremos uso do cálculo do </w:t>
      </w:r>
      <w:proofErr w:type="spellStart"/>
      <w:r>
        <w:rPr>
          <w:rStyle w:val="mwe-math-mathml-inline"/>
          <w:rFonts w:cs="Arial"/>
          <w:color w:val="222222"/>
          <w:sz w:val="25"/>
          <w:szCs w:val="25"/>
          <w:lang w:eastAsia="ko-KR"/>
        </w:rPr>
        <w:t>lift</w:t>
      </w:r>
      <w:proofErr w:type="spellEnd"/>
      <w:r>
        <w:rPr>
          <w:rStyle w:val="mwe-math-mathml-inline"/>
          <w:rFonts w:cs="Arial"/>
          <w:color w:val="222222"/>
          <w:sz w:val="25"/>
          <w:szCs w:val="25"/>
          <w:lang w:eastAsia="ko-KR"/>
        </w:rPr>
        <w:t xml:space="preserve"> e da </w:t>
      </w:r>
      <w:proofErr w:type="spellStart"/>
      <w:r>
        <w:rPr>
          <w:rStyle w:val="mwe-math-mathml-inline"/>
          <w:rFonts w:cs="Arial"/>
          <w:color w:val="222222"/>
          <w:sz w:val="25"/>
          <w:szCs w:val="25"/>
          <w:lang w:eastAsia="ko-KR"/>
        </w:rPr>
        <w:t>all-confidence</w:t>
      </w:r>
      <w:proofErr w:type="spellEnd"/>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w:t>
      </w:r>
      <w:proofErr w:type="spellStart"/>
      <w:r w:rsidRPr="00CC5626">
        <w:rPr>
          <w:rStyle w:val="mwe-math-mathml-inline"/>
          <w:rFonts w:cs="Arial"/>
          <w:b/>
          <w:bCs/>
          <w:color w:val="222222"/>
          <w:sz w:val="25"/>
          <w:szCs w:val="25"/>
          <w:lang w:eastAsia="ko-KR"/>
        </w:rPr>
        <w:t>lift</w:t>
      </w:r>
      <w:proofErr w:type="spellEnd"/>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Por exemplo, suponha que uma população tenha uma taxa de resposta média de 5%, mas um determinado modelo (ou regra) identificou um segmento com uma 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Tipicamente, o modelador procura dividir a população em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e classificar os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por sustentação. As organizações podem então considerar cada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 xml:space="preserve"> e, pesando a taxa de resposta prevista (e o benefício financeiro associado) </w:t>
      </w:r>
      <w:r w:rsidRPr="00CC5626">
        <w:rPr>
          <w:rStyle w:val="mwe-math-mathml-inline"/>
          <w:rFonts w:cs="Arial"/>
          <w:color w:val="222222"/>
          <w:sz w:val="25"/>
          <w:szCs w:val="25"/>
          <w:lang w:eastAsia="ko-KR"/>
        </w:rPr>
        <w:lastRenderedPageBreak/>
        <w:t xml:space="preserve">em relação ao custo, eles podem decidir se vão ou não comercializar para esse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onde o antecedente é a variável de entrada que podemos controlar, e a consequente é a variável que estamos tentando prever. Os problemas reais de mineração normalmente teriam antecedentes mais complexos, mas geralmente focam em </w:t>
      </w:r>
      <w:proofErr w:type="spellStart"/>
      <w:r w:rsidRPr="00CC5626">
        <w:rPr>
          <w:rStyle w:val="mwe-math-mathml-inline"/>
          <w:rFonts w:ascii="Arial" w:hAnsi="Arial" w:cs="Arial"/>
          <w:color w:val="222222"/>
        </w:rPr>
        <w:t>conseqüentes</w:t>
      </w:r>
      <w:proofErr w:type="spellEnd"/>
      <w:r w:rsidRPr="00CC5626">
        <w:rPr>
          <w:rStyle w:val="mwe-math-mathml-inline"/>
          <w:rFonts w:ascii="Arial" w:hAnsi="Arial" w:cs="Arial"/>
          <w:color w:val="222222"/>
        </w:rPr>
        <w:t xml:space="preserve">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lastRenderedPageBreak/>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suporte para a Regra 1 é 3/7 porque é o número de itens no conjunto de dados em que o antecedente é A e o consequente 0. O suporte para a Regra 2 é 2/7, porque dois dos sete registros atendem ao antecedente de B e 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Pr="00CC5626">
        <w:rPr>
          <w:rStyle w:val="mwe-math-mathml-inline"/>
          <w:rFonts w:ascii="Arial" w:hAnsi="Arial" w:cs="Arial"/>
          <w:color w:val="222222"/>
        </w:rPr>
        <w:t>l</w:t>
      </w:r>
      <w:r w:rsidR="003D4F02">
        <w:rPr>
          <w:rStyle w:val="mwe-math-mathml-inline"/>
          <w:rFonts w:ascii="Arial" w:hAnsi="Arial" w:cs="Arial"/>
          <w:color w:val="222222"/>
        </w:rPr>
        <w:t>ift</w:t>
      </w:r>
      <w:proofErr w:type="spellEnd"/>
      <w:r w:rsidRPr="00CC5626">
        <w:rPr>
          <w:rStyle w:val="mwe-math-mathml-inline"/>
          <w:rFonts w:ascii="Arial" w:hAnsi="Arial" w:cs="Arial"/>
          <w:color w:val="222222"/>
        </w:rPr>
        <w:t xml:space="preserve"> pode ser encontrado dividindo a confiança pela probabilidade incondicional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lastRenderedPageBreak/>
        <w:t xml:space="preserve">Se alguma regra tivesse um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proofErr w:type="spellStart"/>
      <w:r w:rsidRPr="008E6844">
        <w:rPr>
          <w:rFonts w:cs="Arial"/>
          <w:i/>
          <w:iCs/>
          <w:szCs w:val="24"/>
        </w:rPr>
        <w:t>confi</w:t>
      </w:r>
      <w:r w:rsidR="008E6844" w:rsidRPr="008E6844">
        <w:rPr>
          <w:rFonts w:cs="Arial"/>
          <w:i/>
          <w:iCs/>
          <w:szCs w:val="24"/>
        </w:rPr>
        <w:t>dence</w:t>
      </w:r>
      <w:proofErr w:type="spellEnd"/>
      <w:r w:rsidR="008E6844">
        <w:rPr>
          <w:rFonts w:cs="Arial"/>
          <w:szCs w:val="24"/>
        </w:rPr>
        <w:t xml:space="preserve"> (H-confiança)</w:t>
      </w:r>
      <w:r w:rsidRPr="006A22FE">
        <w:rPr>
          <w:rFonts w:cs="Arial"/>
          <w:szCs w:val="24"/>
        </w:rPr>
        <w:t xml:space="preserve"> também conhecida como </w:t>
      </w:r>
      <w:proofErr w:type="spellStart"/>
      <w:r w:rsidR="008E6844" w:rsidRPr="008E6844">
        <w:rPr>
          <w:rFonts w:cs="Arial"/>
          <w:i/>
          <w:iCs/>
          <w:szCs w:val="24"/>
        </w:rPr>
        <w:t>all-confidence</w:t>
      </w:r>
      <w:proofErr w:type="spellEnd"/>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 xml:space="preserve">tem um h-confiança mais do que um limite especificado pelo usuário, </w:t>
      </w:r>
      <w:proofErr w:type="spellStart"/>
      <w:r w:rsidRPr="006A22FE">
        <w:rPr>
          <w:rFonts w:cs="Arial"/>
          <w:szCs w:val="24"/>
        </w:rPr>
        <w:t>hc</w:t>
      </w:r>
      <w:proofErr w:type="spellEnd"/>
      <w:r w:rsidRPr="006A22FE">
        <w:rPr>
          <w:rFonts w:cs="Arial"/>
          <w:szCs w:val="24"/>
        </w:rPr>
        <w:t>, então</w:t>
      </w:r>
      <w:r w:rsidR="008E6844">
        <w:rPr>
          <w:rFonts w:cs="Arial"/>
          <w:szCs w:val="24"/>
        </w:rPr>
        <w:t xml:space="preserve"> </w:t>
      </w:r>
      <w:r w:rsidRPr="006A22FE">
        <w:rPr>
          <w:rFonts w:cs="Arial"/>
          <w:szCs w:val="24"/>
        </w:rPr>
        <w:t>o conjunto de itens</w:t>
      </w:r>
      <w:r w:rsidR="008E6844">
        <w:rPr>
          <w:rFonts w:cs="Arial"/>
          <w:szCs w:val="24"/>
        </w:rPr>
        <w:t xml:space="preserve"> (</w:t>
      </w:r>
      <w:r w:rsidR="008E6844" w:rsidRPr="008E6844">
        <w:rPr>
          <w:rFonts w:cs="Arial"/>
          <w:i/>
          <w:iCs/>
          <w:szCs w:val="24"/>
        </w:rPr>
        <w:t>itemset</w:t>
      </w:r>
      <w:r w:rsidR="008E6844">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0B3E324A" w14:textId="77777777" w:rsidR="006A22FE" w:rsidRPr="006A22FE" w:rsidRDefault="006A22FE" w:rsidP="006A22FE">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32D3E0E3" w14:textId="77777777" w:rsidR="006A22FE" w:rsidRPr="006A22FE" w:rsidRDefault="006A22FE" w:rsidP="006A22FE">
      <w:pPr>
        <w:rPr>
          <w:rFonts w:cs="Arial"/>
          <w:szCs w:val="24"/>
        </w:rPr>
      </w:pPr>
      <w:proofErr w:type="spellStart"/>
      <w:r w:rsidRPr="006A22FE">
        <w:rPr>
          <w:rFonts w:cs="Arial"/>
          <w:szCs w:val="24"/>
        </w:rPr>
        <w:t>iX</w:t>
      </w:r>
      <w:proofErr w:type="spellEnd"/>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3CBD2D7" w14:textId="77777777" w:rsidR="006A22FE" w:rsidRPr="006A22FE" w:rsidRDefault="006A22FE" w:rsidP="006A22FE">
      <w:pPr>
        <w:rPr>
          <w:rFonts w:cs="Arial"/>
          <w:szCs w:val="24"/>
        </w:rPr>
      </w:pPr>
      <w:proofErr w:type="spellStart"/>
      <w:r w:rsidRPr="006A22FE">
        <w:rPr>
          <w:rFonts w:cs="Arial"/>
          <w:szCs w:val="24"/>
        </w:rPr>
        <w:t>iX</w:t>
      </w:r>
      <w:proofErr w:type="spellEnd"/>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lastRenderedPageBreak/>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 xml:space="preserve">como o original pode ser gerado usando A ′ (i, j) = </w:t>
      </w:r>
      <w:proofErr w:type="spellStart"/>
      <w:r w:rsidRPr="006A22FE">
        <w:rPr>
          <w:rFonts w:cs="Arial"/>
          <w:szCs w:val="24"/>
        </w:rPr>
        <w:t>hconfidence</w:t>
      </w:r>
      <w:proofErr w:type="spellEnd"/>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n2 «(4)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18" w:name="_Toc11509277"/>
      <w:bookmarkStart w:id="119" w:name="_Toc11753124"/>
      <w:bookmarkStart w:id="120" w:name="_Toc11753210"/>
      <w:bookmarkStart w:id="121" w:name="_Toc11753393"/>
      <w:r>
        <w:lastRenderedPageBreak/>
        <w:t>M</w:t>
      </w:r>
      <w:bookmarkEnd w:id="118"/>
      <w:r w:rsidR="006E7D37">
        <w:t>ETA INFORMAÇÃO</w:t>
      </w:r>
      <w:bookmarkEnd w:id="119"/>
      <w:bookmarkEnd w:id="120"/>
      <w:bookmarkEnd w:id="121"/>
    </w:p>
    <w:p w14:paraId="7FE4F87B" w14:textId="0E1D8D55" w:rsidR="00956E82" w:rsidRDefault="0022450D" w:rsidP="00E02E64">
      <w:pPr>
        <w:pStyle w:val="Sumrio1"/>
      </w:pPr>
      <w:r>
        <w:t>Assim que concluímos os diferentes cálculos de distância passamos a ter condições de trabalhar com esses metadados de tal modo, por fim, sermos capazes de prever comportamentos</w:t>
      </w:r>
    </w:p>
    <w:p w14:paraId="1EC3B918" w14:textId="05989FE7" w:rsidR="00956E82" w:rsidRPr="00956E82" w:rsidRDefault="00956E82" w:rsidP="00956E82">
      <w:commentRangeStart w:id="122"/>
      <w:r>
        <w:rPr>
          <w:rFonts w:cs="Arial"/>
          <w:noProof/>
          <w:color w:val="222222"/>
          <w:sz w:val="21"/>
          <w:szCs w:val="21"/>
        </w:rPr>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commentRangeEnd w:id="122"/>
      <w:r w:rsidR="007E3A33">
        <w:rPr>
          <w:rStyle w:val="Refdecomentrio"/>
        </w:rPr>
        <w:commentReference w:id="122"/>
      </w:r>
    </w:p>
    <w:p w14:paraId="38862EB6" w14:textId="4C414AF2" w:rsidR="00956E82" w:rsidRDefault="00956E82" w:rsidP="00E02E64">
      <w:pPr>
        <w:pStyle w:val="Sumrio1"/>
      </w:pPr>
      <w:r>
        <w:rPr>
          <w:noProof/>
        </w:rPr>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41243E0A" w14:textId="4B61B2B2" w:rsidR="00E91C43" w:rsidRPr="00E91C43" w:rsidRDefault="00956E82" w:rsidP="00E02E64">
      <w:pPr>
        <w:pStyle w:val="Sumrio1"/>
      </w:pPr>
      <w:r>
        <w:rPr>
          <w:noProof/>
        </w:rPr>
        <w:lastRenderedPageBreak/>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23" w:name="_Toc11509278"/>
      <w:bookmarkStart w:id="124" w:name="_Toc11753125"/>
      <w:bookmarkStart w:id="125" w:name="_Toc11753211"/>
      <w:bookmarkStart w:id="126" w:name="_Toc11753394"/>
      <w:bookmarkEnd w:id="123"/>
      <w:bookmarkEnd w:id="124"/>
      <w:bookmarkEnd w:id="125"/>
      <w:bookmarkEnd w:id="126"/>
    </w:p>
    <w:p w14:paraId="266CE5C5" w14:textId="77777777" w:rsidR="00031D87" w:rsidRPr="00031D87" w:rsidRDefault="00031D87" w:rsidP="00031D87"/>
    <w:p w14:paraId="3AB76BC4" w14:textId="243BAB8C" w:rsidR="000543FD" w:rsidRDefault="0042569C" w:rsidP="000543FD">
      <w:pPr>
        <w:pStyle w:val="Ttulo1"/>
      </w:pPr>
      <w:r>
        <w:br w:type="page"/>
      </w:r>
      <w:bookmarkStart w:id="127" w:name="_Toc11509279"/>
      <w:bookmarkStart w:id="128" w:name="_Toc11753126"/>
      <w:bookmarkStart w:id="129" w:name="_Toc11753212"/>
      <w:bookmarkStart w:id="130" w:name="_Toc11753395"/>
      <w:r w:rsidR="000543FD">
        <w:lastRenderedPageBreak/>
        <w:t>TESTES</w:t>
      </w:r>
      <w:bookmarkEnd w:id="127"/>
      <w:bookmarkEnd w:id="128"/>
      <w:bookmarkEnd w:id="129"/>
      <w:bookmarkEnd w:id="130"/>
    </w:p>
    <w:p w14:paraId="2030E337" w14:textId="4350B5F2" w:rsidR="00D356AD" w:rsidRPr="00D356AD" w:rsidRDefault="00D356AD" w:rsidP="00D356AD">
      <w:pPr>
        <w:ind w:firstLine="1134"/>
      </w:pPr>
      <w:r>
        <w:t>Neste capítulo aplicaremos o projeto em  bases de dados reais (1) Led 7 Data, () Page B data, retiradas do repositório da UCI&lt;&gt; para ratificar a eficácia da ferramenta.</w:t>
      </w:r>
    </w:p>
    <w:p w14:paraId="3A37A4B6" w14:textId="3BC782BB" w:rsidR="00D356AD" w:rsidRDefault="00D356AD" w:rsidP="00D356AD">
      <w:pPr>
        <w:pStyle w:val="Ttulo2"/>
        <w:tabs>
          <w:tab w:val="clear" w:pos="2420"/>
        </w:tabs>
        <w:ind w:left="567" w:hanging="577"/>
      </w:pPr>
      <w:r>
        <w:t>LED7 DATA</w:t>
      </w:r>
    </w:p>
    <w:p w14:paraId="6FEF1F17" w14:textId="74BD7B9A" w:rsidR="00D356AD" w:rsidRPr="00D356AD" w:rsidRDefault="00D356AD" w:rsidP="00D356AD">
      <w:pPr>
        <w:pStyle w:val="Ttulo2"/>
        <w:tabs>
          <w:tab w:val="clear" w:pos="2420"/>
        </w:tabs>
        <w:ind w:left="567"/>
      </w:pPr>
      <w:r>
        <w:t>pAGE b DATA</w:t>
      </w:r>
    </w:p>
    <w:p w14:paraId="29AE16B2" w14:textId="77777777" w:rsidR="00B916E6" w:rsidRPr="008B72F2" w:rsidRDefault="0042569C" w:rsidP="000543FD">
      <w:pPr>
        <w:pStyle w:val="Ttulo1"/>
      </w:pPr>
      <w:r>
        <w:br w:type="page"/>
      </w:r>
      <w:bookmarkStart w:id="131" w:name="_Toc11509280"/>
      <w:bookmarkStart w:id="132" w:name="_Toc11753127"/>
      <w:bookmarkStart w:id="133" w:name="_Toc11753213"/>
      <w:bookmarkStart w:id="134" w:name="_Toc11753396"/>
      <w:r w:rsidR="008E4E13">
        <w:lastRenderedPageBreak/>
        <w:t>CONCLUSÕES</w:t>
      </w:r>
      <w:bookmarkEnd w:id="131"/>
      <w:bookmarkEnd w:id="132"/>
      <w:bookmarkEnd w:id="133"/>
      <w:bookmarkEnd w:id="134"/>
      <w:r w:rsidR="008E4E13">
        <w:t xml:space="preserve"> </w:t>
      </w:r>
    </w:p>
    <w:p w14:paraId="16A97200" w14:textId="4C8B937F" w:rsidR="007375D3" w:rsidRDefault="00D356AD">
      <w:pPr>
        <w:ind w:firstLine="1077"/>
      </w:pPr>
      <w:r>
        <w:t>Neste projeto apresentamos a importância das principais métricas das regras de associação na verificação de padrões relacionais complexos, a criação de submatrizes representativas das principais métricas das regras de associação, a implementação do cálculo da distancia entre os pontos médios das regras e suas origens,</w:t>
      </w:r>
      <w:r w:rsidR="00387249">
        <w:t xml:space="preserve"> o estudo a respeito do relacionamento das distancias entre os antecedentes e os consequentes das regras abordadas, e foi feita a projeção das transações no espaço solução através do algoritmo </w:t>
      </w:r>
      <w:r w:rsidR="00387249" w:rsidRPr="00387249">
        <w:rPr>
          <w:i/>
        </w:rPr>
        <w:t xml:space="preserve">Dual </w:t>
      </w:r>
      <w:proofErr w:type="spellStart"/>
      <w:r w:rsidR="00387249" w:rsidRPr="00387249">
        <w:rPr>
          <w:i/>
        </w:rPr>
        <w:t>Scaling</w:t>
      </w:r>
      <w:proofErr w:type="spellEnd"/>
      <w:r w:rsidR="00387249">
        <w:t>.</w:t>
      </w:r>
    </w:p>
    <w:p w14:paraId="21A65CD5" w14:textId="0610ACD8" w:rsidR="00387249" w:rsidRDefault="00387249">
      <w:pPr>
        <w:ind w:firstLine="1077"/>
      </w:pPr>
      <w:r>
        <w:t>Seguem como desafios futuros o estudo dos pontos médios entre as transações  e suas origens, a geração dos gráficos destas transações, e as conjecturas sobre as projeções destas transações no espaço-solução.</w:t>
      </w:r>
    </w:p>
    <w:p w14:paraId="7D871A7A" w14:textId="77777777" w:rsidR="00B26F24" w:rsidRPr="000B1024" w:rsidRDefault="00B916E6" w:rsidP="000B1024">
      <w:r>
        <w:br w:type="page"/>
      </w:r>
      <w:bookmarkStart w:id="135" w:name="REFERENCIASBIBLIOGRÁFICAS"/>
      <w:bookmarkEnd w:id="135"/>
    </w:p>
    <w:p w14:paraId="430FA82A" w14:textId="77777777" w:rsidR="00193D3B" w:rsidRDefault="00BF5F47">
      <w:pPr>
        <w:pStyle w:val="Ttulo1"/>
      </w:pPr>
      <w:bookmarkStart w:id="136" w:name="_Toc11509281"/>
      <w:bookmarkStart w:id="137" w:name="_Toc11753128"/>
      <w:bookmarkStart w:id="138" w:name="_Toc11753214"/>
      <w:bookmarkStart w:id="139" w:name="_Toc11753397"/>
      <w:r>
        <w:lastRenderedPageBreak/>
        <w:t>BIBLIOGRAFIA</w:t>
      </w:r>
      <w:bookmarkEnd w:id="136"/>
      <w:bookmarkEnd w:id="137"/>
      <w:bookmarkEnd w:id="138"/>
      <w:bookmarkEnd w:id="139"/>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5"/>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tobelli" w:date="2019-06-18T21:36:00Z" w:initials="a">
    <w:p w14:paraId="22A81388" w14:textId="5297A5FF" w:rsidR="00697896" w:rsidRDefault="00697896">
      <w:pPr>
        <w:pStyle w:val="Textodecomentrio"/>
      </w:pPr>
      <w:r>
        <w:rPr>
          <w:rStyle w:val="Refdecomentrio"/>
        </w:rPr>
        <w:annotationRef/>
      </w:r>
      <w:r>
        <w:t>Tem que fazer</w:t>
      </w:r>
    </w:p>
  </w:comment>
  <w:comment w:id="11" w:author="JRicardo" w:date="2019-06-18T13:02:00Z" w:initials="J">
    <w:p w14:paraId="3B809DE4" w14:textId="3A6C228A" w:rsidR="00697896" w:rsidRDefault="00697896">
      <w:pPr>
        <w:pStyle w:val="Textodecomentrio"/>
      </w:pPr>
      <w:r>
        <w:rPr>
          <w:rStyle w:val="Refdecomentrio"/>
        </w:rPr>
        <w:annotationRef/>
      </w:r>
      <w:r>
        <w:t>Qual abreviatura usar nesse caso?</w:t>
      </w:r>
    </w:p>
  </w:comment>
  <w:comment w:id="12" w:author="altobelli" w:date="2019-06-18T21:38:00Z" w:initials="a">
    <w:p w14:paraId="4590A761" w14:textId="38352C39" w:rsidR="007E3A33" w:rsidRDefault="007E3A33">
      <w:pPr>
        <w:pStyle w:val="Textodecomentrio"/>
      </w:pPr>
      <w:r>
        <w:rPr>
          <w:rStyle w:val="Refdecomentrio"/>
        </w:rPr>
        <w:annotationRef/>
      </w:r>
      <w:r>
        <w:t>Atualizei o texto acima</w:t>
      </w:r>
    </w:p>
    <w:p w14:paraId="6AEE6231" w14:textId="77777777" w:rsidR="007E3A33" w:rsidRDefault="007E3A33">
      <w:pPr>
        <w:pStyle w:val="Textodecomentrio"/>
      </w:pPr>
    </w:p>
  </w:comment>
  <w:comment w:id="13" w:author="JRicardo" w:date="2019-06-18T13:01:00Z" w:initials="J">
    <w:p w14:paraId="52CDA404" w14:textId="05A58F8C" w:rsidR="00697896" w:rsidRDefault="00697896">
      <w:pPr>
        <w:pStyle w:val="Textodecomentrio"/>
      </w:pPr>
      <w:r>
        <w:rPr>
          <w:rStyle w:val="Refdecomentrio"/>
        </w:rPr>
        <w:annotationRef/>
      </w:r>
      <w:r>
        <w:t>Qual abreviatura usar nesse caso?</w:t>
      </w:r>
    </w:p>
  </w:comment>
  <w:comment w:id="14" w:author="altobelli" w:date="2019-06-18T21:38:00Z" w:initials="a">
    <w:p w14:paraId="2471970D" w14:textId="3C64C260" w:rsidR="007E3A33" w:rsidRDefault="007E3A33">
      <w:pPr>
        <w:pStyle w:val="Textodecomentrio"/>
      </w:pPr>
      <w:r>
        <w:rPr>
          <w:rStyle w:val="Refdecomentrio"/>
        </w:rPr>
        <w:annotationRef/>
      </w:r>
      <w:r>
        <w:t>DB</w:t>
      </w:r>
    </w:p>
  </w:comment>
  <w:comment w:id="19" w:author="altobelli" w:date="2019-06-18T21:39:00Z" w:initials="a">
    <w:p w14:paraId="3FA0135B" w14:textId="44A78E33" w:rsidR="007E3A33" w:rsidRDefault="007E3A33">
      <w:pPr>
        <w:pStyle w:val="Textodecomentrio"/>
      </w:pPr>
      <w:r>
        <w:rPr>
          <w:rStyle w:val="Refdecomentrio"/>
        </w:rPr>
        <w:annotationRef/>
      </w:r>
      <w:r>
        <w:t>Não existe imagens no TCC. Deve aparecer aqui</w:t>
      </w:r>
    </w:p>
    <w:p w14:paraId="6B070E4B" w14:textId="77777777" w:rsidR="007E3A33" w:rsidRDefault="007E3A33">
      <w:pPr>
        <w:pStyle w:val="Textodecomentrio"/>
      </w:pPr>
    </w:p>
  </w:comment>
  <w:comment w:id="31" w:author="altobelli" w:date="2019-06-18T21:39:00Z" w:initials="a">
    <w:p w14:paraId="794B5937" w14:textId="7A680A2A" w:rsidR="007E3A33" w:rsidRDefault="007E3A33">
      <w:pPr>
        <w:pStyle w:val="Textodecomentrio"/>
      </w:pPr>
      <w:r>
        <w:rPr>
          <w:rStyle w:val="Refdecomentrio"/>
        </w:rPr>
        <w:annotationRef/>
      </w:r>
      <w:r>
        <w:t>Tem tabela, se não. Retira essa página.</w:t>
      </w:r>
    </w:p>
  </w:comment>
  <w:comment w:id="37" w:author="altobelli" w:date="2019-06-18T21:40:00Z" w:initials="a">
    <w:p w14:paraId="63286E3A" w14:textId="237DEEEE" w:rsidR="007E3A33" w:rsidRDefault="007E3A33">
      <w:pPr>
        <w:pStyle w:val="Textodecomentrio"/>
      </w:pPr>
      <w:r>
        <w:rPr>
          <w:rStyle w:val="Refdecomentrio"/>
        </w:rPr>
        <w:annotationRef/>
      </w:r>
      <w:r>
        <w:t>Temos gráficos. Cadê a lista</w:t>
      </w:r>
    </w:p>
  </w:comment>
  <w:comment w:id="90" w:author="altobelli" w:date="2019-06-18T21:43:00Z" w:initials="a">
    <w:p w14:paraId="43E013B7" w14:textId="0DB0EC3C" w:rsidR="007E3A33" w:rsidRDefault="007E3A33">
      <w:pPr>
        <w:pStyle w:val="Textodecomentrio"/>
      </w:pPr>
      <w:r>
        <w:rPr>
          <w:rStyle w:val="Refdecomentrio"/>
        </w:rPr>
        <w:annotationRef/>
      </w:r>
      <w:r>
        <w:t>Pode retirar não vai mais precisar separar entre distâncias</w:t>
      </w:r>
    </w:p>
  </w:comment>
  <w:comment w:id="91" w:author="altobelli" w:date="2019-06-18T21:42:00Z" w:initials="a">
    <w:p w14:paraId="2D595681" w14:textId="42AEA9CE" w:rsidR="007E3A33" w:rsidRDefault="007E3A33">
      <w:pPr>
        <w:pStyle w:val="Textodecomentrio"/>
      </w:pPr>
      <w:r>
        <w:rPr>
          <w:rStyle w:val="Refdecomentrio"/>
        </w:rPr>
        <w:annotationRef/>
      </w:r>
      <w:r>
        <w:t>Erro</w:t>
      </w:r>
    </w:p>
    <w:p w14:paraId="3AF2AEAF" w14:textId="77777777" w:rsidR="007E3A33" w:rsidRDefault="007E3A33">
      <w:pPr>
        <w:pStyle w:val="Textodecomentrio"/>
      </w:pPr>
    </w:p>
  </w:comment>
  <w:comment w:id="92" w:author="altobelli" w:date="2019-06-18T21:42:00Z" w:initials="a">
    <w:p w14:paraId="179DA295" w14:textId="01CABA66" w:rsidR="007E3A33" w:rsidRDefault="007E3A33">
      <w:pPr>
        <w:pStyle w:val="Textodecomentrio"/>
      </w:pPr>
      <w:r>
        <w:rPr>
          <w:rStyle w:val="Refdecomentrio"/>
        </w:rPr>
        <w:annotationRef/>
      </w:r>
      <w:proofErr w:type="gramStart"/>
      <w:r>
        <w:t>erro</w:t>
      </w:r>
      <w:proofErr w:type="gramEnd"/>
    </w:p>
  </w:comment>
  <w:comment w:id="99" w:author="JRicardo" w:date="2019-06-18T13:43:00Z" w:initials="J">
    <w:p w14:paraId="08BEB9E3" w14:textId="7C5B3C6E" w:rsidR="00697896" w:rsidRDefault="00697896">
      <w:pPr>
        <w:pStyle w:val="Textodecomentrio"/>
      </w:pPr>
      <w:r>
        <w:rPr>
          <w:rStyle w:val="Refdecomentrio"/>
        </w:rPr>
        <w:annotationRef/>
      </w:r>
      <w:r>
        <w:t>Seria referência a uma tabela ou fórmula? Onde está??</w:t>
      </w:r>
    </w:p>
  </w:comment>
  <w:comment w:id="98" w:author="altobelli" w:date="2019-06-18T21:43:00Z" w:initials="a">
    <w:p w14:paraId="54502E98" w14:textId="20C61A71" w:rsidR="007E3A33" w:rsidRDefault="007E3A33">
      <w:pPr>
        <w:pStyle w:val="Textodecomentrio"/>
      </w:pPr>
      <w:r>
        <w:rPr>
          <w:rStyle w:val="Refdecomentrio"/>
        </w:rPr>
        <w:annotationRef/>
      </w:r>
      <w:r>
        <w:t xml:space="preserve">Remove </w:t>
      </w:r>
      <w:proofErr w:type="gramStart"/>
      <w:r>
        <w:t>isso..</w:t>
      </w:r>
      <w:proofErr w:type="gramEnd"/>
      <w:r>
        <w:t xml:space="preserve"> </w:t>
      </w:r>
      <w:proofErr w:type="gramStart"/>
      <w:r>
        <w:t>não</w:t>
      </w:r>
      <w:proofErr w:type="gramEnd"/>
      <w:r>
        <w:t xml:space="preserve"> vamos usar mais</w:t>
      </w:r>
    </w:p>
  </w:comment>
  <w:comment w:id="117" w:author="JRicardo" w:date="2019-06-18T15:55:00Z" w:initials="J">
    <w:p w14:paraId="0D6B0468" w14:textId="08924125" w:rsidR="00697896" w:rsidRDefault="00697896">
      <w:pPr>
        <w:pStyle w:val="Textodecomentrio"/>
      </w:pPr>
      <w:r>
        <w:rPr>
          <w:rStyle w:val="Refdecomentrio"/>
        </w:rPr>
        <w:annotationRef/>
      </w:r>
      <w:r>
        <w:t>Parte em confecção. Nada pronto ainda!</w:t>
      </w:r>
    </w:p>
  </w:comment>
  <w:comment w:id="122" w:author="altobelli" w:date="2019-06-18T21:45:00Z" w:initials="a">
    <w:p w14:paraId="24B6AC93" w14:textId="24C41BF5" w:rsidR="007E3A33" w:rsidRDefault="007E3A33">
      <w:pPr>
        <w:pStyle w:val="Textodecomentrio"/>
      </w:pPr>
      <w:r>
        <w:rPr>
          <w:rStyle w:val="Refdecomentrio"/>
        </w:rPr>
        <w:annotationRef/>
      </w:r>
      <w:r>
        <w:t>Cadê legenda?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A81388" w15:done="0"/>
  <w15:commentEx w15:paraId="3B809DE4" w15:done="0"/>
  <w15:commentEx w15:paraId="6AEE6231" w15:paraIdParent="3B809DE4" w15:done="0"/>
  <w15:commentEx w15:paraId="52CDA404" w15:done="0"/>
  <w15:commentEx w15:paraId="2471970D" w15:paraIdParent="52CDA404" w15:done="0"/>
  <w15:commentEx w15:paraId="6B070E4B" w15:done="0"/>
  <w15:commentEx w15:paraId="794B5937" w15:done="0"/>
  <w15:commentEx w15:paraId="63286E3A" w15:done="0"/>
  <w15:commentEx w15:paraId="43E013B7" w15:done="0"/>
  <w15:commentEx w15:paraId="3AF2AEAF" w15:done="0"/>
  <w15:commentEx w15:paraId="179DA295" w15:done="0"/>
  <w15:commentEx w15:paraId="08BEB9E3" w15:done="0"/>
  <w15:commentEx w15:paraId="54502E98" w15:done="0"/>
  <w15:commentEx w15:paraId="0D6B0468" w15:done="0"/>
  <w15:commentEx w15:paraId="24B6AC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F89E0" w16cid:durableId="20A02E6C"/>
  <w16cid:commentId w16cid:paraId="24EA93E5" w16cid:durableId="20B389C5"/>
  <w16cid:commentId w16cid:paraId="3B809DE4" w16cid:durableId="20B35F52"/>
  <w16cid:commentId w16cid:paraId="52CDA404" w16cid:durableId="20B35F32"/>
  <w16cid:commentId w16cid:paraId="08BEB9E3" w16cid:durableId="20B36900"/>
  <w16cid:commentId w16cid:paraId="0D6B0468" w16cid:durableId="20B387F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05211" w14:textId="77777777" w:rsidR="00F6647F" w:rsidRDefault="00F6647F">
      <w:r>
        <w:separator/>
      </w:r>
    </w:p>
  </w:endnote>
  <w:endnote w:type="continuationSeparator" w:id="0">
    <w:p w14:paraId="1CDE1FA3" w14:textId="77777777" w:rsidR="00F6647F" w:rsidRDefault="00F66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E10C7" w14:textId="77777777" w:rsidR="00F6647F" w:rsidRDefault="00F6647F">
      <w:r>
        <w:separator/>
      </w:r>
    </w:p>
  </w:footnote>
  <w:footnote w:type="continuationSeparator" w:id="0">
    <w:p w14:paraId="57BC3734" w14:textId="77777777" w:rsidR="00F6647F" w:rsidRDefault="00F664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08AE4" w14:textId="77777777" w:rsidR="00697896" w:rsidRDefault="00697896">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B24C7" w14:textId="52BD6E6D" w:rsidR="00697896" w:rsidRDefault="0069789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1A0F">
      <w:rPr>
        <w:rStyle w:val="Nmerodepgina"/>
        <w:noProof/>
      </w:rPr>
      <w:t>21</w:t>
    </w:r>
    <w:r>
      <w:rPr>
        <w:rStyle w:val="Nmerodepgina"/>
      </w:rPr>
      <w:fldChar w:fldCharType="end"/>
    </w:r>
  </w:p>
  <w:p w14:paraId="0E4EDB69" w14:textId="77777777" w:rsidR="00697896" w:rsidRDefault="00697896" w:rsidP="00DB7E44">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3"/>
  </w:num>
  <w:num w:numId="2">
    <w:abstractNumId w:val="22"/>
  </w:num>
  <w:num w:numId="3">
    <w:abstractNumId w:val="3"/>
  </w:num>
  <w:num w:numId="4">
    <w:abstractNumId w:val="7"/>
  </w:num>
  <w:num w:numId="5">
    <w:abstractNumId w:val="5"/>
  </w:num>
  <w:num w:numId="6">
    <w:abstractNumId w:val="23"/>
  </w:num>
  <w:num w:numId="7">
    <w:abstractNumId w:val="10"/>
  </w:num>
  <w:num w:numId="8">
    <w:abstractNumId w:val="4"/>
  </w:num>
  <w:num w:numId="9">
    <w:abstractNumId w:val="23"/>
  </w:num>
  <w:num w:numId="10">
    <w:abstractNumId w:val="23"/>
  </w:num>
  <w:num w:numId="11">
    <w:abstractNumId w:val="23"/>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21"/>
  </w:num>
  <w:num w:numId="19">
    <w:abstractNumId w:val="23"/>
  </w:num>
  <w:num w:numId="20">
    <w:abstractNumId w:val="20"/>
  </w:num>
  <w:num w:numId="21">
    <w:abstractNumId w:val="11"/>
  </w:num>
  <w:num w:numId="22">
    <w:abstractNumId w:val="1"/>
  </w:num>
  <w:num w:numId="23">
    <w:abstractNumId w:val="0"/>
  </w:num>
  <w:num w:numId="24">
    <w:abstractNumId w:val="23"/>
  </w:num>
  <w:num w:numId="25">
    <w:abstractNumId w:val="12"/>
  </w:num>
  <w:num w:numId="26">
    <w:abstractNumId w:val="14"/>
  </w:num>
  <w:num w:numId="27">
    <w:abstractNumId w:val="15"/>
  </w:num>
  <w:num w:numId="28">
    <w:abstractNumId w:val="13"/>
  </w:num>
  <w:num w:numId="29">
    <w:abstractNumId w:val="8"/>
  </w:num>
  <w:num w:numId="30">
    <w:abstractNumId w:val="17"/>
  </w:num>
  <w:num w:numId="31">
    <w:abstractNumId w:val="18"/>
  </w:num>
  <w:num w:numId="32">
    <w:abstractNumId w:val="19"/>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obelli">
    <w15:presenceInfo w15:providerId="None" w15:userId="altobelli"/>
  </w15:person>
  <w15:person w15:author="JRicardo">
    <w15:presenceInfo w15:providerId="None" w15:userId="J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B1369"/>
    <w:rsid w:val="001B6017"/>
    <w:rsid w:val="001C21DC"/>
    <w:rsid w:val="001C28FB"/>
    <w:rsid w:val="001C2BBD"/>
    <w:rsid w:val="001F120E"/>
    <w:rsid w:val="00204197"/>
    <w:rsid w:val="002115D8"/>
    <w:rsid w:val="00211A80"/>
    <w:rsid w:val="00213946"/>
    <w:rsid w:val="0021504B"/>
    <w:rsid w:val="00223097"/>
    <w:rsid w:val="0022450D"/>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16047"/>
    <w:rsid w:val="00316CC9"/>
    <w:rsid w:val="00321188"/>
    <w:rsid w:val="00325E67"/>
    <w:rsid w:val="00326DB9"/>
    <w:rsid w:val="00335FA2"/>
    <w:rsid w:val="00336327"/>
    <w:rsid w:val="00347176"/>
    <w:rsid w:val="00350DCB"/>
    <w:rsid w:val="00354159"/>
    <w:rsid w:val="00354569"/>
    <w:rsid w:val="00356CA8"/>
    <w:rsid w:val="00360975"/>
    <w:rsid w:val="003749C9"/>
    <w:rsid w:val="00374CA3"/>
    <w:rsid w:val="00377959"/>
    <w:rsid w:val="00384268"/>
    <w:rsid w:val="00387249"/>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4015C1"/>
    <w:rsid w:val="004038D9"/>
    <w:rsid w:val="00411C9E"/>
    <w:rsid w:val="0042060A"/>
    <w:rsid w:val="00420B72"/>
    <w:rsid w:val="00422CEE"/>
    <w:rsid w:val="0042569C"/>
    <w:rsid w:val="00434848"/>
    <w:rsid w:val="00441DF8"/>
    <w:rsid w:val="0044409A"/>
    <w:rsid w:val="00456A24"/>
    <w:rsid w:val="00456D08"/>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97896"/>
    <w:rsid w:val="006A03F1"/>
    <w:rsid w:val="006A0599"/>
    <w:rsid w:val="006A22FE"/>
    <w:rsid w:val="006B3AC5"/>
    <w:rsid w:val="006C2B7C"/>
    <w:rsid w:val="006C5931"/>
    <w:rsid w:val="006D3FD2"/>
    <w:rsid w:val="006E1644"/>
    <w:rsid w:val="006E6FF0"/>
    <w:rsid w:val="006E7D37"/>
    <w:rsid w:val="006F100C"/>
    <w:rsid w:val="006F1814"/>
    <w:rsid w:val="00700708"/>
    <w:rsid w:val="00707742"/>
    <w:rsid w:val="00712AB6"/>
    <w:rsid w:val="00714525"/>
    <w:rsid w:val="0071556B"/>
    <w:rsid w:val="00716A0A"/>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3A33"/>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77F04"/>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7D67"/>
    <w:rsid w:val="00C90184"/>
    <w:rsid w:val="00C90233"/>
    <w:rsid w:val="00C9149C"/>
    <w:rsid w:val="00C97D92"/>
    <w:rsid w:val="00CA26E3"/>
    <w:rsid w:val="00CB179D"/>
    <w:rsid w:val="00CC5626"/>
    <w:rsid w:val="00CD2D3A"/>
    <w:rsid w:val="00CD5683"/>
    <w:rsid w:val="00CE1981"/>
    <w:rsid w:val="00CF0602"/>
    <w:rsid w:val="00CF2C40"/>
    <w:rsid w:val="00D00132"/>
    <w:rsid w:val="00D063F3"/>
    <w:rsid w:val="00D10DD6"/>
    <w:rsid w:val="00D1361F"/>
    <w:rsid w:val="00D16B9F"/>
    <w:rsid w:val="00D340FC"/>
    <w:rsid w:val="00D3413E"/>
    <w:rsid w:val="00D356AD"/>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1A0F"/>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647F"/>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customStyle="1" w:styleId="UnresolvedMention">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tobellibm/CEDERJ_2019_ALEX_SOUZA_E_JOSE_SAMPAIO.g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4287C991-B280-40AC-BE18-44536C6D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963</TotalTime>
  <Pages>44</Pages>
  <Words>7633</Words>
  <Characters>41220</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48756</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altobelli</cp:lastModifiedBy>
  <cp:revision>34</cp:revision>
  <cp:lastPrinted>2019-06-18T15:48:00Z</cp:lastPrinted>
  <dcterms:created xsi:type="dcterms:W3CDTF">2019-06-11T03:38:00Z</dcterms:created>
  <dcterms:modified xsi:type="dcterms:W3CDTF">2019-06-19T00:56:00Z</dcterms:modified>
</cp:coreProperties>
</file>