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DEB379C"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w:t>
      </w:r>
      <w:r w:rsidR="00383A5D">
        <w:t>Ã</w:t>
      </w:r>
      <w:r w:rsidRPr="001C0258">
        <w:t>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6CFC8FF" w:rsidR="001C0258" w:rsidRPr="001C0258" w:rsidRDefault="001C0258" w:rsidP="001C0258">
      <w:pPr>
        <w:pStyle w:val="NOMEAUTOR"/>
      </w:pPr>
      <w:r w:rsidRPr="001C0258">
        <w:t>ESTUDO E IMPLEMENTAÇÃO DE REDES NEURAIS PROFUNDAS</w:t>
      </w:r>
      <w:r w:rsidRPr="001C0258">
        <w:br/>
        <w:t>COMO SOLUÇÃO PARA UM PROBLEMA DE CLASSIFICAÇ</w:t>
      </w:r>
      <w:r w:rsidR="00383A5D">
        <w:t>Ã</w:t>
      </w:r>
      <w:r w:rsidRPr="001C0258">
        <w:t>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57DA633A" w14:textId="65B48204" w:rsidR="009633F2" w:rsidRDefault="00AC312E" w:rsidP="000738F3">
      <w:pPr>
        <w:pStyle w:val="NOMEAUTOR"/>
        <w:ind w:firstLine="0"/>
      </w:pPr>
      <w:r>
        <w:br w:type="page"/>
      </w:r>
    </w:p>
    <w:p w14:paraId="3ACDAE1F" w14:textId="7A02CADB" w:rsidR="009633F2" w:rsidRDefault="00491E94" w:rsidP="00491E94">
      <w:pPr>
        <w:pStyle w:val="NOMEAUTOR"/>
        <w:tabs>
          <w:tab w:val="left" w:pos="3810"/>
        </w:tabs>
        <w:ind w:firstLine="0"/>
        <w:jc w:val="both"/>
      </w:pPr>
      <w:r>
        <w:lastRenderedPageBreak/>
        <w:tab/>
      </w:r>
      <w:bookmarkStart w:id="2" w:name="_GoBack"/>
      <w:bookmarkEnd w:id="2"/>
      <w:r>
        <w:rPr>
          <w:noProof/>
        </w:rPr>
        <w:drawing>
          <wp:inline distT="0" distB="0" distL="0" distR="0" wp14:anchorId="582D2DFE" wp14:editId="7726DEE3">
            <wp:extent cx="5760085"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933825"/>
                    </a:xfrm>
                    <a:prstGeom prst="rect">
                      <a:avLst/>
                    </a:prstGeom>
                  </pic:spPr>
                </pic:pic>
              </a:graphicData>
            </a:graphic>
          </wp:inline>
        </w:drawing>
      </w: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0A0E2F0C" w:rsidR="001C0258" w:rsidRPr="001C0258" w:rsidRDefault="001C0258" w:rsidP="001C0258">
      <w:pPr>
        <w:pStyle w:val="NOMEAUTOR"/>
      </w:pPr>
      <w:r w:rsidRPr="001C0258">
        <w:t>ESTUDO E IMPLEMENTAÇÃO DE REDES NEURAIS PROFUNDAS</w:t>
      </w:r>
      <w:r w:rsidRPr="001C0258">
        <w:br/>
        <w:t>COMO SOLUÇÃO PARA UM PROBLEMA DE CLASSIFICAÇ</w:t>
      </w:r>
      <w:r w:rsidR="00A63CD1">
        <w:t>Ã</w:t>
      </w:r>
      <w:r w:rsidRPr="001C0258">
        <w:t>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r w:rsidR="00566104">
        <w:t xml:space="preserve">6 </w:t>
      </w:r>
      <w:r>
        <w:t xml:space="preserve"> de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lastRenderedPageBreak/>
        <w:t>_________________________________________</w:t>
      </w:r>
    </w:p>
    <w:p w14:paraId="33BE5293" w14:textId="77777777" w:rsidR="00566104" w:rsidRDefault="00566104" w:rsidP="00566104">
      <w:pPr>
        <w:jc w:val="center"/>
      </w:pPr>
      <w:r>
        <w:t>Prof. Altobelli de Brito Mantuan, Msc.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Prof. Eduardo Vera Sousa, Msc.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083B2D67" w14:textId="472AAE5A" w:rsidR="001A5DB9" w:rsidRDefault="00AC312E" w:rsidP="001A5DB9">
      <w:pPr>
        <w:pStyle w:val="TITULOagradecimentossumarioresumosetc"/>
        <w:tabs>
          <w:tab w:val="left" w:pos="2805"/>
        </w:tabs>
        <w:ind w:firstLine="0"/>
      </w:pPr>
      <w:r w:rsidRPr="00AB74FB">
        <w:t>AGRADECIMENTOS</w:t>
      </w:r>
    </w:p>
    <w:p w14:paraId="5B67CEC2" w14:textId="3873D20D" w:rsidR="001A5DB9" w:rsidRDefault="001A5DB9" w:rsidP="001A5DB9">
      <w:pPr>
        <w:ind w:firstLine="0"/>
        <w:jc w:val="center"/>
        <w:rPr>
          <w:rFonts w:ascii="Arial" w:hAnsi="Arial"/>
        </w:rPr>
      </w:pPr>
    </w:p>
    <w:p w14:paraId="7FC53CF5" w14:textId="77777777" w:rsidR="001A5DB9" w:rsidRPr="007319DC" w:rsidRDefault="001A5DB9" w:rsidP="001A5DB9">
      <w:pPr>
        <w:ind w:left="4140"/>
        <w:rPr>
          <w:rFonts w:ascii="Arial" w:hAnsi="Arial"/>
        </w:rPr>
      </w:pPr>
      <w:r w:rsidRPr="007319DC">
        <w:rPr>
          <w:rFonts w:ascii="Arial" w:hAnsi="Arial"/>
        </w:rPr>
        <w:t>Primeiramento agradeço a Deus, que sempre está comigo em todos os momentos.</w:t>
      </w:r>
    </w:p>
    <w:p w14:paraId="0BF2F43B" w14:textId="77777777" w:rsidR="001A5DB9" w:rsidRPr="007319DC" w:rsidRDefault="001A5DB9" w:rsidP="001A5DB9">
      <w:pPr>
        <w:ind w:left="4140"/>
        <w:rPr>
          <w:rFonts w:ascii="Arial" w:hAnsi="Arial"/>
        </w:rPr>
      </w:pPr>
    </w:p>
    <w:p w14:paraId="02903775" w14:textId="3863EFF6" w:rsidR="001A5DB9" w:rsidRPr="007319DC" w:rsidRDefault="001A5DB9" w:rsidP="001A5DB9">
      <w:pPr>
        <w:ind w:left="4140"/>
        <w:rPr>
          <w:rFonts w:ascii="Arial" w:hAnsi="Arial"/>
        </w:rPr>
      </w:pPr>
      <w:r w:rsidRPr="007319DC">
        <w:rPr>
          <w:rFonts w:ascii="Arial" w:hAnsi="Arial"/>
        </w:rPr>
        <w:t xml:space="preserve">Aos meus pais </w:t>
      </w:r>
      <w:r w:rsidR="007319DC">
        <w:rPr>
          <w:rFonts w:ascii="Arial" w:hAnsi="Arial"/>
        </w:rPr>
        <w:t>e minha irmã, por serem exemplos de força e perseverança constantes ao meu lado.</w:t>
      </w:r>
    </w:p>
    <w:p w14:paraId="71AC2392" w14:textId="77777777" w:rsidR="001A5DB9" w:rsidRPr="007319DC" w:rsidRDefault="001A5DB9" w:rsidP="001A5DB9">
      <w:pPr>
        <w:ind w:left="4140"/>
        <w:rPr>
          <w:rFonts w:ascii="Arial" w:hAnsi="Arial"/>
        </w:rPr>
      </w:pPr>
    </w:p>
    <w:p w14:paraId="15AAFC46" w14:textId="7A1B7379" w:rsidR="001A5DB9" w:rsidRDefault="007319DC" w:rsidP="001A5DB9">
      <w:pPr>
        <w:ind w:left="4140"/>
        <w:rPr>
          <w:rFonts w:ascii="Arial" w:hAnsi="Arial"/>
        </w:rPr>
      </w:pPr>
      <w:r w:rsidRPr="007319DC">
        <w:rPr>
          <w:rFonts w:ascii="Arial" w:hAnsi="Arial"/>
        </w:rPr>
        <w:t xml:space="preserve">A todos os professores que passaram por minha vida, </w:t>
      </w:r>
      <w:r>
        <w:rPr>
          <w:rFonts w:ascii="Arial" w:hAnsi="Arial"/>
        </w:rPr>
        <w:t>e que plantaram as sementes que germinam todos os dias.</w:t>
      </w:r>
    </w:p>
    <w:p w14:paraId="0A29DC6D" w14:textId="02F9F1A1" w:rsidR="007319DC" w:rsidRDefault="007319DC" w:rsidP="001A5DB9">
      <w:pPr>
        <w:ind w:left="4140"/>
        <w:rPr>
          <w:rFonts w:ascii="Arial" w:hAnsi="Arial"/>
        </w:rPr>
      </w:pPr>
    </w:p>
    <w:p w14:paraId="49B77186" w14:textId="208A1842" w:rsidR="007319DC" w:rsidRDefault="007319DC" w:rsidP="001A5DB9">
      <w:pPr>
        <w:ind w:left="4140"/>
        <w:rPr>
          <w:rFonts w:ascii="Arial" w:hAnsi="Arial"/>
        </w:rPr>
      </w:pPr>
      <w:r>
        <w:rPr>
          <w:rFonts w:ascii="Arial" w:hAnsi="Arial"/>
        </w:rPr>
        <w:t>Ao meu orientador, por tudo que ensinou e pela paciencia ao longo deste processo.</w:t>
      </w:r>
    </w:p>
    <w:p w14:paraId="610510D6" w14:textId="77777777" w:rsidR="007319DC" w:rsidRPr="007319DC" w:rsidRDefault="007319DC" w:rsidP="001A5DB9">
      <w:pPr>
        <w:ind w:left="4140"/>
        <w:rPr>
          <w:rFonts w:ascii="Arial" w:hAnsi="Arial"/>
        </w:rPr>
      </w:pPr>
    </w:p>
    <w:p w14:paraId="5B9CBA5B" w14:textId="004BA82D" w:rsidR="001A5DB9" w:rsidRPr="007319DC" w:rsidRDefault="007319DC" w:rsidP="001A5DB9">
      <w:pPr>
        <w:ind w:left="4140"/>
        <w:rPr>
          <w:rFonts w:ascii="Arial" w:hAnsi="Arial"/>
        </w:rPr>
      </w:pPr>
      <w:bookmarkStart w:id="3" w:name="_Hlk26564091"/>
      <w:r>
        <w:rPr>
          <w:rFonts w:ascii="Arial" w:hAnsi="Arial"/>
        </w:rPr>
        <w:lastRenderedPageBreak/>
        <w:t xml:space="preserve">E a Carl Sagan, principal responsável por despertar em mim o desejo de sempre buscar respostas. </w:t>
      </w:r>
    </w:p>
    <w:bookmarkEnd w:id="3"/>
    <w:p w14:paraId="26A6265A" w14:textId="5B95A221" w:rsidR="001A5DB9" w:rsidRDefault="001A5DB9" w:rsidP="00AB7373">
      <w:pPr>
        <w:ind w:firstLine="0"/>
        <w:rPr>
          <w:rFonts w:cs="Times New Roman"/>
        </w:rPr>
      </w:pPr>
    </w:p>
    <w:p w14:paraId="4E4E13F0" w14:textId="77777777" w:rsidR="001A5DB9" w:rsidRPr="001A5DB9" w:rsidRDefault="001A5DB9" w:rsidP="001A5DB9">
      <w:pPr>
        <w:ind w:firstLine="0"/>
        <w:jc w:val="center"/>
        <w:rPr>
          <w:rFonts w:ascii="Arial" w:hAnsi="Arial"/>
        </w:rPr>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6586A544" w14:textId="1DE12609" w:rsidR="00CF5BB1" w:rsidRDefault="00CF5BB1" w:rsidP="00CF5BB1">
      <w:pPr>
        <w:jc w:val="center"/>
      </w:pPr>
      <w:bookmarkStart w:id="4" w:name="_Toc378694359"/>
    </w:p>
    <w:p w14:paraId="6FD164BF" w14:textId="77777777" w:rsidR="00AB7373" w:rsidRDefault="00AB7373"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1679C29A" w:rsidR="00CF5BB1" w:rsidRDefault="00CF5BB1" w:rsidP="00CF5BB1">
      <w:pPr>
        <w:jc w:val="center"/>
        <w:rPr>
          <w:b/>
        </w:rPr>
      </w:pPr>
    </w:p>
    <w:p w14:paraId="582B5606" w14:textId="11901A58" w:rsidR="00AB7373" w:rsidRDefault="00AB7373" w:rsidP="00CF5BB1">
      <w:pPr>
        <w:jc w:val="center"/>
        <w:rPr>
          <w:b/>
        </w:rPr>
      </w:pPr>
    </w:p>
    <w:p w14:paraId="604F669A" w14:textId="61200A78" w:rsidR="00AB7373" w:rsidRDefault="00AB7373" w:rsidP="00CF5BB1">
      <w:pPr>
        <w:jc w:val="center"/>
        <w:rPr>
          <w:b/>
        </w:rPr>
      </w:pPr>
    </w:p>
    <w:p w14:paraId="253E8658" w14:textId="6AB4B542" w:rsidR="00AB7373" w:rsidRDefault="00AB7373" w:rsidP="00CF5BB1">
      <w:pPr>
        <w:jc w:val="center"/>
        <w:rPr>
          <w:b/>
        </w:rPr>
      </w:pPr>
    </w:p>
    <w:p w14:paraId="319A9645" w14:textId="1283A11F" w:rsidR="00AB7373" w:rsidRDefault="00AB7373" w:rsidP="00CF5BB1">
      <w:pPr>
        <w:jc w:val="center"/>
        <w:rPr>
          <w:b/>
        </w:rPr>
      </w:pPr>
    </w:p>
    <w:p w14:paraId="5EC8E3BF" w14:textId="5BD60D26" w:rsidR="00AB7373" w:rsidRDefault="00AB7373" w:rsidP="00CF5BB1">
      <w:pPr>
        <w:jc w:val="center"/>
        <w:rPr>
          <w:b/>
        </w:rPr>
      </w:pPr>
    </w:p>
    <w:p w14:paraId="3DC340D3" w14:textId="069AA636" w:rsidR="00AB7373" w:rsidRDefault="00AB7373" w:rsidP="00CF5BB1">
      <w:pPr>
        <w:jc w:val="center"/>
        <w:rPr>
          <w:b/>
        </w:rPr>
      </w:pPr>
    </w:p>
    <w:p w14:paraId="75E72AFF" w14:textId="4069807B" w:rsidR="00AB7373" w:rsidRDefault="00AB7373" w:rsidP="00CF5BB1">
      <w:pPr>
        <w:jc w:val="center"/>
        <w:rPr>
          <w:b/>
        </w:rPr>
      </w:pPr>
    </w:p>
    <w:p w14:paraId="2A72D4AA" w14:textId="12553967" w:rsidR="00AB7373" w:rsidRDefault="00AB7373" w:rsidP="00CF5BB1">
      <w:pPr>
        <w:jc w:val="center"/>
        <w:rPr>
          <w:b/>
        </w:rPr>
      </w:pPr>
    </w:p>
    <w:p w14:paraId="6A87EE5F" w14:textId="7BD09710" w:rsidR="00AB7373" w:rsidRDefault="00AB7373" w:rsidP="00CF5BB1">
      <w:pPr>
        <w:jc w:val="center"/>
        <w:rPr>
          <w:b/>
        </w:rPr>
      </w:pPr>
    </w:p>
    <w:p w14:paraId="0C4037E1" w14:textId="16AC57FB" w:rsidR="00AB7373" w:rsidRDefault="00AB7373" w:rsidP="00CF5BB1">
      <w:pPr>
        <w:jc w:val="center"/>
        <w:rPr>
          <w:b/>
        </w:rPr>
      </w:pPr>
    </w:p>
    <w:p w14:paraId="6CB7F639" w14:textId="686DD1D4" w:rsidR="00AB7373" w:rsidRDefault="00AB7373" w:rsidP="00CF5BB1">
      <w:pPr>
        <w:jc w:val="center"/>
        <w:rPr>
          <w:b/>
        </w:rPr>
      </w:pPr>
    </w:p>
    <w:p w14:paraId="5817AC39" w14:textId="1F36EA5D" w:rsidR="00AB7373" w:rsidRDefault="00AB7373" w:rsidP="00CF5BB1">
      <w:pPr>
        <w:jc w:val="center"/>
        <w:rPr>
          <w:b/>
        </w:rPr>
      </w:pPr>
    </w:p>
    <w:p w14:paraId="18C9BB98" w14:textId="0E2E667A" w:rsidR="00AB7373" w:rsidRDefault="00AB7373" w:rsidP="00CF5BB1">
      <w:pPr>
        <w:jc w:val="center"/>
        <w:rPr>
          <w:b/>
        </w:rPr>
      </w:pPr>
    </w:p>
    <w:p w14:paraId="251E08E6" w14:textId="0C482A56" w:rsidR="00AB7373" w:rsidRDefault="00AB7373" w:rsidP="00CF5BB1">
      <w:pPr>
        <w:jc w:val="center"/>
        <w:rPr>
          <w:b/>
        </w:rPr>
      </w:pPr>
    </w:p>
    <w:p w14:paraId="478CE35C" w14:textId="02FB0A28" w:rsidR="00AB7373" w:rsidRDefault="00AB7373" w:rsidP="00CF5BB1">
      <w:pPr>
        <w:jc w:val="center"/>
        <w:rPr>
          <w:b/>
        </w:rPr>
      </w:pPr>
    </w:p>
    <w:p w14:paraId="15BAD265" w14:textId="77777777" w:rsidR="00AB7373" w:rsidRDefault="00AB7373"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t>RESUMO</w:t>
      </w:r>
      <w:bookmarkStart w:id="5" w:name="RESUMO"/>
      <w:bookmarkEnd w:id="4"/>
      <w:bookmarkEnd w:id="5"/>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0738F3">
        <w:rPr>
          <w:lang w:val="en-US"/>
        </w:rPr>
        <w:br w:type="page"/>
      </w:r>
      <w:bookmarkStart w:id="6" w:name="_Toc378694360"/>
      <w:r>
        <w:rPr>
          <w:lang w:val="en-US"/>
        </w:rPr>
        <w:lastRenderedPageBreak/>
        <w:t>ABSTRACT</w:t>
      </w:r>
      <w:bookmarkStart w:id="7" w:name="ABSTRACT"/>
      <w:bookmarkEnd w:id="7"/>
      <w:r>
        <w:rPr>
          <w:lang w:val="en-US"/>
        </w:rPr>
        <w:t xml:space="preserve"> </w:t>
      </w:r>
      <w:bookmarkEnd w:id="6"/>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8" w:name="_Toc378694361"/>
      <w:r w:rsidRPr="008502D1">
        <w:rPr>
          <w:lang w:val="en-US"/>
        </w:rPr>
        <w:lastRenderedPageBreak/>
        <w:t xml:space="preserve">                                </w:t>
      </w:r>
      <w:r>
        <w:t>LISTA DE ILUSTRAÇÕES</w:t>
      </w:r>
      <w:bookmarkEnd w:id="8"/>
    </w:p>
    <w:p w14:paraId="304BA856" w14:textId="2559D6B4" w:rsidR="00B301E5" w:rsidRDefault="000738F3"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AB7373">
          <w:rPr>
            <w:b/>
          </w:rPr>
          <w:t>5</w:t>
        </w:r>
      </w:hyperlink>
    </w:p>
    <w:p w14:paraId="6185BC17" w14:textId="543AE7DE"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9" w:name="_Hlk25965019"/>
      <w:r>
        <w:rPr>
          <w:b/>
        </w:rPr>
        <w:t>……</w:t>
      </w:r>
      <w:bookmarkEnd w:id="9"/>
      <w:r w:rsidR="005E2D4B">
        <w:rPr>
          <w:b/>
        </w:rPr>
        <w:t>.</w:t>
      </w:r>
      <w:r w:rsidR="00AB7373">
        <w:rPr>
          <w:b/>
        </w:rPr>
        <w:t>18</w:t>
      </w:r>
    </w:p>
    <w:p w14:paraId="628D97D1" w14:textId="4F26C3A7"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w:t>
      </w:r>
      <w:r w:rsidR="00AB7373">
        <w:rPr>
          <w:b/>
          <w:bCs/>
        </w:rPr>
        <w:t>0</w:t>
      </w:r>
    </w:p>
    <w:p w14:paraId="52084478" w14:textId="59FB6BB4"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w:t>
      </w:r>
      <w:r w:rsidR="00AB7373">
        <w:rPr>
          <w:b/>
          <w:bCs/>
        </w:rPr>
        <w:t>2</w:t>
      </w:r>
    </w:p>
    <w:p w14:paraId="6FCA8A49" w14:textId="7E8CAD57"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w:t>
      </w:r>
      <w:r w:rsidR="00AB7373">
        <w:rPr>
          <w:b/>
          <w:bCs/>
        </w:rPr>
        <w:t>3</w:t>
      </w:r>
    </w:p>
    <w:p w14:paraId="50015B02" w14:textId="698B2642"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w:t>
      </w:r>
      <w:r w:rsidR="00671808">
        <w:rPr>
          <w:b/>
          <w:bCs/>
        </w:rPr>
        <w:t>4</w:t>
      </w:r>
    </w:p>
    <w:p w14:paraId="5F0D3D82" w14:textId="77DEE411"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w:t>
      </w:r>
      <w:r w:rsidR="00AB7373">
        <w:rPr>
          <w:b/>
          <w:bCs/>
        </w:rPr>
        <w:t>5</w:t>
      </w:r>
    </w:p>
    <w:p w14:paraId="19FD7FA4" w14:textId="03186671"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w:t>
      </w:r>
      <w:r w:rsidR="00AB7373">
        <w:rPr>
          <w:b/>
          <w:bCs/>
        </w:rPr>
        <w:t>6</w:t>
      </w:r>
    </w:p>
    <w:p w14:paraId="2D168122" w14:textId="4B7A2129"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AB7373">
        <w:rPr>
          <w:b/>
          <w:bCs/>
        </w:rPr>
        <w:t>2</w:t>
      </w:r>
      <w:r w:rsidR="00671808">
        <w:rPr>
          <w:b/>
          <w:bCs/>
        </w:rPr>
        <w:t>9</w:t>
      </w:r>
    </w:p>
    <w:p w14:paraId="6A2DD424" w14:textId="3A9BFC9B"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AB7373">
        <w:rPr>
          <w:b/>
          <w:bCs/>
        </w:rPr>
        <w:t>34</w:t>
      </w:r>
    </w:p>
    <w:p w14:paraId="622E69A7" w14:textId="4CE7C54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w:t>
      </w:r>
      <w:r w:rsidR="00671808">
        <w:rPr>
          <w:b/>
          <w:bCs/>
        </w:rPr>
        <w:t>5</w:t>
      </w:r>
    </w:p>
    <w:p w14:paraId="4C822FB1" w14:textId="5EACE22B"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w:t>
      </w:r>
      <w:r w:rsidR="00AB7373">
        <w:rPr>
          <w:b/>
          <w:bCs/>
        </w:rPr>
        <w:t>5</w:t>
      </w:r>
    </w:p>
    <w:p w14:paraId="253D57AC" w14:textId="6500FFD4"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w:t>
      </w:r>
      <w:r w:rsidR="00AB7373">
        <w:rPr>
          <w:b/>
          <w:bCs/>
        </w:rPr>
        <w:t>6</w:t>
      </w:r>
    </w:p>
    <w:p w14:paraId="4CEC266E" w14:textId="0B58219F"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AB7373">
        <w:rPr>
          <w:b/>
          <w:bCs/>
        </w:rPr>
        <w:t>37</w:t>
      </w:r>
    </w:p>
    <w:p w14:paraId="1A8B30B1" w14:textId="1616E8A1"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AB7373">
        <w:rPr>
          <w:b/>
          <w:bCs/>
        </w:rPr>
        <w:t>38</w:t>
      </w:r>
    </w:p>
    <w:p w14:paraId="68D7AAE6" w14:textId="6F742026"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AB7373">
        <w:rPr>
          <w:b/>
          <w:bCs/>
        </w:rPr>
        <w:t>3</w:t>
      </w:r>
      <w:r w:rsidR="00671808">
        <w:rPr>
          <w:b/>
          <w:bCs/>
        </w:rPr>
        <w:t>9</w:t>
      </w:r>
    </w:p>
    <w:p w14:paraId="34C42707" w14:textId="3485442D"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671808">
        <w:rPr>
          <w:b/>
          <w:bCs/>
        </w:rPr>
        <w:t>40</w:t>
      </w:r>
    </w:p>
    <w:p w14:paraId="6419F97A" w14:textId="491C051A"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w:t>
      </w:r>
      <w:r w:rsidR="00AB7373">
        <w:rPr>
          <w:b/>
          <w:bCs/>
        </w:rPr>
        <w:t>1</w:t>
      </w:r>
    </w:p>
    <w:p w14:paraId="7DFC5BAB" w14:textId="3BD6AD9C"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w:t>
      </w:r>
      <w:r w:rsidR="00AB7373">
        <w:rPr>
          <w:b/>
          <w:bCs/>
        </w:rPr>
        <w:t>2</w:t>
      </w:r>
    </w:p>
    <w:p w14:paraId="633BDB5E" w14:textId="34598D77"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w:t>
      </w:r>
      <w:r w:rsidR="00671808">
        <w:rPr>
          <w:b/>
          <w:bCs/>
        </w:rPr>
        <w:t>4</w:t>
      </w:r>
    </w:p>
    <w:p w14:paraId="775BA12E" w14:textId="6D1951E6"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w:t>
      </w:r>
      <w:r w:rsidR="00671808">
        <w:rPr>
          <w:b/>
          <w:bCs/>
        </w:rPr>
        <w:t>5</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4E1C0B1B" w:rsidR="00CA7946" w:rsidRDefault="000738F3" w:rsidP="00CA7946">
      <w:pPr>
        <w:pStyle w:val="ndicedeilustraes2"/>
        <w:tabs>
          <w:tab w:val="right" w:leader="dot" w:pos="9542"/>
        </w:tabs>
        <w:rPr>
          <w:b/>
        </w:rPr>
      </w:pPr>
      <w:hyperlink w:anchor="__RefHeading___Toc378694305" w:history="1">
        <w:bookmarkStart w:id="10" w:name="_Hlk25783900"/>
        <w:r w:rsidR="00CA7946">
          <w:rPr>
            <w:b/>
          </w:rPr>
          <w:t>Equação 1</w:t>
        </w:r>
        <w:bookmarkEnd w:id="10"/>
        <w:r w:rsidR="00CA7946">
          <w:rPr>
            <w:b/>
          </w:rPr>
          <w:t>: Função de Ativação ………………………………………………………..</w:t>
        </w:r>
        <w:r w:rsidR="00401550">
          <w:rPr>
            <w:b/>
          </w:rPr>
          <w:t>2</w:t>
        </w:r>
        <w:r w:rsidR="00671808">
          <w:rPr>
            <w:b/>
          </w:rPr>
          <w:t>3</w:t>
        </w:r>
      </w:hyperlink>
    </w:p>
    <w:p w14:paraId="6928CACE" w14:textId="1A0033D7"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w:t>
      </w:r>
      <w:r w:rsidR="00671808">
        <w:rPr>
          <w:b/>
        </w:rPr>
        <w:t>7</w:t>
      </w:r>
    </w:p>
    <w:p w14:paraId="5CF93D71" w14:textId="1B942CB7"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671808">
        <w:rPr>
          <w:b/>
          <w:bCs/>
        </w:rPr>
        <w:t>28</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1" w:name="CAPITULO1"/>
      <w:bookmarkStart w:id="12" w:name="__RefHeading___Toc378694365"/>
      <w:bookmarkEnd w:id="11"/>
      <w:r>
        <w:lastRenderedPageBreak/>
        <w:t>LISTA DE ABREVIATURAS E SIGLAS</w:t>
      </w:r>
      <w:bookmarkStart w:id="13" w:name="LISTADEABREVIATURASESIGLAS"/>
      <w:bookmarkEnd w:id="12"/>
      <w:bookmarkEnd w:id="13"/>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9"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0738F3" w:rsidP="009633F2">
      <w:pPr>
        <w:pStyle w:val="TOC1"/>
        <w:tabs>
          <w:tab w:val="right" w:leader="dot" w:pos="9062"/>
        </w:tabs>
        <w:rPr>
          <w:rFonts w:ascii="Times New Roman" w:eastAsia="SimSun" w:hAnsi="Times New Roman"/>
          <w:noProof/>
          <w:szCs w:val="24"/>
          <w:lang w:eastAsia="zh-CN"/>
        </w:rPr>
      </w:pPr>
      <w:hyperlink r:id="rId10"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0738F3" w:rsidP="009633F2">
      <w:pPr>
        <w:pStyle w:val="TOC1"/>
        <w:tabs>
          <w:tab w:val="right" w:leader="dot" w:pos="9062"/>
        </w:tabs>
        <w:rPr>
          <w:rFonts w:ascii="Times New Roman" w:eastAsia="SimSun" w:hAnsi="Times New Roman"/>
          <w:noProof/>
          <w:szCs w:val="24"/>
          <w:lang w:eastAsia="zh-CN"/>
        </w:rPr>
      </w:pPr>
      <w:hyperlink r:id="rId11"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0738F3" w:rsidP="009633F2">
      <w:pPr>
        <w:pStyle w:val="TOC1"/>
        <w:tabs>
          <w:tab w:val="right" w:leader="dot" w:pos="9062"/>
        </w:tabs>
        <w:rPr>
          <w:rFonts w:ascii="Times New Roman" w:eastAsia="SimSun" w:hAnsi="Times New Roman"/>
          <w:noProof/>
          <w:szCs w:val="24"/>
          <w:lang w:eastAsia="zh-CN"/>
        </w:rPr>
      </w:pPr>
      <w:hyperlink r:id="rId12"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0738F3" w:rsidP="009110A2">
      <w:pPr>
        <w:pStyle w:val="TOC1"/>
        <w:tabs>
          <w:tab w:val="right" w:leader="dot" w:pos="9062"/>
        </w:tabs>
        <w:rPr>
          <w:noProof/>
          <w:color w:val="0000FF"/>
          <w:u w:val="single"/>
        </w:rPr>
      </w:pPr>
      <w:hyperlink r:id="rId13"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0738F3" w:rsidP="009633F2">
      <w:pPr>
        <w:pStyle w:val="TOC1"/>
        <w:tabs>
          <w:tab w:val="left" w:pos="480"/>
          <w:tab w:val="right" w:leader="dot" w:pos="9062"/>
        </w:tabs>
        <w:rPr>
          <w:rStyle w:val="Hyperlink"/>
          <w:noProof/>
        </w:rPr>
      </w:pPr>
      <w:hyperlink r:id="rId14"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644B8710" w14:textId="50C36E8D" w:rsidR="009633F2" w:rsidRDefault="000738F3" w:rsidP="009633F2">
      <w:pPr>
        <w:pStyle w:val="TOC1"/>
        <w:tabs>
          <w:tab w:val="left" w:pos="480"/>
          <w:tab w:val="right" w:leader="dot" w:pos="9062"/>
        </w:tabs>
        <w:rPr>
          <w:rFonts w:ascii="Times New Roman" w:eastAsia="SimSun" w:hAnsi="Times New Roman"/>
          <w:noProof/>
          <w:szCs w:val="24"/>
          <w:lang w:eastAsia="zh-CN"/>
        </w:rPr>
      </w:pPr>
      <w:hyperlink r:id="rId15"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5</w:t>
        </w:r>
        <w:r w:rsidR="009633F2">
          <w:rPr>
            <w:rStyle w:val="Hyperlink"/>
            <w:noProof/>
            <w:webHidden/>
          </w:rPr>
          <w:fldChar w:fldCharType="end"/>
        </w:r>
      </w:hyperlink>
    </w:p>
    <w:bookmarkStart w:id="14" w:name="_Hlk26133493"/>
    <w:p w14:paraId="408954FE" w14:textId="4453CFDD"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5"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5</w:t>
      </w:r>
      <w:r w:rsidR="009633F2">
        <w:rPr>
          <w:rStyle w:val="Hyperlink"/>
          <w:noProof/>
          <w:webHidden/>
        </w:rPr>
        <w:fldChar w:fldCharType="end"/>
      </w:r>
      <w:bookmarkEnd w:id="15"/>
      <w:r>
        <w:rPr>
          <w:rStyle w:val="Hyperlink"/>
          <w:noProof/>
        </w:rPr>
        <w:fldChar w:fldCharType="end"/>
      </w:r>
    </w:p>
    <w:bookmarkEnd w:id="14"/>
    <w:p w14:paraId="6F8E687E" w14:textId="46C49ECF"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6</w:t>
      </w:r>
      <w:r w:rsidR="009633F2">
        <w:rPr>
          <w:rStyle w:val="Hyperlink"/>
          <w:noProof/>
          <w:webHidden/>
        </w:rPr>
        <w:fldChar w:fldCharType="end"/>
      </w:r>
      <w:r>
        <w:rPr>
          <w:rStyle w:val="Hyperlink"/>
          <w:noProof/>
        </w:rPr>
        <w:fldChar w:fldCharType="end"/>
      </w:r>
    </w:p>
    <w:p w14:paraId="454B89E8" w14:textId="1AF88175" w:rsidR="009633F2" w:rsidRDefault="000738F3" w:rsidP="009633F2">
      <w:pPr>
        <w:pStyle w:val="TOC3"/>
        <w:tabs>
          <w:tab w:val="left" w:pos="1440"/>
          <w:tab w:val="right" w:leader="dot" w:pos="9062"/>
        </w:tabs>
        <w:rPr>
          <w:rFonts w:ascii="Times New Roman" w:eastAsia="SimSun" w:hAnsi="Times New Roman"/>
          <w:noProof/>
          <w:szCs w:val="24"/>
          <w:lang w:eastAsia="zh-CN"/>
        </w:rPr>
      </w:pPr>
      <w:hyperlink r:id="rId16"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7</w:t>
        </w:r>
        <w:r w:rsidR="009633F2">
          <w:rPr>
            <w:rStyle w:val="Hyperlink"/>
            <w:noProof/>
            <w:webHidden/>
          </w:rPr>
          <w:fldChar w:fldCharType="end"/>
        </w:r>
      </w:hyperlink>
    </w:p>
    <w:p w14:paraId="7DF664EA" w14:textId="595505EF" w:rsidR="009633F2" w:rsidRDefault="000738F3" w:rsidP="009633F2">
      <w:pPr>
        <w:pStyle w:val="TOC3"/>
        <w:tabs>
          <w:tab w:val="left" w:pos="1440"/>
          <w:tab w:val="right" w:leader="dot" w:pos="9062"/>
        </w:tabs>
        <w:rPr>
          <w:rFonts w:ascii="Times New Roman" w:eastAsia="SimSun" w:hAnsi="Times New Roman"/>
          <w:noProof/>
          <w:szCs w:val="24"/>
          <w:lang w:eastAsia="zh-CN"/>
        </w:rPr>
      </w:pPr>
      <w:hyperlink r:id="rId17"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7</w:t>
        </w:r>
        <w:r w:rsidR="009633F2">
          <w:rPr>
            <w:rStyle w:val="Hyperlink"/>
            <w:noProof/>
            <w:webHidden/>
          </w:rPr>
          <w:fldChar w:fldCharType="end"/>
        </w:r>
      </w:hyperlink>
    </w:p>
    <w:p w14:paraId="708A6AD4" w14:textId="235A776D" w:rsidR="009633F2" w:rsidRDefault="000738F3" w:rsidP="009633F2">
      <w:pPr>
        <w:pStyle w:val="TOC3"/>
        <w:tabs>
          <w:tab w:val="left" w:pos="1440"/>
          <w:tab w:val="right" w:leader="dot" w:pos="9062"/>
        </w:tabs>
        <w:rPr>
          <w:rFonts w:ascii="Times New Roman" w:eastAsia="SimSun" w:hAnsi="Times New Roman"/>
          <w:noProof/>
          <w:szCs w:val="24"/>
          <w:lang w:eastAsia="zh-CN"/>
        </w:rPr>
      </w:pPr>
      <w:hyperlink r:id="rId18"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671808">
          <w:rPr>
            <w:rStyle w:val="Hyperlink"/>
            <w:noProof/>
            <w:webHidden/>
          </w:rPr>
          <w:t>18</w:t>
        </w:r>
      </w:hyperlink>
    </w:p>
    <w:p w14:paraId="093130BE" w14:textId="1AA4B3D0" w:rsidR="009633F2" w:rsidRDefault="009633F2" w:rsidP="009633F2">
      <w:pPr>
        <w:pStyle w:val="TOC3"/>
        <w:tabs>
          <w:tab w:val="left" w:pos="1440"/>
          <w:tab w:val="right" w:leader="dot" w:pos="9062"/>
        </w:tabs>
        <w:rPr>
          <w:rStyle w:val="Hyperlink"/>
          <w:noProof/>
        </w:rPr>
      </w:pPr>
      <w:r w:rsidRPr="00671808">
        <w:rPr>
          <w:noProof/>
        </w:rPr>
        <w:t>2.1.5</w:t>
      </w:r>
      <w:r w:rsidRPr="00671808">
        <w:rPr>
          <w:rFonts w:ascii="Times New Roman" w:eastAsia="SimSun" w:hAnsi="Times New Roman"/>
          <w:noProof/>
          <w:szCs w:val="24"/>
          <w:lang w:eastAsia="zh-CN"/>
        </w:rPr>
        <w:tab/>
      </w:r>
      <w:r w:rsidR="00F02803" w:rsidRPr="00671808">
        <w:rPr>
          <w:noProof/>
        </w:rPr>
        <w:t>MÉTODOS DE APRENDIZADO</w:t>
      </w:r>
      <w:r w:rsidRPr="00671808">
        <w:rPr>
          <w:noProof/>
          <w:webHidden/>
        </w:rPr>
        <w:tab/>
      </w:r>
      <w:r w:rsidR="00671808" w:rsidRPr="00671808">
        <w:rPr>
          <w:noProof/>
          <w:webHidden/>
        </w:rPr>
        <w:t>1</w:t>
      </w:r>
      <w:r w:rsidR="00671808">
        <w:rPr>
          <w:noProof/>
          <w:webHidden/>
        </w:rPr>
        <w:t>9</w:t>
      </w:r>
    </w:p>
    <w:p w14:paraId="11617427" w14:textId="02B3A645" w:rsidR="009110A2" w:rsidRDefault="009110A2" w:rsidP="009110A2">
      <w:pPr>
        <w:pStyle w:val="TOC2"/>
        <w:tabs>
          <w:tab w:val="left" w:pos="960"/>
          <w:tab w:val="right" w:leader="dot" w:pos="9062"/>
        </w:tabs>
        <w:rPr>
          <w:rStyle w:val="Hyperlink"/>
          <w:noProof/>
        </w:rPr>
      </w:pPr>
      <w:r w:rsidRPr="00671808">
        <w:rPr>
          <w:noProof/>
        </w:rPr>
        <w:t>2.2</w:t>
      </w:r>
      <w:r w:rsidRPr="00671808">
        <w:rPr>
          <w:rFonts w:ascii="Times New Roman" w:eastAsia="SimSun" w:hAnsi="Times New Roman"/>
          <w:noProof/>
          <w:szCs w:val="24"/>
          <w:lang w:eastAsia="zh-CN"/>
        </w:rPr>
        <w:tab/>
      </w:r>
      <w:r w:rsidR="00F02803" w:rsidRPr="00671808">
        <w:rPr>
          <w:noProof/>
        </w:rPr>
        <w:t xml:space="preserve">REDES NEURAIS ARTIFICIAIS </w:t>
      </w:r>
      <w:r w:rsidRPr="00671808">
        <w:rPr>
          <w:noProof/>
          <w:webHidden/>
        </w:rPr>
        <w:tab/>
      </w:r>
      <w:r w:rsidR="00671808">
        <w:rPr>
          <w:noProof/>
          <w:webHidden/>
        </w:rPr>
        <w:t>19</w:t>
      </w:r>
    </w:p>
    <w:p w14:paraId="7239961E" w14:textId="77EB25ED"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19"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w:t>
        </w:r>
        <w:r w:rsidR="00671808">
          <w:rPr>
            <w:rStyle w:val="Hyperlink"/>
            <w:noProof/>
            <w:webHidden/>
          </w:rPr>
          <w:t>0</w:t>
        </w:r>
      </w:hyperlink>
    </w:p>
    <w:p w14:paraId="2640FAEE" w14:textId="0C723A73"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0"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w:t>
        </w:r>
        <w:r w:rsidR="00671808">
          <w:rPr>
            <w:rStyle w:val="Hyperlink"/>
            <w:noProof/>
            <w:webHidden/>
          </w:rPr>
          <w:t>0</w:t>
        </w:r>
      </w:hyperlink>
    </w:p>
    <w:p w14:paraId="25E74405" w14:textId="47E0818D"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1"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w:t>
        </w:r>
        <w:r w:rsidR="00671808">
          <w:rPr>
            <w:rStyle w:val="Hyperlink"/>
            <w:noProof/>
            <w:webHidden/>
          </w:rPr>
          <w:t>1</w:t>
        </w:r>
      </w:hyperlink>
    </w:p>
    <w:p w14:paraId="34293933" w14:textId="6F960AB2"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2"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w:t>
        </w:r>
        <w:r w:rsidR="00671808">
          <w:rPr>
            <w:rStyle w:val="Hyperlink"/>
            <w:noProof/>
            <w:webHidden/>
          </w:rPr>
          <w:t>1</w:t>
        </w:r>
      </w:hyperlink>
    </w:p>
    <w:p w14:paraId="2C843B03" w14:textId="34638B91" w:rsidR="009110A2" w:rsidRDefault="000738F3" w:rsidP="009110A2">
      <w:pPr>
        <w:pStyle w:val="TOC3"/>
        <w:tabs>
          <w:tab w:val="left" w:pos="1440"/>
          <w:tab w:val="right" w:leader="dot" w:pos="9062"/>
        </w:tabs>
        <w:rPr>
          <w:rStyle w:val="Hyperlink"/>
          <w:noProof/>
        </w:rPr>
      </w:pPr>
      <w:hyperlink r:id="rId23"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w:t>
        </w:r>
        <w:r w:rsidR="00671808">
          <w:rPr>
            <w:rStyle w:val="Hyperlink"/>
            <w:noProof/>
            <w:webHidden/>
          </w:rPr>
          <w:t>2</w:t>
        </w:r>
      </w:hyperlink>
    </w:p>
    <w:p w14:paraId="7CBD7886" w14:textId="6B223B22" w:rsidR="009110A2" w:rsidRDefault="000738F3" w:rsidP="009110A2">
      <w:pPr>
        <w:pStyle w:val="TOC2"/>
        <w:tabs>
          <w:tab w:val="left" w:pos="960"/>
          <w:tab w:val="right" w:leader="dot" w:pos="9062"/>
        </w:tabs>
        <w:rPr>
          <w:rStyle w:val="Hyperlink"/>
          <w:noProof/>
        </w:rPr>
      </w:pPr>
      <w:hyperlink r:id="rId24"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w:t>
        </w:r>
        <w:r w:rsidR="00671808">
          <w:rPr>
            <w:rStyle w:val="Hyperlink"/>
            <w:noProof/>
            <w:webHidden/>
          </w:rPr>
          <w:t>4</w:t>
        </w:r>
      </w:hyperlink>
    </w:p>
    <w:p w14:paraId="5A02EDF2" w14:textId="1CDFAAA8"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5"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w:t>
        </w:r>
        <w:r w:rsidR="00671808">
          <w:rPr>
            <w:rStyle w:val="Hyperlink"/>
            <w:noProof/>
            <w:webHidden/>
          </w:rPr>
          <w:t>5</w:t>
        </w:r>
      </w:hyperlink>
    </w:p>
    <w:p w14:paraId="3D6F4DFB" w14:textId="12ED6264"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6"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w:t>
        </w:r>
        <w:r w:rsidR="00671808">
          <w:rPr>
            <w:rStyle w:val="Hyperlink"/>
            <w:noProof/>
            <w:webHidden/>
          </w:rPr>
          <w:t>5</w:t>
        </w:r>
      </w:hyperlink>
    </w:p>
    <w:p w14:paraId="720F73B1" w14:textId="602CC492"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7"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w:t>
        </w:r>
        <w:r w:rsidR="00671808">
          <w:rPr>
            <w:rStyle w:val="Hyperlink"/>
            <w:noProof/>
            <w:webHidden/>
          </w:rPr>
          <w:t>7</w:t>
        </w:r>
      </w:hyperlink>
    </w:p>
    <w:p w14:paraId="55D64183" w14:textId="6E9A6D5C"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8"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671808">
          <w:rPr>
            <w:rStyle w:val="Hyperlink"/>
            <w:noProof/>
            <w:webHidden/>
          </w:rPr>
          <w:t>28</w:t>
        </w:r>
      </w:hyperlink>
    </w:p>
    <w:p w14:paraId="179C344E" w14:textId="5C22AC86" w:rsidR="009110A2" w:rsidRDefault="009110A2" w:rsidP="009110A2">
      <w:pPr>
        <w:pStyle w:val="TOC3"/>
        <w:tabs>
          <w:tab w:val="left" w:pos="1440"/>
          <w:tab w:val="right" w:leader="dot" w:pos="9062"/>
        </w:tabs>
        <w:rPr>
          <w:rStyle w:val="Hyperlink"/>
          <w:noProof/>
        </w:rPr>
      </w:pPr>
      <w:r w:rsidRPr="00671808">
        <w:rPr>
          <w:noProof/>
        </w:rPr>
        <w:lastRenderedPageBreak/>
        <w:t>2.</w:t>
      </w:r>
      <w:r w:rsidR="00ED3B21" w:rsidRPr="00671808">
        <w:rPr>
          <w:noProof/>
        </w:rPr>
        <w:t>3</w:t>
      </w:r>
      <w:r w:rsidRPr="00671808">
        <w:rPr>
          <w:noProof/>
        </w:rPr>
        <w:t>.5</w:t>
      </w:r>
      <w:r w:rsidRPr="00671808">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Pr="00671808">
        <w:rPr>
          <w:noProof/>
          <w:webHidden/>
        </w:rPr>
        <w:tab/>
      </w:r>
      <w:r w:rsidR="00671808">
        <w:rPr>
          <w:noProof/>
          <w:webHidden/>
        </w:rPr>
        <w:t>29</w:t>
      </w:r>
    </w:p>
    <w:p w14:paraId="6B1177C4" w14:textId="7D2D56D3"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29"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w:t>
        </w:r>
        <w:r w:rsidR="00671808">
          <w:rPr>
            <w:rStyle w:val="Hyperlink"/>
            <w:noProof/>
            <w:webHidden/>
          </w:rPr>
          <w:t>0</w:t>
        </w:r>
      </w:hyperlink>
    </w:p>
    <w:p w14:paraId="182C940A" w14:textId="0432B7CA" w:rsidR="009110A2" w:rsidRDefault="000738F3" w:rsidP="009110A2">
      <w:pPr>
        <w:pStyle w:val="TOC3"/>
        <w:tabs>
          <w:tab w:val="left" w:pos="1440"/>
          <w:tab w:val="right" w:leader="dot" w:pos="9062"/>
        </w:tabs>
        <w:rPr>
          <w:rFonts w:ascii="Times New Roman" w:eastAsia="SimSun" w:hAnsi="Times New Roman"/>
          <w:noProof/>
          <w:szCs w:val="24"/>
          <w:lang w:eastAsia="zh-CN"/>
        </w:rPr>
      </w:pPr>
      <w:hyperlink r:id="rId30"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w:t>
        </w:r>
        <w:r w:rsidR="00671808">
          <w:rPr>
            <w:rStyle w:val="Hyperlink"/>
            <w:noProof/>
            <w:webHidden/>
          </w:rPr>
          <w:t>0</w:t>
        </w:r>
      </w:hyperlink>
    </w:p>
    <w:p w14:paraId="0138049A" w14:textId="22721A7B" w:rsidR="009110A2" w:rsidRDefault="000738F3" w:rsidP="009110A2">
      <w:pPr>
        <w:pStyle w:val="TOC3"/>
        <w:tabs>
          <w:tab w:val="left" w:pos="1440"/>
          <w:tab w:val="right" w:leader="dot" w:pos="9062"/>
        </w:tabs>
        <w:rPr>
          <w:rStyle w:val="Hyperlink"/>
          <w:noProof/>
        </w:rPr>
      </w:pPr>
      <w:hyperlink r:id="rId31"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w:t>
        </w:r>
        <w:r w:rsidR="00671808">
          <w:rPr>
            <w:rStyle w:val="Hyperlink"/>
            <w:noProof/>
            <w:webHidden/>
          </w:rPr>
          <w:t>1</w:t>
        </w:r>
      </w:hyperlink>
    </w:p>
    <w:p w14:paraId="5FC08B30" w14:textId="46C5F192" w:rsidR="009110A2" w:rsidRDefault="000738F3" w:rsidP="009110A2">
      <w:pPr>
        <w:pStyle w:val="TOC1"/>
        <w:tabs>
          <w:tab w:val="left" w:pos="480"/>
          <w:tab w:val="right" w:leader="dot" w:pos="9062"/>
        </w:tabs>
        <w:rPr>
          <w:rStyle w:val="Hyperlink"/>
          <w:noProof/>
        </w:rPr>
      </w:pPr>
      <w:hyperlink r:id="rId32"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w:t>
        </w:r>
        <w:r w:rsidR="00671808">
          <w:rPr>
            <w:rStyle w:val="Hyperlink"/>
            <w:noProof/>
            <w:webHidden/>
          </w:rPr>
          <w:t>3</w:t>
        </w:r>
      </w:hyperlink>
    </w:p>
    <w:p w14:paraId="76D5CF7A" w14:textId="20A5E1B1" w:rsidR="009110A2" w:rsidRDefault="00D056A3" w:rsidP="009110A2">
      <w:pPr>
        <w:pStyle w:val="TOC2"/>
        <w:tabs>
          <w:tab w:val="left" w:pos="960"/>
          <w:tab w:val="right" w:leader="dot" w:pos="9062"/>
        </w:tabs>
        <w:rPr>
          <w:rStyle w:val="Hyperlink"/>
          <w:noProof/>
        </w:rPr>
      </w:pPr>
      <w:r>
        <w:t>3</w:t>
      </w:r>
      <w:r w:rsidR="009110A2">
        <w:t>.1</w:t>
      </w:r>
      <w:hyperlink r:id="rId33"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w:t>
        </w:r>
        <w:r w:rsidR="00E60215">
          <w:rPr>
            <w:rStyle w:val="Hyperlink"/>
            <w:noProof/>
            <w:webHidden/>
          </w:rPr>
          <w:t>3</w:t>
        </w:r>
      </w:hyperlink>
    </w:p>
    <w:p w14:paraId="03856DBD" w14:textId="48568B26"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34"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E60215">
          <w:rPr>
            <w:rStyle w:val="Hyperlink"/>
            <w:noProof/>
            <w:webHidden/>
          </w:rPr>
          <w:t>4</w:t>
        </w:r>
      </w:hyperlink>
    </w:p>
    <w:p w14:paraId="30CFAD39" w14:textId="150F54F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35"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w:t>
        </w:r>
        <w:r w:rsidR="00E60215">
          <w:rPr>
            <w:rStyle w:val="Hyperlink"/>
            <w:noProof/>
            <w:webHidden/>
          </w:rPr>
          <w:t>6</w:t>
        </w:r>
      </w:hyperlink>
    </w:p>
    <w:p w14:paraId="2A353B13" w14:textId="140B012C" w:rsidR="009110A2" w:rsidRDefault="00D056A3" w:rsidP="009110A2">
      <w:pPr>
        <w:pStyle w:val="TOC2"/>
        <w:tabs>
          <w:tab w:val="left" w:pos="960"/>
          <w:tab w:val="right" w:leader="dot" w:pos="9062"/>
        </w:tabs>
        <w:rPr>
          <w:rStyle w:val="Hyperlink"/>
          <w:noProof/>
        </w:rPr>
      </w:pPr>
      <w:r>
        <w:t>3</w:t>
      </w:r>
      <w:r w:rsidR="009110A2">
        <w:t>.4</w:t>
      </w:r>
      <w:hyperlink r:id="rId36"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w:t>
        </w:r>
        <w:r w:rsidR="00E60215">
          <w:rPr>
            <w:rStyle w:val="Hyperlink"/>
            <w:noProof/>
            <w:webHidden/>
          </w:rPr>
          <w:t>1</w:t>
        </w:r>
      </w:hyperlink>
    </w:p>
    <w:p w14:paraId="3357525D" w14:textId="6AD43AD4"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37"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w:t>
        </w:r>
        <w:r w:rsidR="00E60215">
          <w:rPr>
            <w:rStyle w:val="Hyperlink"/>
            <w:noProof/>
            <w:webHidden/>
          </w:rPr>
          <w:t>3</w:t>
        </w:r>
      </w:hyperlink>
      <w:r w:rsidR="009110A2">
        <w:t xml:space="preserve">   </w:t>
      </w:r>
    </w:p>
    <w:p w14:paraId="25DE2641" w14:textId="2D5B902B" w:rsidR="009110A2" w:rsidRPr="00E60215" w:rsidRDefault="000738F3" w:rsidP="00E60215">
      <w:pPr>
        <w:pStyle w:val="TOC1"/>
        <w:tabs>
          <w:tab w:val="left" w:pos="480"/>
          <w:tab w:val="right" w:leader="dot" w:pos="9062"/>
        </w:tabs>
        <w:rPr>
          <w:noProof/>
          <w:color w:val="0000FF"/>
          <w:u w:val="single"/>
        </w:rPr>
      </w:pPr>
      <w:hyperlink r:id="rId38"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w:t>
        </w:r>
        <w:r w:rsidR="00E60215">
          <w:rPr>
            <w:rStyle w:val="Hyperlink"/>
            <w:noProof/>
            <w:webHidden/>
          </w:rPr>
          <w:t>6</w:t>
        </w:r>
      </w:hyperlink>
    </w:p>
    <w:p w14:paraId="53058BD2" w14:textId="77777777" w:rsidR="009110A2" w:rsidRPr="009110A2" w:rsidRDefault="009110A2" w:rsidP="009110A2">
      <w:pPr>
        <w:rPr>
          <w:lang w:eastAsia="pt-BR" w:bidi="ar-SA"/>
        </w:rPr>
      </w:pPr>
    </w:p>
    <w:p w14:paraId="6F609883" w14:textId="48A0D7AF" w:rsidR="009633F2" w:rsidRDefault="000738F3" w:rsidP="009633F2">
      <w:pPr>
        <w:pStyle w:val="TOC1"/>
        <w:tabs>
          <w:tab w:val="right" w:leader="dot" w:pos="9062"/>
        </w:tabs>
        <w:rPr>
          <w:rFonts w:ascii="Times New Roman" w:eastAsia="SimSun" w:hAnsi="Times New Roman"/>
          <w:noProof/>
          <w:szCs w:val="24"/>
          <w:lang w:eastAsia="zh-CN"/>
        </w:rPr>
      </w:pPr>
      <w:hyperlink r:id="rId39" w:anchor="_Toc378694375" w:history="1">
        <w:r w:rsidR="009633F2">
          <w:rPr>
            <w:rStyle w:val="Hyperlink"/>
            <w:noProof/>
          </w:rPr>
          <w:t>REFERÊNCIAS BIBLIOGRÁFICAS</w:t>
        </w:r>
        <w:r w:rsidR="009633F2">
          <w:rPr>
            <w:rStyle w:val="Hyperlink"/>
            <w:noProof/>
            <w:webHidden/>
          </w:rPr>
          <w:tab/>
        </w:r>
        <w:r w:rsidR="00E60215">
          <w:rPr>
            <w:rStyle w:val="Hyperlink"/>
            <w:noProof/>
            <w:webHidden/>
          </w:rPr>
          <w:t>48</w:t>
        </w:r>
      </w:hyperlink>
    </w:p>
    <w:p w14:paraId="67C7CCC1" w14:textId="79587C92" w:rsidR="009633F2" w:rsidRDefault="000738F3" w:rsidP="009633F2">
      <w:pPr>
        <w:pStyle w:val="TOC1"/>
        <w:tabs>
          <w:tab w:val="right" w:leader="dot" w:pos="9062"/>
        </w:tabs>
        <w:rPr>
          <w:rStyle w:val="Hyperlink"/>
          <w:noProof/>
        </w:rPr>
      </w:pPr>
      <w:hyperlink r:id="rId40" w:anchor="_Toc378694376" w:history="1">
        <w:r w:rsidR="009633F2">
          <w:rPr>
            <w:rStyle w:val="Hyperlink"/>
            <w:noProof/>
          </w:rPr>
          <w:t>ANEXO</w:t>
        </w:r>
        <w:r w:rsidR="009633F2">
          <w:rPr>
            <w:rStyle w:val="Hyperlink"/>
            <w:noProof/>
            <w:webHidden/>
          </w:rPr>
          <w:tab/>
        </w:r>
        <w:r w:rsidR="00E60215">
          <w:rPr>
            <w:rStyle w:val="Hyperlink"/>
            <w:noProof/>
            <w:webHidden/>
          </w:rPr>
          <w:t>50</w:t>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41"/>
          <w:headerReference w:type="first" r:id="rId42"/>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43"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6" w:name="__DdeLink__59_2213754733"/>
      <w:bookmarkEnd w:id="16"/>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possuísse estados cognitivos”[1].</w:t>
      </w:r>
    </w:p>
    <w:p w14:paraId="02AB1882" w14:textId="6F8DA7B8"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28683AC0" w14:textId="77777777" w:rsidR="00277962" w:rsidRDefault="00277962" w:rsidP="00B301E5">
      <w:pPr>
        <w:pStyle w:val="ListParagraph"/>
        <w:ind w:left="0" w:firstLine="283"/>
        <w:rPr>
          <w:i/>
          <w:iCs/>
          <w:szCs w:val="24"/>
        </w:rPr>
      </w:pP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w:t>
      </w:r>
      <w:r>
        <w:rPr>
          <w:color w:val="000000"/>
          <w:szCs w:val="24"/>
        </w:rPr>
        <w:lastRenderedPageBreak/>
        <w:t>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45">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lastRenderedPageBreak/>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46">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w:t>
      </w:r>
      <w:r>
        <w:rPr>
          <w:color w:val="000000" w:themeColor="text1"/>
          <w:szCs w:val="24"/>
        </w:rPr>
        <w:lastRenderedPageBreak/>
        <w:t xml:space="preserve">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18"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8"/>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lastRenderedPageBreak/>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1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20" w:name="_Hlk22490041"/>
      <w:r>
        <w:rPr>
          <w:color w:val="000000" w:themeColor="text1"/>
          <w:szCs w:val="24"/>
        </w:rPr>
        <w:t>A</w:t>
      </w:r>
    </w:p>
    <w:bookmarkEnd w:id="1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47">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48">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4" w:name="_Hlk23199343"/>
      <w:r>
        <w:t>Exemplo de Função de Ativação Linear</w:t>
      </w:r>
      <w:bookmarkEnd w:id="2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lastRenderedPageBreak/>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49">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25" w:name="_Hlk23199375"/>
      <w:r>
        <w:t>Exemplo de representação de Função de Ativação não linear</w:t>
      </w:r>
      <w:bookmarkEnd w:id="25"/>
    </w:p>
    <w:p w14:paraId="01145F6D" w14:textId="77777777" w:rsidR="00671808" w:rsidRDefault="00671808" w:rsidP="00CF2176">
      <w:pPr>
        <w:pStyle w:val="ListParagraph"/>
        <w:ind w:left="0"/>
        <w:rPr>
          <w:b/>
          <w:color w:val="000000" w:themeColor="text1"/>
          <w:sz w:val="28"/>
          <w:szCs w:val="28"/>
        </w:rPr>
      </w:pPr>
    </w:p>
    <w:p w14:paraId="09699730" w14:textId="77777777" w:rsidR="00671808" w:rsidRDefault="00671808" w:rsidP="00CF2176">
      <w:pPr>
        <w:pStyle w:val="ListParagraph"/>
        <w:ind w:left="0"/>
        <w:rPr>
          <w:b/>
          <w:color w:val="000000" w:themeColor="text1"/>
          <w:sz w:val="28"/>
          <w:szCs w:val="28"/>
        </w:rPr>
      </w:pPr>
    </w:p>
    <w:p w14:paraId="39F43DCF" w14:textId="059D94FE"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r w:rsidRPr="00E135CB">
        <w:rPr>
          <w:i/>
          <w:iCs/>
          <w:color w:val="000000" w:themeColor="text1"/>
        </w:rPr>
        <w:t>Backpropagation</w:t>
      </w:r>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6"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7"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lastRenderedPageBreak/>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8" w:name="_Hlk23107651"/>
      <w:r>
        <w:rPr>
          <w:color w:val="000000" w:themeColor="text1"/>
          <w:szCs w:val="24"/>
        </w:rPr>
        <w:t xml:space="preserve">0.01 </w:t>
      </w:r>
      <w:bookmarkEnd w:id="28"/>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50">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29" w:name="_Hlk23199416"/>
      <w:r>
        <w:t xml:space="preserve">Exemplo de valores iniciados </w:t>
      </w:r>
      <w:r w:rsidR="00B977A8">
        <w:t xml:space="preserve">em </w:t>
      </w:r>
      <w:r>
        <w:t>uma RNA</w:t>
      </w:r>
      <w:r w:rsidR="00B977A8">
        <w:t>.</w:t>
      </w:r>
      <w:bookmarkEnd w:id="29"/>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0" w:name="_Hlk22498393"/>
    <w:p w14:paraId="2F25F6D5" w14:textId="4C3109A3" w:rsidR="0078373B" w:rsidRPr="006A4F91" w:rsidRDefault="000738F3"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0"/>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51">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1" w:name="_Hlk23199489"/>
      <w:r>
        <w:t xml:space="preserve">Fórmula e representação da função </w:t>
      </w:r>
      <w:r w:rsidR="004C4B27">
        <w:t>Logística</w:t>
      </w:r>
      <w:r>
        <w:t>.</w:t>
      </w:r>
      <w:bookmarkEnd w:id="31"/>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2" w:name="_Hlk22988284"/>
        <m:r>
          <w:rPr>
            <w:rFonts w:ascii="Cambria Math" w:hAnsi="Cambria Math"/>
            <w:color w:val="000000" w:themeColor="text1"/>
          </w:rPr>
          <m:t>0.593269992</m:t>
        </m:r>
      </m:oMath>
      <w:bookmarkEnd w:id="32"/>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lastRenderedPageBreak/>
        <w:t>O processo se repete em relação aos neurônios da camada de saída, agora as entradas serão justamente os valores calculados de saída da camada anterior. Assim, definindo:</w:t>
      </w:r>
    </w:p>
    <w:p w14:paraId="0B733E19" w14:textId="51394952" w:rsidR="0051536B" w:rsidRPr="0056489C" w:rsidRDefault="000738F3"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3"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3"/>
        <m:r>
          <w:rPr>
            <w:rFonts w:ascii="Cambria Math" w:hAnsi="Cambria Math"/>
            <w:color w:val="000000" w:themeColor="text1"/>
          </w:rPr>
          <m:t>=</m:t>
        </m:r>
        <w:bookmarkStart w:id="34" w:name="_Hlk23106207"/>
        <m:r>
          <w:rPr>
            <w:rFonts w:ascii="Cambria Math" w:hAnsi="Cambria Math"/>
            <w:color w:val="000000" w:themeColor="text1"/>
          </w:rPr>
          <m:t>0.75136507</m:t>
        </m:r>
      </m:oMath>
      <w:r w:rsidR="00E85B57">
        <w:rPr>
          <w:color w:val="000000" w:themeColor="text1"/>
        </w:rPr>
        <w:t xml:space="preserve"> </w:t>
      </w:r>
      <w:bookmarkEnd w:id="34"/>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5" w:name="_Hlk23107904"/>
        <m:r>
          <w:rPr>
            <w:rFonts w:ascii="Cambria Math" w:hAnsi="Cambria Math"/>
            <w:color w:val="000000" w:themeColor="text1"/>
          </w:rPr>
          <m:t>0.772928465</m:t>
        </m:r>
      </m:oMath>
      <w:bookmarkEnd w:id="35"/>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7"/>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6"/>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6"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0738F3"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7" w:name="_Hlk22991462"/>
    <w:p w14:paraId="3835BC74" w14:textId="59E022E8" w:rsidR="004265FA" w:rsidRDefault="000738F3"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8" w:name="_Hlk22991476"/>
    <w:p w14:paraId="3FE88FE7" w14:textId="34994E15" w:rsidR="00CB448E" w:rsidRPr="00CB448E" w:rsidRDefault="000738F3"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39" w:name="_Hlk23103017"/>
    <w:p w14:paraId="61D3577D" w14:textId="6DE976A5" w:rsidR="009A04E7" w:rsidRPr="009A04E7" w:rsidRDefault="000738F3"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39"/>
    <w:p w14:paraId="6D36D01C" w14:textId="656D70FE" w:rsidR="009A04E7" w:rsidRPr="009A04E7" w:rsidRDefault="000738F3"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6"/>
      <w:r w:rsidR="00B350AC" w:rsidRPr="00074776">
        <w:rPr>
          <w:rFonts w:ascii="Arial" w:eastAsia="Times New Roman" w:hAnsi="Arial"/>
          <w:color w:val="000000" w:themeColor="text1"/>
          <w:lang w:bidi="ar-SA"/>
        </w:rPr>
        <w:t xml:space="preserve"> </w:t>
      </w:r>
      <w:bookmarkStart w:id="40" w:name="_Hlk23108062"/>
      <w:r w:rsidR="009A04E7">
        <w:rPr>
          <w:rFonts w:ascii="Arial" w:eastAsia="Times New Roman" w:hAnsi="Arial"/>
          <w:color w:val="000000" w:themeColor="text1"/>
          <w:lang w:bidi="ar-SA"/>
        </w:rPr>
        <w:t>O GRADIENTE E A APLICAÇÃO DA REGRA DA CADEIA</w:t>
      </w:r>
      <w:bookmarkEnd w:id="40"/>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lastRenderedPageBreak/>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52">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2" w:name="_Hlk23199527"/>
      <w:r>
        <w:t xml:space="preserve">Ilustração </w:t>
      </w:r>
      <w:r w:rsidR="009001AB">
        <w:t>da regra da cadeia no</w:t>
      </w:r>
      <w:r>
        <w:t xml:space="preserve"> nó da camada de saída</w:t>
      </w:r>
      <w:r w:rsidR="009001AB">
        <w:t>.</w:t>
      </w:r>
      <w:bookmarkEnd w:id="42"/>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3"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3"/>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0738F3"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4" w:name="_Hlk23105894"/>
          <w:bookmarkStart w:id="45" w:name="_Hlk23111371"/>
          <m:f>
            <m:fPr>
              <m:ctrlPr>
                <w:rPr>
                  <w:rFonts w:ascii="Cambria Math" w:eastAsia="Times New Roman" w:hAnsi="Cambria Math"/>
                  <w:i/>
                  <w:color w:val="000000" w:themeColor="text1"/>
                  <w:sz w:val="28"/>
                  <w:szCs w:val="28"/>
                </w:rPr>
              </m:ctrlPr>
            </m:fPr>
            <m:num>
              <w:bookmarkStart w:id="46" w:name="_Hlk23105931"/>
              <m:r>
                <m:rPr>
                  <m:sty m:val="bi"/>
                </m:rPr>
                <w:rPr>
                  <w:rFonts w:ascii="Cambria Math" w:eastAsia="Times New Roman" w:hAnsi="Cambria Math"/>
                  <w:color w:val="000000" w:themeColor="text1"/>
                  <w:sz w:val="28"/>
                  <w:szCs w:val="28"/>
                </w:rPr>
                <m:t>∂Etotal</m:t>
              </m:r>
              <w:bookmarkEnd w:id="46"/>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4"/>
          <m:r>
            <w:rPr>
              <w:rFonts w:ascii="Cambria Math" w:eastAsia="Times New Roman" w:hAnsi="Cambria Math"/>
              <w:color w:val="000000" w:themeColor="text1"/>
              <w:sz w:val="28"/>
              <w:szCs w:val="28"/>
            </w:rPr>
            <m:t xml:space="preserve">* </m:t>
          </m:r>
          <w:bookmarkEnd w:id="45"/>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7"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8" w:name="_Hlk23107995"/>
        <w:bookmarkStart w:id="49"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8"/>
      <w:r w:rsidR="003A1614">
        <w:rPr>
          <w:color w:val="000000" w:themeColor="text1"/>
          <w:sz w:val="28"/>
          <w:szCs w:val="28"/>
        </w:rPr>
        <w:t xml:space="preserve">, </w:t>
      </w:r>
      <w:bookmarkEnd w:id="49"/>
      <w:r w:rsidR="003A1614" w:rsidRPr="009330E7">
        <w:rPr>
          <w:color w:val="000000" w:themeColor="text1"/>
          <w:szCs w:val="24"/>
        </w:rPr>
        <w:t>entretanto</w:t>
      </w:r>
      <w:r w:rsidR="003A1614">
        <w:rPr>
          <w:color w:val="000000" w:themeColor="text1"/>
          <w:szCs w:val="24"/>
        </w:rPr>
        <w:t xml:space="preserve">, como estamos calculando em relação a </w:t>
      </w:r>
      <w:bookmarkStart w:id="50" w:name="_Hlk23103150"/>
      <w:bookmarkStart w:id="51"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0"/>
      <w:r w:rsidR="003A1614">
        <w:t xml:space="preserve">, </w:t>
      </w:r>
      <w:bookmarkEnd w:id="51"/>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0738F3"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2" w:name="_Hlk23190014"/>
    </w:p>
    <w:bookmarkEnd w:id="52"/>
    <w:p w14:paraId="6DEB84EB" w14:textId="76F55F2F" w:rsidR="000E1612" w:rsidRDefault="003A1614" w:rsidP="009330E7">
      <w:pPr>
        <w:pStyle w:val="ListParagraph"/>
        <w:ind w:left="0"/>
        <w:rPr>
          <w:color w:val="000000" w:themeColor="text1"/>
          <w:szCs w:val="24"/>
        </w:rPr>
      </w:pPr>
      <w:r>
        <w:rPr>
          <w:color w:val="000000" w:themeColor="text1"/>
          <w:szCs w:val="24"/>
        </w:rPr>
        <w:lastRenderedPageBreak/>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0738F3"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3"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3"/>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0738F3"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4"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5"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6"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6"/>
      <w:r w:rsidR="00F17292">
        <w:rPr>
          <w:rFonts w:ascii="Arial" w:hAnsi="Arial"/>
          <w:color w:val="000000" w:themeColor="text1"/>
        </w:rPr>
        <w:t xml:space="preserve">não terão influência, e a exemplo do exposto no início do item 2.3.5, </w:t>
      </w:r>
      <w:r w:rsidR="00F17292">
        <w:rPr>
          <w:rFonts w:ascii="Arial" w:hAnsi="Arial"/>
          <w:color w:val="000000" w:themeColor="text1"/>
        </w:rPr>
        <w:lastRenderedPageBreak/>
        <w:t>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0738F3"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0738F3"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7" w:name="_Hlk23196837"/>
    </w:p>
    <w:p w14:paraId="7DC4D36B" w14:textId="46318889" w:rsidR="00357CC2" w:rsidRPr="00357CC2" w:rsidRDefault="000738F3"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7"/>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0738F3"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0738F3"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0738F3"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lastRenderedPageBreak/>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0738F3"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0738F3"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0738F3"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0738F3"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8"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r w:rsidR="003D2B1A" w:rsidRPr="00547EB5">
        <w:rPr>
          <w:i/>
          <w:iCs/>
          <w:color w:val="000000"/>
          <w:szCs w:val="24"/>
        </w:rPr>
        <w:t>scikit-learn</w:t>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58"/>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53">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59" w:name="_Hlk25787887"/>
      <w:r>
        <w:t xml:space="preserve">Colunas e impressão por comando </w:t>
      </w:r>
      <w:r w:rsidRPr="00432C82">
        <w:rPr>
          <w:i/>
          <w:iCs/>
        </w:rPr>
        <w:t>head</w:t>
      </w:r>
      <w:bookmarkEnd w:id="59"/>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54">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0" w:name="_Hlk25787907"/>
      <w:r>
        <w:t xml:space="preserve">Código: Mapeamento da saída como </w:t>
      </w:r>
      <w:bookmarkEnd w:id="60"/>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55">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61" w:name="_Hlk25787944"/>
      <w:r>
        <w:t>Código: Função Split aplicada a treino e teste</w:t>
      </w:r>
      <w:bookmarkEnd w:id="61"/>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56">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62" w:name="_Hlk25787797"/>
      <w:r>
        <w:t xml:space="preserve">Figura 13 – Código: </w:t>
      </w:r>
      <w:r w:rsidR="00DE5B85">
        <w:t>Exemplo de i</w:t>
      </w:r>
      <w:r>
        <w:t>mpressão para verificação de treino e teste</w:t>
      </w:r>
      <w:bookmarkEnd w:id="62"/>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57">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58">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63" w:name="_Hlk25965152"/>
      <w:r>
        <w:t xml:space="preserve">Treino do modelo </w:t>
      </w:r>
      <w:r w:rsidR="0068251C">
        <w:t>da rede</w:t>
      </w:r>
      <w:bookmarkEnd w:id="63"/>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r w:rsidRPr="008E09F5">
        <w:rPr>
          <w:i/>
          <w:iCs/>
        </w:rPr>
        <w:t>matplotlib</w:t>
      </w:r>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59">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60">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64" w:name="_Hlk25964938"/>
      <w:r w:rsidR="00FC23FA">
        <w:t xml:space="preserve">Comparação da função </w:t>
      </w:r>
      <w:r w:rsidR="00FC23FA" w:rsidRPr="00FC23FA">
        <w:rPr>
          <w:i/>
          <w:iCs/>
        </w:rPr>
        <w:t>Predict</w:t>
      </w:r>
      <w:r w:rsidR="00FC23FA">
        <w:t xml:space="preserve"> com valores reais</w:t>
      </w:r>
      <w:bookmarkEnd w:id="64"/>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61">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62">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65" w:name="_Hlk25964880"/>
      <w:r>
        <w:t>Código: Predição dos casos de teste e acurácia do algoritmo</w:t>
      </w:r>
      <w:bookmarkEnd w:id="65"/>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63">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66" w:name="_Hlk26007930"/>
      <w:r>
        <w:t>matriz e acurácia</w:t>
      </w:r>
      <w:bookmarkEnd w:id="66"/>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47"/>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65"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66"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67"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7"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7"/>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68"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69"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 xml:space="preserve">Python tutorial, Centrum </w:t>
      </w:r>
      <w:proofErr w:type="spellStart"/>
      <w:r w:rsidRPr="006F1640">
        <w:rPr>
          <w:rFonts w:ascii="Times New Roman" w:eastAsia="Arial" w:hAnsi="Times New Roman" w:cs="Times New Roman"/>
          <w:i/>
          <w:iCs/>
          <w:szCs w:val="24"/>
          <w:lang w:val="en-US"/>
        </w:rPr>
        <w:t>voor</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Wiskunde</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en</w:t>
      </w:r>
      <w:proofErr w:type="spellEnd"/>
      <w:r w:rsidRPr="006F1640">
        <w:rPr>
          <w:rFonts w:ascii="Times New Roman" w:eastAsia="Arial" w:hAnsi="Times New Roman" w:cs="Times New Roman"/>
          <w:i/>
          <w:iCs/>
          <w:szCs w:val="24"/>
          <w:lang w:val="en-US"/>
        </w:rPr>
        <w:t xml:space="preserve">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70"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r w:rsidR="001A5DB9">
        <w:fldChar w:fldCharType="begin"/>
      </w:r>
      <w:r w:rsidR="001A5DB9">
        <w:instrText xml:space="preserve"> HYPERLINK "http://keras.io" </w:instrText>
      </w:r>
      <w:r w:rsidR="001A5DB9">
        <w:fldChar w:fldCharType="separate"/>
      </w:r>
      <w:r w:rsidR="00A6636C" w:rsidRPr="003856E7">
        <w:rPr>
          <w:rStyle w:val="Hyperlink"/>
          <w:rFonts w:ascii="Times New Roman" w:eastAsia="Arial" w:hAnsi="Times New Roman" w:cs="Times New Roman"/>
          <w:szCs w:val="24"/>
        </w:rPr>
        <w:t>http://keras.io</w:t>
      </w:r>
      <w:r w:rsidR="001A5DB9">
        <w:rPr>
          <w:rStyle w:val="Hyperlink"/>
          <w:rFonts w:ascii="Times New Roman" w:eastAsia="Arial" w:hAnsi="Times New Roman" w:cs="Times New Roman"/>
          <w:szCs w:val="24"/>
        </w:rPr>
        <w:fldChar w:fldCharType="end"/>
      </w:r>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proofErr w:type="spellStart"/>
      <w:r w:rsidRPr="003676C0">
        <w:rPr>
          <w:rFonts w:ascii="Times New Roman" w:eastAsia="Arial" w:hAnsi="Times New Roman" w:cs="Times New Roman"/>
          <w:i/>
          <w:iCs/>
          <w:szCs w:val="24"/>
          <w:lang w:val="en-US"/>
        </w:rPr>
        <w:t>Scikit</w:t>
      </w:r>
      <w:proofErr w:type="spellEnd"/>
      <w:r w:rsidRPr="003676C0">
        <w:rPr>
          <w:rFonts w:ascii="Times New Roman" w:eastAsia="Arial" w:hAnsi="Times New Roman" w:cs="Times New Roman"/>
          <w:i/>
          <w:iCs/>
          <w:szCs w:val="24"/>
          <w:lang w:val="en-US"/>
        </w:rPr>
        <w: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proofErr w:type="spellStart"/>
      <w:r w:rsidRPr="00A1762E">
        <w:rPr>
          <w:rFonts w:ascii="Times New Roman" w:eastAsia="Arial" w:hAnsi="Times New Roman" w:cs="Times New Roman"/>
          <w:szCs w:val="24"/>
          <w:lang w:val="en-US"/>
        </w:rPr>
        <w:t>Diederik</w:t>
      </w:r>
      <w:proofErr w:type="spellEnd"/>
      <w:r w:rsidRPr="00A1762E">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68" w:name="ANEXOS"/>
      <w:bookmarkEnd w:id="68"/>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6F3C5016" w14:textId="77777777" w:rsidR="00E60215" w:rsidRDefault="00E60215" w:rsidP="00CF2176">
      <w:pPr>
        <w:pStyle w:val="Standard"/>
        <w:ind w:firstLine="0"/>
        <w:rPr>
          <w:szCs w:val="24"/>
        </w:rPr>
      </w:pPr>
    </w:p>
    <w:p w14:paraId="0FA91F6F" w14:textId="2BEAF16B" w:rsidR="00CF2176" w:rsidRDefault="00E60215" w:rsidP="00CF2176">
      <w:pPr>
        <w:pStyle w:val="Standard"/>
        <w:ind w:firstLine="0"/>
        <w:rPr>
          <w:szCs w:val="24"/>
        </w:rPr>
      </w:pPr>
      <w:r>
        <w:rPr>
          <w:szCs w:val="24"/>
        </w:rPr>
        <w:t>Aqui temos uma tabela, resumida, com tipos de funções de ativação, sua representação geométrica e sua respectiva equação.</w:t>
      </w:r>
    </w:p>
    <w:p w14:paraId="15B3C074" w14:textId="77777777" w:rsidR="00E60215" w:rsidRPr="00CF2176" w:rsidRDefault="00E60215" w:rsidP="00CF2176">
      <w:pPr>
        <w:pStyle w:val="Standard"/>
        <w:ind w:firstLine="0"/>
        <w:rPr>
          <w:szCs w:val="24"/>
        </w:rPr>
      </w:pPr>
    </w:p>
    <w:p w14:paraId="66279427" w14:textId="77777777" w:rsidR="00CF2176" w:rsidRDefault="00CF2176" w:rsidP="00E60215">
      <w:pPr>
        <w:pStyle w:val="Standard"/>
        <w:ind w:firstLine="0"/>
        <w:jc w:val="left"/>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30ADA364" w:rsidR="00DE586B" w:rsidRPr="00E60215" w:rsidRDefault="00E60215" w:rsidP="00CF2176">
      <w:pPr>
        <w:pStyle w:val="ListParagraph"/>
        <w:ind w:left="0"/>
      </w:pPr>
      <w:r w:rsidRPr="00E60215">
        <w:t>Disponív</w:t>
      </w:r>
      <w:r>
        <w:t>el no</w:t>
      </w:r>
      <w:r w:rsidRPr="00E60215">
        <w:t xml:space="preserve"> site: </w:t>
      </w:r>
      <w:hyperlink r:id="rId72" w:history="1">
        <w:r w:rsidRPr="00E60215">
          <w:rPr>
            <w:rStyle w:val="Hyperlink"/>
          </w:rPr>
          <w:t>https://hackernoon.com/everything-you-need-to-know-about-neural-networks-8988c3ee4491</w:t>
        </w:r>
      </w:hyperlink>
    </w:p>
    <w:sectPr w:rsidR="00DE586B" w:rsidRPr="00E60215" w:rsidSect="00505DD0">
      <w:headerReference w:type="default" r:id="rId73"/>
      <w:pgSz w:w="11906" w:h="16838"/>
      <w:pgMar w:top="1701" w:right="1134" w:bottom="1531" w:left="1701" w:header="90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5DF3B" w14:textId="77777777" w:rsidR="007613FE" w:rsidRDefault="007613FE">
      <w:r>
        <w:separator/>
      </w:r>
    </w:p>
  </w:endnote>
  <w:endnote w:type="continuationSeparator" w:id="0">
    <w:p w14:paraId="4FBE7C19" w14:textId="77777777" w:rsidR="007613FE" w:rsidRDefault="0076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CD71A" w14:textId="77777777" w:rsidR="007613FE" w:rsidRDefault="007613FE">
      <w:r>
        <w:rPr>
          <w:color w:val="000000"/>
        </w:rPr>
        <w:separator/>
      </w:r>
    </w:p>
  </w:footnote>
  <w:footnote w:type="continuationSeparator" w:id="0">
    <w:p w14:paraId="694A4C30" w14:textId="77777777" w:rsidR="007613FE" w:rsidRDefault="007613FE">
      <w:r>
        <w:continuationSeparator/>
      </w:r>
    </w:p>
  </w:footnote>
  <w:footnote w:id="1">
    <w:p w14:paraId="6D01198A" w14:textId="77777777" w:rsidR="000738F3" w:rsidRPr="002C5E59" w:rsidRDefault="000738F3"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0738F3" w:rsidRDefault="000738F3">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0738F3" w:rsidRDefault="000738F3">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0738F3" w:rsidRDefault="000738F3">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0738F3" w:rsidRDefault="000738F3">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0738F3" w:rsidRDefault="000738F3">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0738F3" w:rsidRDefault="000738F3">
    <w:pPr>
      <w:pStyle w:val="Header"/>
      <w:jc w:val="right"/>
    </w:pPr>
  </w:p>
  <w:p w14:paraId="75007ADB" w14:textId="43BCE118" w:rsidR="000738F3" w:rsidRDefault="000738F3">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0738F3" w:rsidRDefault="000738F3">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0738F3" w:rsidRDefault="000738F3">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38F3"/>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526"/>
    <w:rsid w:val="00142C34"/>
    <w:rsid w:val="0015435C"/>
    <w:rsid w:val="00161B73"/>
    <w:rsid w:val="001654C6"/>
    <w:rsid w:val="0016747C"/>
    <w:rsid w:val="001721C0"/>
    <w:rsid w:val="00174B35"/>
    <w:rsid w:val="0017742C"/>
    <w:rsid w:val="0018336F"/>
    <w:rsid w:val="00186D10"/>
    <w:rsid w:val="001973CF"/>
    <w:rsid w:val="001A5DB9"/>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77962"/>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3A5D"/>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91E94"/>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1808"/>
    <w:rsid w:val="00673B02"/>
    <w:rsid w:val="0067612E"/>
    <w:rsid w:val="0068251C"/>
    <w:rsid w:val="00691DBC"/>
    <w:rsid w:val="00697A4C"/>
    <w:rsid w:val="006A2CFD"/>
    <w:rsid w:val="006A4F91"/>
    <w:rsid w:val="006B4BC2"/>
    <w:rsid w:val="006B745C"/>
    <w:rsid w:val="006C2779"/>
    <w:rsid w:val="006D7A94"/>
    <w:rsid w:val="006F1640"/>
    <w:rsid w:val="0070090D"/>
    <w:rsid w:val="007319DC"/>
    <w:rsid w:val="00734B04"/>
    <w:rsid w:val="00734C58"/>
    <w:rsid w:val="00736AFF"/>
    <w:rsid w:val="00750BDE"/>
    <w:rsid w:val="00751C62"/>
    <w:rsid w:val="007523E3"/>
    <w:rsid w:val="00752CA7"/>
    <w:rsid w:val="007613FE"/>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1740"/>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3D7B"/>
    <w:rsid w:val="00A41ADF"/>
    <w:rsid w:val="00A55987"/>
    <w:rsid w:val="00A56AC3"/>
    <w:rsid w:val="00A61A16"/>
    <w:rsid w:val="00A63CD1"/>
    <w:rsid w:val="00A63DDB"/>
    <w:rsid w:val="00A65265"/>
    <w:rsid w:val="00A6636C"/>
    <w:rsid w:val="00A73C80"/>
    <w:rsid w:val="00A856AB"/>
    <w:rsid w:val="00A92A49"/>
    <w:rsid w:val="00AA0B2F"/>
    <w:rsid w:val="00AA453B"/>
    <w:rsid w:val="00AB18F2"/>
    <w:rsid w:val="00AB2A35"/>
    <w:rsid w:val="00AB6384"/>
    <w:rsid w:val="00AB7373"/>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0215"/>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B9"/>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 w:type="paragraph" w:styleId="Revision">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874342594">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eader" Target="header2.xml"/><Relationship Id="rId47" Type="http://schemas.openxmlformats.org/officeDocument/2006/relationships/image" Target="media/image5.png"/><Relationship Id="rId63" Type="http://schemas.openxmlformats.org/officeDocument/2006/relationships/image" Target="media/image21.png"/><Relationship Id="rId68" Type="http://schemas.openxmlformats.org/officeDocument/2006/relationships/hyperlink" Target="http://deeplearningbook.com.br/funcao-de-ativacao/" TargetMode="External"/><Relationship Id="rId2" Type="http://schemas.openxmlformats.org/officeDocument/2006/relationships/numbering" Target="numbering.xml"/><Relationship Id="rId16" Type="http://schemas.openxmlformats.org/officeDocument/2006/relationships/hyperlink" Target="file:///D:\Documentos\TCC_padroes_e_formatos.doc" TargetMode="External"/><Relationship Id="rId29"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hyperlink" Target="http://breakthroughanalysis.com/2008/08/01/unstructured-data-and-the-80-percent-rul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https://github.com/altobellibm/CEDERJ_2019_ANTONIO_JUNIOR" TargetMode="Externa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towardsdatascience.com/understanding-learning-rates-and-how-it-improves-performance-in-deep-learning-d0d4059c1c10" TargetMode="Externa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hackernoon.com/everything-you-need-to-know-about-neural-networks-8988c3ee4491" TargetMode="Externa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hyperlink" Target="http://deeplearningbook.com.br/o-neuronio-biologico-e-matematico/" TargetMode="External"/><Relationship Id="rId20" Type="http://schemas.openxmlformats.org/officeDocument/2006/relationships/hyperlink" Target="file:///D:\Documentos\TCC_padroes_e_formatos.doc" TargetMode="External"/><Relationship Id="rId41" Type="http://schemas.openxmlformats.org/officeDocument/2006/relationships/header" Target="header1.xm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colab.research.google.com/notebooks/welcome.ipynb"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hyperlink" Target="file:///D:\Documentos\TCC_padroes_e_formatos.doc" TargetMode="External"/><Relationship Id="rId31" Type="http://schemas.openxmlformats.org/officeDocument/2006/relationships/hyperlink" Target="file:///D:\Documentos\TCC_padroes_e_formatos.doc" TargetMode="External"/><Relationship Id="rId44" Type="http://schemas.openxmlformats.org/officeDocument/2006/relationships/image" Target="media/image2.jpg"/><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hyperlink" Target="https://www.datamation.com/big-data/structured-vs-unstructured-data.html"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D:\Documentos\TCC_padroes_e_formatos.doc" TargetMode="Externa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739F-83A5-40B2-B987-FF950A82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51</Pages>
  <Words>8589</Words>
  <Characters>46386</Characters>
  <Application>Microsoft Office Word</Application>
  <DocSecurity>0</DocSecurity>
  <Lines>386</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224</cp:revision>
  <cp:lastPrinted>1999-07-09T08:15:00Z</cp:lastPrinted>
  <dcterms:created xsi:type="dcterms:W3CDTF">2019-09-12T03:48:00Z</dcterms:created>
  <dcterms:modified xsi:type="dcterms:W3CDTF">2019-12-07T02:23:00Z</dcterms:modified>
</cp:coreProperties>
</file>