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16747C">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16747C"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26C33CEB" w:rsidR="00697A4C" w:rsidRDefault="00697A4C" w:rsidP="00B301E5">
      <w:pPr>
        <w:pStyle w:val="Standard"/>
        <w:ind w:firstLine="0"/>
        <w:rPr>
          <w:b/>
          <w:bCs/>
        </w:rPr>
      </w:pPr>
      <w:r>
        <w:rPr>
          <w:b/>
          <w:bCs/>
        </w:rPr>
        <w:t>Figura 4: Representação de um Neurônio Artificial …………………………………19</w:t>
      </w:r>
    </w:p>
    <w:p w14:paraId="6FCA8A49" w14:textId="6A5E3B41" w:rsidR="00C54DCB" w:rsidRDefault="00C54DCB" w:rsidP="00C54DCB">
      <w:pPr>
        <w:pStyle w:val="Standard"/>
        <w:ind w:firstLine="0"/>
        <w:rPr>
          <w:b/>
          <w:bCs/>
        </w:rPr>
      </w:pPr>
      <w:r>
        <w:rPr>
          <w:b/>
          <w:bCs/>
        </w:rPr>
        <w:t xml:space="preserve">Figura </w:t>
      </w:r>
      <w:r>
        <w:rPr>
          <w:b/>
          <w:bCs/>
        </w:rPr>
        <w:t>5</w:t>
      </w:r>
      <w:r>
        <w:rPr>
          <w:b/>
          <w:bCs/>
        </w:rPr>
        <w:t xml:space="preserve">: </w:t>
      </w:r>
      <w:r w:rsidRPr="00C54DCB">
        <w:rPr>
          <w:b/>
          <w:bCs/>
        </w:rPr>
        <w:t>Exemplo de Função de Ativação Linear</w:t>
      </w:r>
      <w:r w:rsidRPr="00C54DCB">
        <w:rPr>
          <w:b/>
          <w:bCs/>
        </w:rPr>
        <w:t xml:space="preserve"> </w:t>
      </w:r>
      <w:r>
        <w:rPr>
          <w:b/>
          <w:bCs/>
        </w:rPr>
        <w:t>.</w:t>
      </w:r>
      <w:r>
        <w:rPr>
          <w:b/>
          <w:bCs/>
        </w:rPr>
        <w:t>…………………………………19</w:t>
      </w:r>
    </w:p>
    <w:p w14:paraId="50015B02" w14:textId="31D2561E" w:rsidR="00C54DCB" w:rsidRDefault="00C54DCB" w:rsidP="00C54DCB">
      <w:pPr>
        <w:pStyle w:val="Standard"/>
        <w:ind w:firstLine="0"/>
        <w:rPr>
          <w:b/>
          <w:bCs/>
        </w:rPr>
      </w:pPr>
      <w:r>
        <w:rPr>
          <w:b/>
          <w:bCs/>
        </w:rPr>
        <w:t xml:space="preserve">Figura </w:t>
      </w:r>
      <w:r>
        <w:rPr>
          <w:b/>
          <w:bCs/>
        </w:rPr>
        <w:t>6</w:t>
      </w:r>
      <w:r>
        <w:rPr>
          <w:b/>
          <w:bCs/>
        </w:rPr>
        <w:t xml:space="preserve">: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inear</w:t>
      </w:r>
      <w:r w:rsidRPr="00C54DCB">
        <w:rPr>
          <w:b/>
          <w:bCs/>
        </w:rPr>
        <w:t xml:space="preserve"> </w:t>
      </w:r>
      <w:r>
        <w:rPr>
          <w:b/>
          <w:bCs/>
        </w:rPr>
        <w:t>……….</w:t>
      </w:r>
      <w:r>
        <w:rPr>
          <w:b/>
          <w:bCs/>
        </w:rPr>
        <w:t>19</w:t>
      </w:r>
    </w:p>
    <w:p w14:paraId="5F0D3D82" w14:textId="47068673" w:rsidR="00C54DCB" w:rsidRDefault="00C54DCB" w:rsidP="00C54DCB">
      <w:pPr>
        <w:pStyle w:val="Standard"/>
        <w:ind w:firstLine="0"/>
        <w:rPr>
          <w:b/>
          <w:bCs/>
        </w:rPr>
      </w:pPr>
      <w:r>
        <w:rPr>
          <w:b/>
          <w:bCs/>
        </w:rPr>
        <w:t xml:space="preserve">Figura </w:t>
      </w:r>
      <w:r>
        <w:rPr>
          <w:b/>
          <w:bCs/>
        </w:rPr>
        <w:t>7</w:t>
      </w:r>
      <w:r>
        <w:rPr>
          <w:b/>
          <w:bCs/>
        </w:rPr>
        <w:t xml:space="preserve">: </w:t>
      </w:r>
      <w:r w:rsidRPr="00C54DCB">
        <w:rPr>
          <w:b/>
          <w:bCs/>
        </w:rPr>
        <w:t>Exemplo de valores iniciados em uma RNA</w:t>
      </w:r>
      <w:r>
        <w:rPr>
          <w:b/>
          <w:bCs/>
        </w:rPr>
        <w:t xml:space="preserve"> ………………………………19</w:t>
      </w:r>
    </w:p>
    <w:p w14:paraId="19FD7FA4" w14:textId="515448F7" w:rsidR="00C54DCB" w:rsidRDefault="00C54DCB" w:rsidP="00C54DCB">
      <w:pPr>
        <w:pStyle w:val="Standard"/>
        <w:ind w:firstLine="0"/>
        <w:rPr>
          <w:b/>
          <w:bCs/>
        </w:rPr>
      </w:pPr>
      <w:r>
        <w:rPr>
          <w:b/>
          <w:bCs/>
        </w:rPr>
        <w:t xml:space="preserve">Figura </w:t>
      </w:r>
      <w:r>
        <w:rPr>
          <w:b/>
          <w:bCs/>
        </w:rPr>
        <w:t>8</w:t>
      </w:r>
      <w:r>
        <w:rPr>
          <w:b/>
          <w:bCs/>
        </w:rPr>
        <w:t xml:space="preserve">: </w:t>
      </w:r>
      <w:r w:rsidRPr="00C54DCB">
        <w:rPr>
          <w:b/>
          <w:bCs/>
        </w:rPr>
        <w:t>Fórmula e representação da função Logística</w:t>
      </w:r>
      <w:r>
        <w:rPr>
          <w:b/>
          <w:bCs/>
        </w:rPr>
        <w:t xml:space="preserve"> …………………………..</w:t>
      </w:r>
      <w:r>
        <w:rPr>
          <w:b/>
          <w:bCs/>
        </w:rPr>
        <w:t>19</w:t>
      </w:r>
    </w:p>
    <w:p w14:paraId="2D168122" w14:textId="73EE7B6C" w:rsidR="00C54DCB" w:rsidRDefault="00C54DCB" w:rsidP="00C54DCB">
      <w:pPr>
        <w:pStyle w:val="Standard"/>
        <w:ind w:firstLine="0"/>
        <w:rPr>
          <w:b/>
          <w:bCs/>
        </w:rPr>
      </w:pPr>
      <w:r>
        <w:rPr>
          <w:b/>
          <w:bCs/>
        </w:rPr>
        <w:t xml:space="preserve">Figura </w:t>
      </w:r>
      <w:r>
        <w:rPr>
          <w:b/>
          <w:bCs/>
        </w:rPr>
        <w:t>9</w:t>
      </w:r>
      <w:r>
        <w:rPr>
          <w:b/>
          <w:bCs/>
        </w:rPr>
        <w:t xml:space="preserve">: </w:t>
      </w:r>
      <w:r w:rsidRPr="00C54DCB">
        <w:rPr>
          <w:b/>
          <w:bCs/>
        </w:rPr>
        <w:t>Ilustração da regra da cadeia no nó da camada de saída</w:t>
      </w:r>
      <w:r>
        <w:rPr>
          <w:b/>
          <w:bCs/>
        </w:rPr>
        <w:t xml:space="preserve"> ………………</w:t>
      </w:r>
      <w:bookmarkStart w:id="6" w:name="_GoBack"/>
      <w:bookmarkEnd w:id="6"/>
      <w:r>
        <w:rPr>
          <w:b/>
          <w:bCs/>
        </w:rPr>
        <w:t>19</w:t>
      </w:r>
    </w:p>
    <w:p w14:paraId="418615DB" w14:textId="77777777" w:rsidR="00C54DCB" w:rsidRDefault="00C54DCB" w:rsidP="00B301E5">
      <w:pPr>
        <w:pStyle w:val="Standard"/>
        <w:ind w:firstLine="0"/>
        <w:rPr>
          <w:b/>
          <w:bCs/>
        </w:rPr>
      </w:pP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7" w:name="CAPITULO1"/>
      <w:bookmarkStart w:id="8" w:name="__RefHeading___Toc378694365"/>
      <w:bookmarkEnd w:id="7"/>
      <w:r>
        <w:lastRenderedPageBreak/>
        <w:t>LISTA DE ABREVIATURAS E SIGLAS</w:t>
      </w:r>
      <w:bookmarkStart w:id="9" w:name="LISTADEABREVIATURASESIGLAS"/>
      <w:bookmarkEnd w:id="8"/>
      <w:bookmarkEnd w:id="9"/>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10"/>
      <w:r w:rsidRPr="00B301E5">
        <w:rPr>
          <w:b/>
          <w:bCs/>
          <w:sz w:val="32"/>
          <w:szCs w:val="32"/>
        </w:rPr>
        <w:lastRenderedPageBreak/>
        <w:t>2 – F</w:t>
      </w:r>
      <w:bookmarkStart w:id="11" w:name="__DdeLink__59_2213754733"/>
      <w:bookmarkEnd w:id="11"/>
      <w:r w:rsidRPr="00B301E5">
        <w:rPr>
          <w:b/>
          <w:bCs/>
          <w:sz w:val="32"/>
          <w:szCs w:val="32"/>
        </w:rPr>
        <w:t>UNDAMENTAÇÃO TEÓRICA</w:t>
      </w:r>
      <w:commentRangeEnd w:id="10"/>
      <w:r w:rsidR="00387838" w:rsidRPr="00B301E5">
        <w:rPr>
          <w:rStyle w:val="CommentReference"/>
          <w:rFonts w:ascii="Liberation Serif" w:eastAsia="NSimSun" w:hAnsi="Liberation Serif" w:cs="Mangal"/>
          <w:lang w:bidi="hi-IN"/>
        </w:rPr>
        <w:commentReference w:id="10"/>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2"/>
      <w:r w:rsidR="00387838">
        <w:rPr>
          <w:color w:val="000000"/>
          <w:szCs w:val="24"/>
        </w:rPr>
        <w:t>, brevemente,</w:t>
      </w:r>
      <w:r>
        <w:rPr>
          <w:color w:val="000000"/>
          <w:szCs w:val="24"/>
        </w:rPr>
        <w:t xml:space="preserve"> </w:t>
      </w:r>
      <w:commentRangeEnd w:id="12"/>
      <w:r w:rsidR="00387838">
        <w:rPr>
          <w:rStyle w:val="CommentReference"/>
          <w:rFonts w:ascii="Liberation Serif" w:eastAsia="NSimSun" w:hAnsi="Liberation Serif" w:cs="Mangal"/>
          <w:lang w:bidi="hi-IN"/>
        </w:rPr>
        <w:commentReference w:id="12"/>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3" w:name="_Hlk19141123"/>
      <w:r w:rsidRPr="00337ED9">
        <w:rPr>
          <w:b/>
          <w:bCs/>
          <w:color w:val="000000" w:themeColor="text1"/>
          <w:sz w:val="28"/>
          <w:szCs w:val="28"/>
        </w:rPr>
        <w:t xml:space="preserve">2.1 – </w:t>
      </w:r>
      <w:bookmarkEnd w:id="13"/>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4"/>
      <w:r>
        <w:rPr>
          <w:szCs w:val="24"/>
        </w:rPr>
        <w:t>ssuísse estados cognitivos”[1].</w:t>
      </w:r>
      <w:commentRangeEnd w:id="14"/>
      <w:r>
        <w:rPr>
          <w:rStyle w:val="CommentReference"/>
          <w:rFonts w:ascii="Liberation Serif" w:eastAsia="NSimSun" w:hAnsi="Liberation Serif" w:cs="Mangal"/>
          <w:lang w:bidi="hi-IN"/>
        </w:rPr>
        <w:commentReference w:id="14"/>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5"/>
      <w:r w:rsidR="00734B04">
        <w:rPr>
          <w:iCs/>
          <w:color w:val="000000"/>
          <w:szCs w:val="24"/>
        </w:rPr>
        <w:t>estruturados</w:t>
      </w:r>
      <w:commentRangeEnd w:id="15"/>
      <w:r w:rsidR="00387838">
        <w:rPr>
          <w:rStyle w:val="CommentReference"/>
          <w:rFonts w:ascii="Liberation Serif" w:eastAsia="NSimSun" w:hAnsi="Liberation Serif" w:cs="Mangal"/>
          <w:lang w:bidi="hi-IN"/>
        </w:rPr>
        <w:commentReference w:id="15"/>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6"/>
      <w:r w:rsidR="00734B04">
        <w:rPr>
          <w:iCs/>
          <w:color w:val="000000"/>
          <w:szCs w:val="24"/>
        </w:rPr>
        <w:t>não estruturados</w:t>
      </w:r>
      <w:commentRangeEnd w:id="16"/>
      <w:r w:rsidR="00AB6384">
        <w:rPr>
          <w:rStyle w:val="CommentReference"/>
          <w:rFonts w:ascii="Liberation Serif" w:eastAsia="NSimSun" w:hAnsi="Liberation Serif" w:cs="Mangal"/>
          <w:lang w:bidi="hi-IN"/>
        </w:rPr>
        <w:commentReference w:id="16"/>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7"/>
      <w:r w:rsidRPr="00337ED9">
        <w:rPr>
          <w:color w:val="000000" w:themeColor="text1"/>
          <w:szCs w:val="24"/>
        </w:rPr>
        <w:lastRenderedPageBreak/>
        <w:t>2.1.5 – MÉTODOS DE APRENDIZADO</w:t>
      </w:r>
      <w:commentRangeEnd w:id="17"/>
      <w:r>
        <w:rPr>
          <w:rStyle w:val="CommentReference"/>
          <w:rFonts w:ascii="Liberation Serif" w:eastAsia="NSimSun" w:hAnsi="Liberation Serif" w:cs="Mangal"/>
          <w:lang w:bidi="hi-IN"/>
        </w:rPr>
        <w:commentReference w:id="17"/>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18"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8"/>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19"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20" w:name="_Hlk22490041"/>
      <w:r>
        <w:rPr>
          <w:color w:val="000000" w:themeColor="text1"/>
          <w:szCs w:val="24"/>
        </w:rPr>
        <w:t>A</w:t>
      </w:r>
    </w:p>
    <w:bookmarkEnd w:id="1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2"/>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6008982C"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w:bookmarkStart w:id="23" w:name="_Hlk22497821"/>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bookmarkEnd w:id="2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B169CD0" w14:textId="77777777" w:rsidR="004104CC" w:rsidRDefault="004104CC" w:rsidP="002F33C9">
      <w:pPr>
        <w:pStyle w:val="Standard"/>
        <w:rPr>
          <w:color w:val="000000" w:themeColor="text1"/>
          <w:sz w:val="28"/>
          <w:szCs w:val="28"/>
        </w:rPr>
      </w:pPr>
    </w:p>
    <w:p w14:paraId="5808FAA3" w14:textId="77777777" w:rsidR="002F4CAB" w:rsidRPr="002F33C9" w:rsidRDefault="002F4CAB" w:rsidP="002F33C9">
      <w:pPr>
        <w:pStyle w:val="Standard"/>
        <w:rPr>
          <w:color w:val="000000" w:themeColor="text1"/>
          <w:sz w:val="28"/>
          <w:szCs w:val="28"/>
        </w:rPr>
      </w:pPr>
    </w:p>
    <w:p w14:paraId="7DE6ED41" w14:textId="77777777" w:rsidR="00E000A1" w:rsidRDefault="00CF2176" w:rsidP="00E000A1">
      <w:pPr>
        <w:pStyle w:val="Standard"/>
        <w:keepNext/>
        <w:jc w:val="center"/>
      </w:pPr>
      <w:r>
        <w:rPr>
          <w:noProof/>
          <w:color w:val="000000"/>
          <w:szCs w:val="24"/>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4" w:name="_Hlk23199343"/>
      <w:r>
        <w:t>Exemplo de Função de Ativação Linear</w:t>
      </w:r>
      <w:bookmarkEnd w:id="2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19564255" w14:textId="77777777" w:rsidR="00E000A1" w:rsidRDefault="00E000A1" w:rsidP="00CF2176">
      <w:pPr>
        <w:pStyle w:val="Standard"/>
        <w:rPr>
          <w:color w:val="000000"/>
          <w:szCs w:val="24"/>
        </w:rPr>
      </w:pPr>
    </w:p>
    <w:p w14:paraId="0ACDF4DA" w14:textId="77777777" w:rsidR="00E000A1" w:rsidRDefault="00E000A1" w:rsidP="00CF2176">
      <w:pPr>
        <w:pStyle w:val="Standard"/>
        <w:rPr>
          <w:color w:val="000000"/>
          <w:szCs w:val="24"/>
        </w:rPr>
      </w:pPr>
    </w:p>
    <w:p w14:paraId="5436CC39" w14:textId="4F995658" w:rsidR="008515E6" w:rsidRDefault="00CF2176" w:rsidP="008515E6">
      <w:pPr>
        <w:pStyle w:val="Standard"/>
        <w:keepNext/>
        <w:jc w:val="center"/>
      </w:pP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w:t>
      </w:r>
      <w:bookmarkStart w:id="25" w:name="_Hlk23199375"/>
      <w:r>
        <w:t>Exemplo de representação de Função de Ativação não linear</w:t>
      </w:r>
      <w:bookmarkEnd w:id="25"/>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Backpropagation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6"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7"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3C826FC4"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variados conectando neurônios de camdas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8" w:name="_Hlk23107651"/>
      <w:r>
        <w:rPr>
          <w:color w:val="000000" w:themeColor="text1"/>
          <w:szCs w:val="24"/>
        </w:rPr>
        <w:t xml:space="preserve">0.01 </w:t>
      </w:r>
      <w:bookmarkEnd w:id="28"/>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29" w:name="_Hlk23199416"/>
      <w:r>
        <w:t xml:space="preserve">Exemplo de valores iniciados </w:t>
      </w:r>
      <w:r w:rsidR="00B977A8">
        <w:t xml:space="preserve">em </w:t>
      </w:r>
      <w:r>
        <w:t>uma RNA</w:t>
      </w:r>
      <w:r w:rsidR="00B977A8">
        <w:t>.</w:t>
      </w:r>
      <w:bookmarkEnd w:id="29"/>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0" w:name="_Hlk22498393"/>
    <w:p w14:paraId="2F25F6D5" w14:textId="4C3109A3" w:rsidR="0078373B" w:rsidRPr="006A4F91" w:rsidRDefault="0016747C"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0"/>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6AA77DDB"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xml:space="preserve">, é não-linear e diferenciável. Ideal para casos de predição de probabilidade. </w:t>
      </w:r>
      <w:r w:rsidR="00B977A8">
        <w:rPr>
          <w:color w:val="000000" w:themeColor="text1"/>
          <w:szCs w:val="24"/>
        </w:rPr>
        <w:lastRenderedPageBreak/>
        <w:t>Sua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1" w:name="_Hlk23199489"/>
      <w:r>
        <w:t xml:space="preserve">Fórmula e representação da função </w:t>
      </w:r>
      <w:r w:rsidR="004C4B27">
        <w:t>Logística</w:t>
      </w:r>
      <w:r>
        <w:t>.</w:t>
      </w:r>
      <w:bookmarkEnd w:id="31"/>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2" w:name="_Hlk22988284"/>
        <m:r>
          <w:rPr>
            <w:rFonts w:ascii="Cambria Math" w:hAnsi="Cambria Math"/>
            <w:color w:val="000000" w:themeColor="text1"/>
          </w:rPr>
          <m:t>0.5932699</m:t>
        </m:r>
        <m:r>
          <w:rPr>
            <w:rFonts w:ascii="Cambria Math" w:hAnsi="Cambria Math"/>
            <w:color w:val="000000" w:themeColor="text1"/>
          </w:rPr>
          <m:t>9</m:t>
        </m:r>
        <m:r>
          <w:rPr>
            <w:rFonts w:ascii="Cambria Math" w:hAnsi="Cambria Math"/>
            <w:color w:val="000000" w:themeColor="text1"/>
          </w:rPr>
          <m:t>2</m:t>
        </m:r>
      </m:oMath>
      <w:bookmarkEnd w:id="32"/>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16747C"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m:t>
          </m:r>
          <m:r>
            <w:rPr>
              <w:rFonts w:ascii="Cambria Math" w:hAnsi="Cambria Math"/>
              <w:color w:val="000000" w:themeColor="text1"/>
              <w:szCs w:val="24"/>
            </w:rPr>
            <m:t>9</m:t>
          </m:r>
          <m:r>
            <w:rPr>
              <w:rFonts w:ascii="Cambria Math" w:hAnsi="Cambria Math"/>
              <w:color w:val="000000" w:themeColor="text1"/>
              <w:szCs w:val="24"/>
            </w:rPr>
            <m:t>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m:t>
          </m:r>
          <m:r>
            <w:rPr>
              <w:rFonts w:ascii="Cambria Math" w:hAnsi="Cambria Math"/>
              <w:color w:val="000000" w:themeColor="text1"/>
              <w:szCs w:val="24"/>
            </w:rPr>
            <m:t>9</m:t>
          </m:r>
          <m:r>
            <w:rPr>
              <w:rFonts w:ascii="Cambria Math" w:hAnsi="Cambria Math"/>
              <w:color w:val="000000" w:themeColor="text1"/>
              <w:szCs w:val="24"/>
            </w:rPr>
            <m:t>2+0.55*0.596884378+0.6*1=1.2249213679</m:t>
          </m:r>
        </m:oMath>
      </m:oMathPara>
    </w:p>
    <w:p w14:paraId="7B45EE80" w14:textId="4BDC769B" w:rsidR="0056489C" w:rsidRPr="00E85B57" w:rsidRDefault="0056489C" w:rsidP="00E85B57">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3"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3"/>
        <m:r>
          <w:rPr>
            <w:rFonts w:ascii="Cambria Math" w:hAnsi="Cambria Math"/>
            <w:color w:val="000000" w:themeColor="text1"/>
          </w:rPr>
          <m:t>=</m:t>
        </m:r>
        <w:bookmarkStart w:id="34" w:name="_Hlk23106207"/>
        <m:r>
          <w:rPr>
            <w:rFonts w:ascii="Cambria Math" w:hAnsi="Cambria Math"/>
            <w:color w:val="000000" w:themeColor="text1"/>
          </w:rPr>
          <m:t>0.75136507</m:t>
        </m:r>
      </m:oMath>
      <w:r w:rsidR="00E85B57">
        <w:rPr>
          <w:color w:val="000000" w:themeColor="text1"/>
        </w:rPr>
        <w:t xml:space="preserve"> </w:t>
      </w:r>
      <w:bookmarkEnd w:id="34"/>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5" w:name="_Hlk23107904"/>
        <m:r>
          <w:rPr>
            <w:rFonts w:ascii="Cambria Math" w:hAnsi="Cambria Math"/>
            <w:color w:val="000000" w:themeColor="text1"/>
          </w:rPr>
          <m:t>0.772928465</m:t>
        </m:r>
      </m:oMath>
      <w:bookmarkEnd w:id="35"/>
      <w:r w:rsidR="009179F2">
        <w:rPr>
          <w:color w:val="000000" w:themeColor="text1"/>
        </w:rPr>
        <w:t>.</w:t>
      </w:r>
    </w:p>
    <w:p w14:paraId="494732FD" w14:textId="77777777" w:rsidR="009D4F55" w:rsidRDefault="009D4F55" w:rsidP="00E85B57">
      <w:pPr>
        <w:ind w:firstLine="0"/>
        <w:rPr>
          <w:rFonts w:ascii="Arial" w:hAnsi="Arial"/>
          <w:color w:val="000000" w:themeColor="text1"/>
        </w:rPr>
      </w:pP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27"/>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6"/>
    <w:p w14:paraId="3AA7EA65" w14:textId="3CD1ABF8" w:rsidR="008A1C12" w:rsidRDefault="00285AE3" w:rsidP="008A1C12">
      <w:pPr>
        <w:pStyle w:val="ListParagraph"/>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6"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16747C" w:rsidP="008A1C12">
      <w:pPr>
        <w:pStyle w:val="ListParagraph"/>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7BF69E78" w14:textId="766C5829" w:rsidR="004265FA" w:rsidRDefault="004265FA" w:rsidP="008A1C12">
      <w:pPr>
        <w:pStyle w:val="ListParagraph"/>
        <w:ind w:left="0"/>
        <w:rPr>
          <w:color w:val="000000" w:themeColor="text1"/>
          <w:szCs w:val="24"/>
        </w:rPr>
      </w:pPr>
      <w:r>
        <w:rPr>
          <w:color w:val="000000" w:themeColor="text1"/>
          <w:szCs w:val="24"/>
        </w:rPr>
        <w:t>Ou seja, o erro total sendo igual a soma da metade do target (saída esperada) menos o output (saída encontrada) ao quadrado. A fração ½ que divide o resultado entre parenteses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7" w:name="_Hlk22991462"/>
    <w:p w14:paraId="3835BC74" w14:textId="59E022E8" w:rsidR="004265FA" w:rsidRDefault="0016747C"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8" w:name="_Hlk22991476"/>
    <w:p w14:paraId="3FE88FE7" w14:textId="34994E15" w:rsidR="00CB448E" w:rsidRPr="00CB448E" w:rsidRDefault="0016747C"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39" w:name="_Hlk23103017"/>
    <w:p w14:paraId="61D3577D" w14:textId="6DE976A5" w:rsidR="009A04E7" w:rsidRPr="009A04E7" w:rsidRDefault="0016747C"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39"/>
    <w:p w14:paraId="6D36D01C" w14:textId="656D70FE" w:rsidR="009A04E7" w:rsidRPr="009A04E7" w:rsidRDefault="0016747C"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602D2B72" w14:textId="77777777" w:rsidR="00CB448E" w:rsidRPr="004265FA" w:rsidRDefault="00CB448E" w:rsidP="004265FA">
      <w:pPr>
        <w:pStyle w:val="ListParagraph"/>
        <w:ind w:left="0"/>
        <w:rPr>
          <w:color w:val="000000" w:themeColor="text1"/>
          <w:sz w:val="28"/>
          <w:szCs w:val="28"/>
        </w:rPr>
      </w:pPr>
    </w:p>
    <w:p w14:paraId="1EFAAC3E" w14:textId="77777777" w:rsidR="00A060EC" w:rsidRDefault="00A060EC"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lastRenderedPageBreak/>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36"/>
      <w:r w:rsidR="00B350AC" w:rsidRPr="00074776">
        <w:rPr>
          <w:rFonts w:ascii="Arial" w:eastAsia="Times New Roman" w:hAnsi="Arial"/>
          <w:color w:val="000000" w:themeColor="text1"/>
          <w:lang w:bidi="ar-SA"/>
        </w:rPr>
        <w:t xml:space="preserve">– </w:t>
      </w:r>
      <w:bookmarkStart w:id="40" w:name="_Hlk23108062"/>
      <w:r w:rsidR="009A04E7">
        <w:rPr>
          <w:rFonts w:ascii="Arial" w:eastAsia="Times New Roman" w:hAnsi="Arial"/>
          <w:color w:val="000000" w:themeColor="text1"/>
          <w:lang w:bidi="ar-SA"/>
        </w:rPr>
        <w:t>O GRADIENTE E A APLICAÇÃO DA REGRA DA CADEIA</w:t>
      </w:r>
      <w:bookmarkEnd w:id="40"/>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46CB3AC8" w14:textId="77777777" w:rsidR="000C4779" w:rsidRDefault="000C4779" w:rsidP="000C4779">
      <w:pPr>
        <w:tabs>
          <w:tab w:val="left" w:pos="2227"/>
        </w:tabs>
        <w:jc w:val="left"/>
        <w:rPr>
          <w:rFonts w:ascii="Arial" w:eastAsia="Times New Roman" w:hAnsi="Arial"/>
          <w:color w:val="000000" w:themeColor="text1"/>
        </w:rPr>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m:rPr>
              <m:sty m:val="p"/>
            </m:rPr>
            <w:rPr>
              <w:rFonts w:ascii="Arial" w:eastAsia="Times New Roman" w:hAnsi="Arial"/>
              <w:color w:val="000000" w:themeColor="text1"/>
              <w:sz w:val="28"/>
              <w:szCs w:val="28"/>
            </w:rPr>
            <w:br/>
          </m:r>
        </m:oMath>
      </m:oMathPara>
    </w:p>
    <w:p w14:paraId="0AE3438B" w14:textId="6ED43182"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 xml:space="preserve">Podemos interpretar como a derivada parcial do erro total em relação a </w:t>
      </w:r>
      <w:bookmarkStart w:id="4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9">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2" w:name="_Hlk23199527"/>
      <w:r>
        <w:t xml:space="preserve">Ilustração </w:t>
      </w:r>
      <w:r w:rsidR="009001AB">
        <w:t>da regra da cadeia no</w:t>
      </w:r>
      <w:r>
        <w:t xml:space="preserve"> nó da camada de saída</w:t>
      </w:r>
      <w:r w:rsidR="009001AB">
        <w:t>.</w:t>
      </w:r>
      <w:bookmarkEnd w:id="42"/>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w:t>
      </w:r>
      <w:r w:rsidR="00C4775A">
        <w:rPr>
          <w:rFonts w:ascii="Arial" w:eastAsia="Times New Roman" w:hAnsi="Arial"/>
          <w:color w:val="000000" w:themeColor="text1"/>
        </w:rPr>
        <w:lastRenderedPageBreak/>
        <w:t xml:space="preserve">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3"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3"/>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16747C"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4" w:name="_Hlk23105894"/>
          <w:bookmarkStart w:id="45" w:name="_Hlk23111371"/>
          <m:f>
            <m:fPr>
              <m:ctrlPr>
                <w:rPr>
                  <w:rFonts w:ascii="Cambria Math" w:eastAsia="Times New Roman" w:hAnsi="Cambria Math"/>
                  <w:i/>
                  <w:color w:val="000000" w:themeColor="text1"/>
                  <w:sz w:val="28"/>
                  <w:szCs w:val="28"/>
                </w:rPr>
              </m:ctrlPr>
            </m:fPr>
            <m:num>
              <w:bookmarkStart w:id="46" w:name="_Hlk23105931"/>
              <m:r>
                <m:rPr>
                  <m:sty m:val="bi"/>
                </m:rPr>
                <w:rPr>
                  <w:rFonts w:ascii="Cambria Math" w:eastAsia="Times New Roman" w:hAnsi="Cambria Math"/>
                  <w:color w:val="000000" w:themeColor="text1"/>
                  <w:sz w:val="28"/>
                  <w:szCs w:val="28"/>
                </w:rPr>
                <m:t>∂Etotal</m:t>
              </m:r>
              <w:bookmarkEnd w:id="46"/>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4"/>
          <m:r>
            <w:rPr>
              <w:rFonts w:ascii="Cambria Math" w:eastAsia="Times New Roman" w:hAnsi="Cambria Math"/>
              <w:color w:val="000000" w:themeColor="text1"/>
              <w:sz w:val="28"/>
              <w:szCs w:val="28"/>
            </w:rPr>
            <m:t xml:space="preserve">* </m:t>
          </m:r>
          <w:bookmarkEnd w:id="45"/>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7"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8" w:name="_Hlk23107995"/>
        <w:bookmarkStart w:id="49"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8"/>
      <w:r w:rsidR="003A1614">
        <w:rPr>
          <w:color w:val="000000" w:themeColor="text1"/>
          <w:sz w:val="28"/>
          <w:szCs w:val="28"/>
        </w:rPr>
        <w:t xml:space="preserve">, </w:t>
      </w:r>
      <w:bookmarkEnd w:id="49"/>
      <w:r w:rsidR="003A1614" w:rsidRPr="009330E7">
        <w:rPr>
          <w:color w:val="000000" w:themeColor="text1"/>
          <w:szCs w:val="24"/>
        </w:rPr>
        <w:t>entretanto</w:t>
      </w:r>
      <w:r w:rsidR="003A1614">
        <w:rPr>
          <w:color w:val="000000" w:themeColor="text1"/>
          <w:szCs w:val="24"/>
        </w:rPr>
        <w:t xml:space="preserve">, como estamos calculando em relação a </w:t>
      </w:r>
      <w:bookmarkStart w:id="50" w:name="_Hlk23103150"/>
      <w:bookmarkStart w:id="51"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0"/>
      <w:r w:rsidR="003A1614">
        <w:t xml:space="preserve">, </w:t>
      </w:r>
      <w:bookmarkEnd w:id="51"/>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16747C"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xml:space="preserve">= </m:t>
          </m:r>
          <m:r>
            <w:rPr>
              <w:rFonts w:ascii="Cambria Math" w:hAnsi="Cambria Math"/>
              <w:color w:val="000000" w:themeColor="text1"/>
              <w:szCs w:val="24"/>
            </w:rPr>
            <m:t>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2" w:name="_Hlk23190014"/>
    </w:p>
    <w:bookmarkEnd w:id="52"/>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16747C"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53"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53"/>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16747C"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4"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5"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6"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6"/>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16747C"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3E73A7"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m:t>
          </m:r>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7D9CE631" w14:textId="39DFFE52" w:rsidR="00933216" w:rsidRDefault="00933216" w:rsidP="004000B1">
      <w:pPr>
        <w:rPr>
          <w:rFonts w:ascii="Arial" w:hAnsi="Arial"/>
          <w:color w:val="000000" w:themeColor="text1"/>
        </w:rPr>
      </w:pPr>
    </w:p>
    <w:p w14:paraId="612C6D26" w14:textId="00643116" w:rsidR="00933216" w:rsidRDefault="00933216" w:rsidP="004000B1">
      <w:pPr>
        <w:rPr>
          <w:rFonts w:ascii="Arial" w:hAnsi="Arial"/>
          <w:color w:val="000000" w:themeColor="text1"/>
        </w:rPr>
      </w:pPr>
    </w:p>
    <w:p w14:paraId="1EBBCA26" w14:textId="77777777" w:rsidR="00933216" w:rsidRDefault="00933216" w:rsidP="004000B1">
      <w:pPr>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2E90091D"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devemos subtrair do valor de do peso w5 oo valor encontrado. Adicionalmente, podemos multiplicar antes este valor por uma constante denominada taxa de aprendizado. Ela é opcional e serve pra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7" w:name="_Hlk23196837"/>
    </w:p>
    <w:p w14:paraId="7DC4D36B" w14:textId="46318889" w:rsidR="00357CC2" w:rsidRPr="00357CC2" w:rsidRDefault="00357CC2"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7"/>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357CC2"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357CC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511301270</m:t>
          </m:r>
        </m:oMath>
      </m:oMathPara>
    </w:p>
    <w:p w14:paraId="422D9921" w14:textId="39F0A35F" w:rsidR="00357CC2" w:rsidRPr="00357CC2" w:rsidRDefault="00357CC2"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xml:space="preserve">, toda vez que um dos pesos cujo ajuste já tenha sido feito </w:t>
      </w:r>
      <w:r w:rsidR="00946301">
        <w:rPr>
          <w:rFonts w:ascii="Arial" w:hAnsi="Arial"/>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w:t>
      </w:r>
      <w:r w:rsidR="00CE7B4D">
        <w:rPr>
          <w:rFonts w:ascii="Arial" w:hAnsi="Arial"/>
          <w:color w:val="000000" w:themeColor="text1"/>
        </w:rPr>
        <w:t xml:space="preserve"> o processo é similar, entretanto, leva-se em conta que a saida dos pesos</w:t>
      </w:r>
      <w:r w:rsidR="00CE7B4D">
        <w:rPr>
          <w:rFonts w:ascii="Arial" w:hAnsi="Arial"/>
          <w:color w:val="000000" w:themeColor="text1"/>
        </w:rPr>
        <w:t xml:space="preserve"> </w:t>
      </w:r>
      <w:r w:rsidR="00CE7B4D">
        <w:rPr>
          <w:rFonts w:ascii="Arial" w:hAnsi="Arial"/>
          <w:color w:val="000000" w:themeColor="text1"/>
        </w:rPr>
        <w:t>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777777" w:rsidR="00417FCC" w:rsidRDefault="00417FCC" w:rsidP="00933216">
      <w:pPr>
        <w:rPr>
          <w:rFonts w:ascii="Arial" w:hAnsi="Arial"/>
          <w:color w:val="000000" w:themeColor="text1"/>
        </w:rPr>
      </w:pPr>
      <w:r>
        <w:rPr>
          <w:rFonts w:ascii="Arial" w:hAnsi="Arial"/>
          <w:color w:val="000000" w:themeColor="text1"/>
        </w:rPr>
        <w:lastRenderedPageBreak/>
        <w:t>Após a repetição do processo com a devida resalva para os pesos em questão, os resultados obtidos serão:</w:t>
      </w:r>
    </w:p>
    <w:p w14:paraId="3DB8FA5B" w14:textId="49FA5834" w:rsidR="00417FCC" w:rsidRPr="00357CC2" w:rsidRDefault="00417FC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149780716</m:t>
          </m:r>
        </m:oMath>
      </m:oMathPara>
    </w:p>
    <w:p w14:paraId="7C694B39" w14:textId="1A8EBF27" w:rsidR="00417FCC" w:rsidRPr="00357CC2" w:rsidRDefault="00417FC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19956143</m:t>
          </m:r>
        </m:oMath>
      </m:oMathPara>
    </w:p>
    <w:p w14:paraId="6E77C590" w14:textId="60B9E940" w:rsidR="00417FCC" w:rsidRPr="00417FCC" w:rsidRDefault="00417FC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24975114</m:t>
          </m:r>
        </m:oMath>
      </m:oMathPara>
    </w:p>
    <w:p w14:paraId="399D7D0F" w14:textId="43D68E42" w:rsidR="00417FCC" w:rsidRPr="00357CC2" w:rsidRDefault="00417FC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m:t>
          </m:r>
          <m:r>
            <w:rPr>
              <w:rFonts w:ascii="Cambria Math" w:hAnsi="Cambria Math"/>
              <w:color w:val="000000" w:themeColor="text1"/>
              <w:sz w:val="28"/>
              <w:szCs w:val="28"/>
            </w:rPr>
            <m:t>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049BB619" w:rsidR="00946301" w:rsidRPr="00357CC2" w:rsidRDefault="00CE7B4D" w:rsidP="00933216">
      <w:pPr>
        <w:rPr>
          <w:rFonts w:ascii="Arial" w:hAnsi="Arial"/>
          <w:color w:val="000000" w:themeColor="text1"/>
        </w:rPr>
      </w:pPr>
      <w:r>
        <w:rPr>
          <w:rFonts w:ascii="Arial" w:hAnsi="Arial"/>
          <w:color w:val="000000" w:themeColor="text1"/>
        </w:rPr>
        <w:t xml:space="preserve">  </w:t>
      </w:r>
    </w:p>
    <w:p w14:paraId="381F562E" w14:textId="633A218C" w:rsidR="00933216" w:rsidRDefault="00933216" w:rsidP="00933216">
      <w:pPr>
        <w:rPr>
          <w:rFonts w:ascii="Arial" w:hAnsi="Arial"/>
          <w:color w:val="000000" w:themeColor="text1"/>
        </w:rPr>
      </w:pPr>
    </w:p>
    <w:p w14:paraId="150039D9" w14:textId="44B805CF" w:rsidR="00933216" w:rsidRDefault="00933216" w:rsidP="00933216">
      <w:pPr>
        <w:rPr>
          <w:rFonts w:ascii="Arial" w:hAnsi="Arial"/>
          <w:color w:val="000000" w:themeColor="text1"/>
        </w:rPr>
      </w:pPr>
    </w:p>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6BA29337" w14:textId="0737DC44" w:rsidR="00F17292" w:rsidRDefault="004000B1" w:rsidP="004000B1">
      <w:pPr>
        <w:rPr>
          <w:rFonts w:ascii="Arial" w:hAnsi="Arial"/>
          <w:color w:val="000000" w:themeColor="text1"/>
        </w:rPr>
      </w:pPr>
      <w:r>
        <w:rPr>
          <w:rFonts w:ascii="Arial" w:hAnsi="Arial"/>
          <w:color w:val="000000" w:themeColor="text1"/>
        </w:rPr>
        <w:t xml:space="preserve"> </w:t>
      </w:r>
    </w:p>
    <w:p w14:paraId="1FF0BFB4" w14:textId="77777777" w:rsidR="00CC56BC" w:rsidRPr="00CC56BC" w:rsidRDefault="00CC56BC" w:rsidP="00CF2176">
      <w:pPr>
        <w:pStyle w:val="ListParagraph"/>
        <w:ind w:left="0"/>
        <w:rPr>
          <w:b/>
          <w:bCs/>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6FAAFCEF" w14:textId="5FEAB103" w:rsidR="00CF2176" w:rsidRDefault="00CF2176" w:rsidP="00CF2176">
      <w:pPr>
        <w:pStyle w:val="ListParagraph"/>
        <w:ind w:left="0"/>
        <w:jc w:val="center"/>
        <w:rPr>
          <w:b/>
          <w:sz w:val="28"/>
          <w:szCs w:val="28"/>
        </w:rPr>
      </w:pPr>
      <w:r w:rsidRPr="00C81EED">
        <w:rPr>
          <w:b/>
          <w:sz w:val="28"/>
          <w:szCs w:val="28"/>
        </w:rPr>
        <w:t>REFERÊNCIAS</w:t>
      </w:r>
      <w:bookmarkEnd w:id="47"/>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20"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21"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22"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58"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58"/>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3"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03301220" w:rsidR="003D7621" w:rsidRP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Acessado em 28/10/2019</w:t>
      </w:r>
      <w:r>
        <w:rPr>
          <w:rFonts w:ascii="Times New Roman" w:eastAsia="Arial" w:hAnsi="Times New Roman" w:cs="Times New Roman"/>
          <w:szCs w:val="24"/>
        </w:rPr>
        <w:t xml:space="preserve">.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24"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33A1E02A" w14:textId="77777777" w:rsidR="00CF2176" w:rsidRPr="003D7621" w:rsidRDefault="00CF2176" w:rsidP="00CF2176">
      <w:pPr>
        <w:pStyle w:val="Standard"/>
      </w:pPr>
    </w:p>
    <w:p w14:paraId="6421797B" w14:textId="77777777" w:rsidR="00CF2176" w:rsidRPr="003D7621" w:rsidRDefault="00CF2176" w:rsidP="00CF2176">
      <w:pPr>
        <w:pStyle w:val="Standard"/>
      </w:pPr>
    </w:p>
    <w:p w14:paraId="733E55CC" w14:textId="77777777" w:rsidR="00CF2176" w:rsidRPr="003D7621" w:rsidRDefault="00CF2176" w:rsidP="00CF2176">
      <w:pPr>
        <w:pStyle w:val="Standard"/>
      </w:pPr>
    </w:p>
    <w:p w14:paraId="396E6573" w14:textId="77777777" w:rsidR="00CF2176" w:rsidRPr="003D7621" w:rsidRDefault="00CF2176" w:rsidP="00CF2176">
      <w:pPr>
        <w:pStyle w:val="Standard"/>
      </w:pPr>
    </w:p>
    <w:p w14:paraId="5B36CDCF" w14:textId="77777777" w:rsidR="00CF2176" w:rsidRPr="003D7621" w:rsidRDefault="00CF2176" w:rsidP="00CF2176">
      <w:pPr>
        <w:pStyle w:val="Standard"/>
      </w:pPr>
    </w:p>
    <w:p w14:paraId="608260A7" w14:textId="77777777" w:rsidR="00CF2176" w:rsidRPr="003D7621" w:rsidRDefault="00CF2176" w:rsidP="00CF2176">
      <w:pPr>
        <w:pStyle w:val="Standard"/>
      </w:pPr>
    </w:p>
    <w:p w14:paraId="04C2DA70" w14:textId="77777777" w:rsidR="00CF2176" w:rsidRPr="003D7621" w:rsidRDefault="00CF2176" w:rsidP="00CF2176">
      <w:pPr>
        <w:pStyle w:val="Standard"/>
      </w:pPr>
    </w:p>
    <w:p w14:paraId="4242A027" w14:textId="77777777" w:rsidR="00CF2176" w:rsidRPr="003D7621" w:rsidRDefault="00CF2176" w:rsidP="00CF2176">
      <w:pPr>
        <w:pStyle w:val="Standard"/>
      </w:pPr>
    </w:p>
    <w:p w14:paraId="1106CB1E" w14:textId="77777777" w:rsidR="00CF2176" w:rsidRPr="003D7621" w:rsidRDefault="00CF2176" w:rsidP="00CF2176">
      <w:pPr>
        <w:pStyle w:val="Standard"/>
      </w:pPr>
    </w:p>
    <w:p w14:paraId="4CAAF44C" w14:textId="77777777" w:rsidR="00CF2176" w:rsidRPr="003D7621" w:rsidRDefault="00CF2176" w:rsidP="00CF2176">
      <w:pPr>
        <w:pStyle w:val="Standard"/>
      </w:pPr>
    </w:p>
    <w:p w14:paraId="556ADC81" w14:textId="77777777" w:rsidR="00CF2176" w:rsidRPr="003D7621" w:rsidRDefault="00CF2176" w:rsidP="00CF2176">
      <w:pPr>
        <w:pStyle w:val="Standard"/>
      </w:pPr>
    </w:p>
    <w:p w14:paraId="7F9A12FB" w14:textId="77777777" w:rsidR="00CF2176" w:rsidRPr="003D7621" w:rsidRDefault="00CF2176" w:rsidP="00CF2176">
      <w:pPr>
        <w:pStyle w:val="Standard"/>
      </w:pPr>
    </w:p>
    <w:p w14:paraId="54D72A62" w14:textId="77777777" w:rsidR="00CF2176" w:rsidRPr="003D7621" w:rsidRDefault="00CF2176" w:rsidP="00CF2176">
      <w:pPr>
        <w:pStyle w:val="Standard"/>
      </w:pPr>
    </w:p>
    <w:p w14:paraId="5D81CD89" w14:textId="77777777" w:rsidR="00CF2176" w:rsidRPr="003D7621" w:rsidRDefault="00CF2176" w:rsidP="00CF2176">
      <w:pPr>
        <w:pStyle w:val="Standard"/>
      </w:pPr>
    </w:p>
    <w:p w14:paraId="57B6FC1A" w14:textId="77777777" w:rsidR="00CF2176" w:rsidRPr="003D7621" w:rsidRDefault="00CF2176" w:rsidP="00CF2176">
      <w:pPr>
        <w:pStyle w:val="Standard"/>
      </w:pPr>
    </w:p>
    <w:p w14:paraId="21F24A8A" w14:textId="77777777" w:rsidR="00CF2176" w:rsidRPr="003D7621" w:rsidRDefault="00CF2176" w:rsidP="00CF2176">
      <w:pPr>
        <w:pStyle w:val="Standard"/>
      </w:pPr>
    </w:p>
    <w:p w14:paraId="6722427C" w14:textId="77777777" w:rsidR="00CF2176" w:rsidRPr="003D7621" w:rsidRDefault="00CF2176" w:rsidP="00CF2176">
      <w:pPr>
        <w:pStyle w:val="Standard"/>
      </w:pPr>
    </w:p>
    <w:p w14:paraId="285D6B49" w14:textId="77777777" w:rsidR="00CF2176" w:rsidRPr="003D7621" w:rsidRDefault="00CF2176" w:rsidP="00CF2176">
      <w:pPr>
        <w:pStyle w:val="Standard"/>
      </w:pPr>
    </w:p>
    <w:p w14:paraId="22E99A00" w14:textId="77777777" w:rsidR="00CF2176" w:rsidRPr="003D7621" w:rsidRDefault="00CF2176" w:rsidP="00CF2176">
      <w:pPr>
        <w:pStyle w:val="Standard"/>
      </w:pPr>
    </w:p>
    <w:p w14:paraId="76C5BA9A" w14:textId="77777777" w:rsidR="00CF2176" w:rsidRPr="003D7621" w:rsidRDefault="00CF2176" w:rsidP="00CF2176">
      <w:pPr>
        <w:pStyle w:val="Standard"/>
      </w:pPr>
    </w:p>
    <w:p w14:paraId="1A94A686" w14:textId="77777777" w:rsidR="00CF2176" w:rsidRPr="003D7621" w:rsidRDefault="00CF2176" w:rsidP="00CF2176">
      <w:pPr>
        <w:pStyle w:val="Standard"/>
      </w:pPr>
    </w:p>
    <w:p w14:paraId="53C530D4" w14:textId="77777777" w:rsidR="00CF2176" w:rsidRPr="003D7621" w:rsidRDefault="00CF2176" w:rsidP="00CF2176">
      <w:pPr>
        <w:pStyle w:val="Standard"/>
        <w:ind w:firstLine="0"/>
      </w:pPr>
      <w:bookmarkStart w:id="59" w:name="ANEXOS"/>
      <w:bookmarkEnd w:id="59"/>
    </w:p>
    <w:p w14:paraId="4EEF202A" w14:textId="77777777" w:rsidR="00CF2176" w:rsidRPr="00300DBD" w:rsidRDefault="00CF2176" w:rsidP="00CF2176">
      <w:pPr>
        <w:pStyle w:val="Standard"/>
        <w:pageBreakBefore/>
        <w:outlineLvl w:val="1"/>
        <w:rPr>
          <w:b/>
          <w:bCs/>
          <w:sz w:val="28"/>
          <w:szCs w:val="28"/>
        </w:rPr>
      </w:pPr>
      <w:bookmarkStart w:id="60" w:name="_Hlk20954992"/>
      <w:r w:rsidRPr="00300DBD">
        <w:rPr>
          <w:b/>
          <w:bCs/>
          <w:sz w:val="28"/>
          <w:szCs w:val="28"/>
        </w:rPr>
        <w:lastRenderedPageBreak/>
        <w:t xml:space="preserve">APÊNDICE A – ANALOGIA PARA COMPREENSÃO DO PROBLEMA DO BIG DATA  </w:t>
      </w:r>
    </w:p>
    <w:bookmarkEnd w:id="60"/>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6"/>
      <w:headerReference w:type="first" r:id="rId27"/>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ltobelli" w:date="2019-09-24T20:43:00Z" w:initials="a">
    <w:p w14:paraId="48B04D0C" w14:textId="77777777" w:rsidR="0016747C" w:rsidRDefault="0016747C">
      <w:pPr>
        <w:pStyle w:val="CommentText"/>
      </w:pPr>
      <w:r>
        <w:rPr>
          <w:rStyle w:val="CommentReference"/>
        </w:rPr>
        <w:annotationRef/>
      </w:r>
      <w:r>
        <w:t>Cor preta</w:t>
      </w:r>
    </w:p>
    <w:p w14:paraId="4D5F0A8B" w14:textId="07960E0E" w:rsidR="0016747C" w:rsidRDefault="0016747C" w:rsidP="00387838">
      <w:pPr>
        <w:pStyle w:val="CommentText"/>
        <w:ind w:firstLine="0"/>
      </w:pPr>
      <w:r>
        <w:t>Aonde tiver cor verde trocar por preto. Não vou falar mais sobre isso. Reveja todo o texto.</w:t>
      </w:r>
    </w:p>
  </w:comment>
  <w:comment w:id="12" w:author="altobelli" w:date="2019-09-24T20:43:00Z" w:initials="a">
    <w:p w14:paraId="2E889649" w14:textId="3C42133C" w:rsidR="0016747C" w:rsidRDefault="0016747C">
      <w:pPr>
        <w:pStyle w:val="CommentText"/>
      </w:pPr>
      <w:r>
        <w:rPr>
          <w:rStyle w:val="CommentReference"/>
        </w:rPr>
        <w:annotationRef/>
      </w:r>
      <w:r>
        <w:t>Coloquei isso para deixar explícito que não iremos nos aprofundar na história em si.</w:t>
      </w:r>
    </w:p>
  </w:comment>
  <w:comment w:id="14" w:author="Antonio Carlos" w:date="2019-09-24T23:05:00Z" w:initials="AC">
    <w:p w14:paraId="539BB98E" w14:textId="77777777" w:rsidR="0016747C" w:rsidRDefault="0016747C">
      <w:pPr>
        <w:pStyle w:val="CommentText"/>
      </w:pPr>
      <w:r>
        <w:rPr>
          <w:rStyle w:val="CommentReference"/>
        </w:rPr>
        <w:annotationRef/>
      </w:r>
      <w:r>
        <w:t>Coloquei uma aqui.</w:t>
      </w:r>
    </w:p>
    <w:p w14:paraId="4F5EF20C" w14:textId="5A719CDD" w:rsidR="0016747C" w:rsidRDefault="0016747C">
      <w:pPr>
        <w:pStyle w:val="CommentText"/>
      </w:pPr>
    </w:p>
  </w:comment>
  <w:comment w:id="15" w:author="altobelli" w:date="2019-09-24T20:51:00Z" w:initials="a">
    <w:p w14:paraId="530FFE50" w14:textId="750027D3" w:rsidR="0016747C" w:rsidRDefault="0016747C">
      <w:pPr>
        <w:pStyle w:val="CommentText"/>
      </w:pPr>
      <w:r>
        <w:rPr>
          <w:rStyle w:val="CommentReference"/>
        </w:rPr>
        <w:annotationRef/>
      </w:r>
      <w:r>
        <w:t>referência. Site ou artigo ou livro</w:t>
      </w:r>
    </w:p>
  </w:comment>
  <w:comment w:id="16" w:author="altobelli" w:date="2019-09-24T20:52:00Z" w:initials="a">
    <w:p w14:paraId="7E6CDAB0" w14:textId="1F01E154" w:rsidR="0016747C" w:rsidRDefault="0016747C">
      <w:pPr>
        <w:pStyle w:val="CommentText"/>
      </w:pPr>
      <w:r>
        <w:rPr>
          <w:rStyle w:val="CommentReference"/>
        </w:rPr>
        <w:annotationRef/>
      </w:r>
      <w:r>
        <w:t>referência artigo livro ou site</w:t>
      </w:r>
    </w:p>
  </w:comment>
  <w:comment w:id="17" w:author="Antonio Carlos" w:date="2019-09-24T23:07:00Z" w:initials="AC">
    <w:p w14:paraId="32348559" w14:textId="77777777" w:rsidR="0016747C" w:rsidRDefault="0016747C"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16747C" w:rsidRDefault="0016747C"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49282" w14:textId="77777777" w:rsidR="000A1196" w:rsidRDefault="000A1196">
      <w:r>
        <w:separator/>
      </w:r>
    </w:p>
  </w:endnote>
  <w:endnote w:type="continuationSeparator" w:id="0">
    <w:p w14:paraId="7876AAE0" w14:textId="77777777" w:rsidR="000A1196" w:rsidRDefault="000A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916B" w14:textId="77777777" w:rsidR="000A1196" w:rsidRDefault="000A1196">
      <w:r>
        <w:rPr>
          <w:color w:val="000000"/>
        </w:rPr>
        <w:separator/>
      </w:r>
    </w:p>
  </w:footnote>
  <w:footnote w:type="continuationSeparator" w:id="0">
    <w:p w14:paraId="4B8C110E" w14:textId="77777777" w:rsidR="000A1196" w:rsidRDefault="000A1196">
      <w:r>
        <w:continuationSeparator/>
      </w:r>
    </w:p>
  </w:footnote>
  <w:footnote w:id="1">
    <w:p w14:paraId="6D01198A" w14:textId="77777777" w:rsidR="0016747C" w:rsidRPr="002C5E59" w:rsidRDefault="0016747C"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2F9C5B3E" w:rsidR="0016747C" w:rsidRDefault="0016747C">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16747C" w:rsidRDefault="0016747C">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16747C" w:rsidRDefault="0016747C">
      <w:pPr>
        <w:pStyle w:val="FootnoteText"/>
      </w:pPr>
      <w:r>
        <w:rPr>
          <w:rStyle w:val="FootnoteReference"/>
        </w:rPr>
        <w:footnoteRef/>
      </w:r>
      <w:r>
        <w:t xml:space="preserve"> </w:t>
      </w:r>
      <w:r w:rsidR="0067612E">
        <w:t xml:space="preserve">Fórmula desenvolvida por </w:t>
      </w:r>
      <w:r w:rsidR="0067612E" w:rsidRPr="0067612E">
        <w:t>Gottfried Leibniz</w:t>
      </w:r>
      <w:r w:rsidR="0067612E">
        <w:t xml:space="preserve"> para a derivada de uma função composta de duas funções.</w:t>
      </w:r>
    </w:p>
  </w:footnote>
  <w:footnote w:id="5">
    <w:p w14:paraId="34834DD8" w14:textId="79560D45" w:rsidR="0016747C" w:rsidRDefault="0016747C">
      <w:pPr>
        <w:pStyle w:val="FootnoteText"/>
      </w:pPr>
      <w:r>
        <w:rPr>
          <w:rStyle w:val="FootnoteReference"/>
        </w:rPr>
        <w:footnoteRef/>
      </w:r>
      <w:r>
        <w:t xml:space="preserve"> </w:t>
      </w:r>
      <w:r w:rsidR="0067612E">
        <w:t>Um exemplo de distribuição de probabilidade contínua.</w:t>
      </w:r>
      <w:r w:rsidR="00917469">
        <w:t xml:space="preserve">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16747C" w:rsidRDefault="001674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16747C" w:rsidRDefault="0016747C">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16747C" w:rsidRDefault="001674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16747C" w:rsidRDefault="0016747C">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5C05"/>
    <w:rsid w:val="00050B3E"/>
    <w:rsid w:val="00074776"/>
    <w:rsid w:val="00081368"/>
    <w:rsid w:val="00081FF3"/>
    <w:rsid w:val="000873F9"/>
    <w:rsid w:val="000A1196"/>
    <w:rsid w:val="000C4779"/>
    <w:rsid w:val="000D513F"/>
    <w:rsid w:val="000E01DC"/>
    <w:rsid w:val="000E1612"/>
    <w:rsid w:val="000F3DEE"/>
    <w:rsid w:val="0010114C"/>
    <w:rsid w:val="00142C34"/>
    <w:rsid w:val="0016747C"/>
    <w:rsid w:val="001721C0"/>
    <w:rsid w:val="00174B35"/>
    <w:rsid w:val="0017742C"/>
    <w:rsid w:val="00186D10"/>
    <w:rsid w:val="001973CF"/>
    <w:rsid w:val="001B3FCE"/>
    <w:rsid w:val="001D246C"/>
    <w:rsid w:val="001E6E62"/>
    <w:rsid w:val="001E7727"/>
    <w:rsid w:val="00203190"/>
    <w:rsid w:val="00205D80"/>
    <w:rsid w:val="00212EEC"/>
    <w:rsid w:val="002173E0"/>
    <w:rsid w:val="00267A44"/>
    <w:rsid w:val="00267ACA"/>
    <w:rsid w:val="00281C10"/>
    <w:rsid w:val="002836FC"/>
    <w:rsid w:val="00285AE3"/>
    <w:rsid w:val="00291569"/>
    <w:rsid w:val="002D02B2"/>
    <w:rsid w:val="002D3B5E"/>
    <w:rsid w:val="002F03A2"/>
    <w:rsid w:val="002F33C9"/>
    <w:rsid w:val="002F4CAB"/>
    <w:rsid w:val="00315F5C"/>
    <w:rsid w:val="0031623E"/>
    <w:rsid w:val="00344ED8"/>
    <w:rsid w:val="00357CC2"/>
    <w:rsid w:val="00370FD5"/>
    <w:rsid w:val="00374A32"/>
    <w:rsid w:val="00387838"/>
    <w:rsid w:val="003902C0"/>
    <w:rsid w:val="003A0CC2"/>
    <w:rsid w:val="003A1614"/>
    <w:rsid w:val="003A2918"/>
    <w:rsid w:val="003C27A0"/>
    <w:rsid w:val="003D351A"/>
    <w:rsid w:val="003D7621"/>
    <w:rsid w:val="003E6640"/>
    <w:rsid w:val="003E73A7"/>
    <w:rsid w:val="004000B1"/>
    <w:rsid w:val="004104CC"/>
    <w:rsid w:val="004122D0"/>
    <w:rsid w:val="00415885"/>
    <w:rsid w:val="0041736D"/>
    <w:rsid w:val="00417FCC"/>
    <w:rsid w:val="004265FA"/>
    <w:rsid w:val="0043106B"/>
    <w:rsid w:val="004775A7"/>
    <w:rsid w:val="00477986"/>
    <w:rsid w:val="004B1384"/>
    <w:rsid w:val="004C1E4E"/>
    <w:rsid w:val="004C4B27"/>
    <w:rsid w:val="004C51A4"/>
    <w:rsid w:val="0051536B"/>
    <w:rsid w:val="0056489C"/>
    <w:rsid w:val="0056787C"/>
    <w:rsid w:val="005C3618"/>
    <w:rsid w:val="00607BAC"/>
    <w:rsid w:val="0064595B"/>
    <w:rsid w:val="00666EAD"/>
    <w:rsid w:val="00673B02"/>
    <w:rsid w:val="0067612E"/>
    <w:rsid w:val="00697A4C"/>
    <w:rsid w:val="006A2CFD"/>
    <w:rsid w:val="006A4F91"/>
    <w:rsid w:val="006B4BC2"/>
    <w:rsid w:val="006B745C"/>
    <w:rsid w:val="006C2779"/>
    <w:rsid w:val="006D7A94"/>
    <w:rsid w:val="0070090D"/>
    <w:rsid w:val="00734B04"/>
    <w:rsid w:val="00734C58"/>
    <w:rsid w:val="00751C62"/>
    <w:rsid w:val="00752CA7"/>
    <w:rsid w:val="00762E3C"/>
    <w:rsid w:val="0078373B"/>
    <w:rsid w:val="0079338A"/>
    <w:rsid w:val="007948F0"/>
    <w:rsid w:val="007F5726"/>
    <w:rsid w:val="00826E12"/>
    <w:rsid w:val="008439D7"/>
    <w:rsid w:val="008515E6"/>
    <w:rsid w:val="00863514"/>
    <w:rsid w:val="00870DDD"/>
    <w:rsid w:val="008808AA"/>
    <w:rsid w:val="00895176"/>
    <w:rsid w:val="008A1C12"/>
    <w:rsid w:val="008D675A"/>
    <w:rsid w:val="008E0ACD"/>
    <w:rsid w:val="008E6D4E"/>
    <w:rsid w:val="009001AB"/>
    <w:rsid w:val="00917469"/>
    <w:rsid w:val="009179F2"/>
    <w:rsid w:val="009330E7"/>
    <w:rsid w:val="00933216"/>
    <w:rsid w:val="0093427B"/>
    <w:rsid w:val="00946301"/>
    <w:rsid w:val="00954AB9"/>
    <w:rsid w:val="009A04E7"/>
    <w:rsid w:val="009D4F55"/>
    <w:rsid w:val="00A060EC"/>
    <w:rsid w:val="00A27138"/>
    <w:rsid w:val="00A41ADF"/>
    <w:rsid w:val="00A55987"/>
    <w:rsid w:val="00A61A16"/>
    <w:rsid w:val="00AB2A35"/>
    <w:rsid w:val="00AB6384"/>
    <w:rsid w:val="00AC312E"/>
    <w:rsid w:val="00AC3B61"/>
    <w:rsid w:val="00AD0246"/>
    <w:rsid w:val="00B21EBB"/>
    <w:rsid w:val="00B301E5"/>
    <w:rsid w:val="00B350AC"/>
    <w:rsid w:val="00B95EBB"/>
    <w:rsid w:val="00B977A8"/>
    <w:rsid w:val="00BB7301"/>
    <w:rsid w:val="00BC1930"/>
    <w:rsid w:val="00BC5E1D"/>
    <w:rsid w:val="00C041F0"/>
    <w:rsid w:val="00C16965"/>
    <w:rsid w:val="00C4775A"/>
    <w:rsid w:val="00C54DCB"/>
    <w:rsid w:val="00C81EED"/>
    <w:rsid w:val="00CB448E"/>
    <w:rsid w:val="00CC56BC"/>
    <w:rsid w:val="00CC701A"/>
    <w:rsid w:val="00CD7267"/>
    <w:rsid w:val="00CE16A5"/>
    <w:rsid w:val="00CE7B4D"/>
    <w:rsid w:val="00CF2176"/>
    <w:rsid w:val="00CF4389"/>
    <w:rsid w:val="00D0287A"/>
    <w:rsid w:val="00D10FC9"/>
    <w:rsid w:val="00D44FC0"/>
    <w:rsid w:val="00D543F0"/>
    <w:rsid w:val="00D93E7F"/>
    <w:rsid w:val="00DA34FF"/>
    <w:rsid w:val="00DA7E88"/>
    <w:rsid w:val="00DB49FF"/>
    <w:rsid w:val="00DC3B65"/>
    <w:rsid w:val="00DE1224"/>
    <w:rsid w:val="00DE586B"/>
    <w:rsid w:val="00E000A1"/>
    <w:rsid w:val="00E13147"/>
    <w:rsid w:val="00E242DC"/>
    <w:rsid w:val="00E45921"/>
    <w:rsid w:val="00E61FF9"/>
    <w:rsid w:val="00E751C9"/>
    <w:rsid w:val="00E85B57"/>
    <w:rsid w:val="00EB5D54"/>
    <w:rsid w:val="00EB6893"/>
    <w:rsid w:val="00EB71F2"/>
    <w:rsid w:val="00F17292"/>
    <w:rsid w:val="00F30E03"/>
    <w:rsid w:val="00F50FA7"/>
    <w:rsid w:val="00F52D52"/>
    <w:rsid w:val="00F74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reakthroughanalysis.com/2008/08/01/unstructured-data-and-the-80-percent-ru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amation.com/big-data/structured-vs-unstructured-dat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towardsdatascience.com/understanding-learning-rates-and-how-it-improves-performance-in-deep-learning-d0d4059c1c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eplearningbook.com.br/funcao-de-ativacao/"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deeplearningbook.com.br/o-neuronio-biologico-e-matematico/"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C8A1-845C-4C44-88CC-20166FCB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31</Pages>
  <Words>4603</Words>
  <Characters>24861</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103</cp:revision>
  <cp:lastPrinted>1999-07-09T08:15:00Z</cp:lastPrinted>
  <dcterms:created xsi:type="dcterms:W3CDTF">2019-09-12T03:48:00Z</dcterms:created>
  <dcterms:modified xsi:type="dcterms:W3CDTF">2019-10-29T02:58:00Z</dcterms:modified>
</cp:coreProperties>
</file>