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8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UC02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  <w:bookmarkEnd w:id="0"/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179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1"/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endereço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dinâmico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 internet 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http://www.merckmillipore.com/BR/pt/search/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{variável_de_interesse}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o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nde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{variável_de_interesse}”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deve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variável desejada) deve aceitar requisições do tipo GET.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deverá ser uma página HTML válida contendo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um elemento do tipo “h1” contendo, por sua vez, um elemento do tipo “span” e, também,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do tipo “table” com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classe CSS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“attribute-group-table”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atribuída.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RN06]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“container-serp”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kmillipore.com/BR/pt/searc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LibreOffice/6.3.1.2$Windows_X86_64 LibreOffice_project/b79626edf0065ac373bd1df5c28bd630b4424273</Application>
  <Pages>2</Pages>
  <Words>263</Words>
  <Characters>1533</Characters>
  <CharactersWithSpaces>1769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2019-11-21T18:22:01Z</dcterms:modified>
  <cp:revision>50</cp:revision>
  <dc:subject/>
  <dc:title/>
</cp:coreProperties>
</file>