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FC303A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FC303A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t>QUANTITATIVOS</w:t>
      </w:r>
    </w:p>
    <w:p w14:paraId="136587EE" w14:textId="308472E3" w:rsidR="00426AE8" w:rsidRDefault="00C027F0" w:rsidP="00FC303A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FC303A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3AADB595" w:rsidR="004D21C8" w:rsidRDefault="004D21C8" w:rsidP="00FC303A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FC303A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FC303A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FC303A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FC303A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FC303A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FC303A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FC303A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4478E4BE" w:rsidR="00D2230F" w:rsidRDefault="004E10DE" w:rsidP="008349CC">
      <w:pPr>
        <w:pStyle w:val="Ttulo2"/>
      </w:pPr>
      <w:r>
        <w:t>web scraping</w:t>
      </w:r>
    </w:p>
    <w:p w14:paraId="6CEC29DB" w14:textId="349DB9A4" w:rsidR="0010358B" w:rsidRDefault="0010358B" w:rsidP="007D6EC9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r>
        <w:lastRenderedPageBreak/>
        <w:t>CASOS</w:t>
      </w:r>
      <w:r w:rsidR="00A35E4F">
        <w:t xml:space="preserve"> DE USO</w:t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29D8BB78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</w:t>
      </w:r>
      <w:r>
        <w:t xml:space="preserve"> DO CASO DE USO SCRAP ANVISA</w:t>
      </w:r>
    </w:p>
    <w:p w14:paraId="3E6C08D5" w14:textId="3BF065F6" w:rsidR="00FC303A" w:rsidRDefault="00FC303A" w:rsidP="00FC303A">
      <w:pPr>
        <w:pStyle w:val="Sumrio1"/>
        <w:rPr>
          <w:sz w:val="22"/>
          <w:szCs w:val="22"/>
        </w:rPr>
      </w:pPr>
      <w:r>
        <w:rPr>
          <w:sz w:val="22"/>
          <w:szCs w:val="22"/>
        </w:rPr>
        <w:t xml:space="preserve">Tabela 1 – Descrição do caso de uso </w:t>
      </w:r>
      <w:r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876979">
            <w:pPr>
              <w:jc w:val="left"/>
            </w:pPr>
            <w:r>
              <w:t>Extrair bula</w:t>
            </w:r>
            <w:r w:rsidR="00636705">
              <w:t xml:space="preserve">s dos profissionais do </w:t>
            </w:r>
            <w:proofErr w:type="spellStart"/>
            <w:r w:rsidR="00636705">
              <w:t>bulário</w:t>
            </w:r>
            <w:proofErr w:type="spellEnd"/>
            <w:r w:rsidR="00636705">
              <w:t xml:space="preserve">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876979">
            <w:pPr>
              <w:jc w:val="left"/>
            </w:pPr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876979">
            <w:pPr>
              <w:jc w:val="left"/>
            </w:pPr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876979">
            <w:pPr>
              <w:jc w:val="left"/>
            </w:pPr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</w:t>
            </w:r>
            <w:r>
              <w:rPr>
                <w:b/>
              </w:rPr>
              <w:t>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394C8C">
            <w:pPr>
              <w:jc w:val="left"/>
            </w:pPr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394C8C">
            <w:pPr>
              <w:jc w:val="left"/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394C8C">
            <w:pPr>
              <w:jc w:val="left"/>
              <w:rPr>
                <w:b/>
              </w:rPr>
            </w:pPr>
          </w:p>
          <w:p w14:paraId="52E8C9CB" w14:textId="77777777" w:rsidR="00C74582" w:rsidRDefault="00C74582" w:rsidP="00C74582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C74582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lastRenderedPageBreak/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C85F08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lastRenderedPageBreak/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B21569">
            <w:pPr>
              <w:jc w:val="left"/>
            </w:pPr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A03BF4">
            <w:pPr>
              <w:jc w:val="left"/>
            </w:pPr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A03BF4">
            <w:pPr>
              <w:jc w:val="left"/>
            </w:pPr>
            <w:r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Mensagens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A03BF4">
            <w:pPr>
              <w:jc w:val="left"/>
            </w:pPr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</w:t>
            </w:r>
            <w:r>
              <w:rPr>
                <w:b/>
              </w:rPr>
              <w:t>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A03BF4">
            <w:pPr>
              <w:jc w:val="left"/>
            </w:pPr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4" w:history="1">
              <w:r w:rsidR="004A5A84" w:rsidRPr="00C5012A">
                <w:rPr>
                  <w:rStyle w:val="Hyperlink"/>
                </w:rPr>
                <w:t>http://www.anvisa.gov.br/dat</w:t>
              </w:r>
              <w:r w:rsidR="004A5A84" w:rsidRPr="00C5012A">
                <w:rPr>
                  <w:rStyle w:val="Hyperlink"/>
                </w:rPr>
                <w:t>a</w:t>
              </w:r>
              <w:r w:rsidR="004A5A84" w:rsidRPr="00C5012A">
                <w:rPr>
                  <w:rStyle w:val="Hyperlink"/>
                </w:rPr>
                <w:t>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4A5A84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4A5A84">
              <w:t>txtMedicamento</w:t>
            </w:r>
            <w:proofErr w:type="spellEnd"/>
            <w:proofErr w:type="gramEnd"/>
            <w:r>
              <w:t>”: nome do princípio ativo</w:t>
            </w:r>
          </w:p>
          <w:p w14:paraId="621EC926" w14:textId="1A2B465C" w:rsidR="004A5A84" w:rsidRDefault="004A5A84" w:rsidP="004A5A84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4A5A84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4A5A84">
              <w:t>txtNuExpediente</w:t>
            </w:r>
            <w:proofErr w:type="spellEnd"/>
            <w:proofErr w:type="gramEnd"/>
            <w:r>
              <w:t>”: número de expediente</w:t>
            </w:r>
          </w:p>
          <w:p w14:paraId="04A0101A" w14:textId="77777777" w:rsidR="00A03BF4" w:rsidRDefault="004A5A84" w:rsidP="004A5A84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4A5A84">
              <w:t>txtDataPublicacaoI</w:t>
            </w:r>
            <w:proofErr w:type="spellEnd"/>
            <w:proofErr w:type="gram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B52EF9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B52EF9">
              <w:t>txtDataPublicacaoF</w:t>
            </w:r>
            <w:proofErr w:type="spellEnd"/>
            <w:proofErr w:type="gramEnd"/>
            <w:r>
              <w:t>”: filtro de data final de publicação</w:t>
            </w:r>
          </w:p>
          <w:p w14:paraId="41452851" w14:textId="79C1CE35" w:rsidR="00B52EF9" w:rsidRDefault="00B52EF9" w:rsidP="00B52EF9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B52EF9">
              <w:t>txtPageSize</w:t>
            </w:r>
            <w:proofErr w:type="spellEnd"/>
            <w:proofErr w:type="gramEnd"/>
            <w:r>
              <w:t>”: número de registros por página</w:t>
            </w:r>
          </w:p>
          <w:p w14:paraId="1B10B7B9" w14:textId="03AF59B1" w:rsidR="00982680" w:rsidRDefault="00982680" w:rsidP="00982680">
            <w:pPr>
              <w:jc w:val="left"/>
            </w:pPr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F43293">
            <w:pPr>
              <w:jc w:val="left"/>
            </w:pPr>
          </w:p>
          <w:p w14:paraId="4B0A0A5E" w14:textId="77777777" w:rsidR="00F43293" w:rsidRDefault="00F43293" w:rsidP="002F4E01">
            <w:pPr>
              <w:jc w:val="left"/>
            </w:pPr>
            <w:r>
              <w:rPr>
                <w:b/>
              </w:rPr>
              <w:lastRenderedPageBreak/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>” e que recebe dois parâmetros no formato de texto, mas que são valores numéricos válidos.</w:t>
            </w:r>
          </w:p>
          <w:p w14:paraId="41FDD545" w14:textId="77777777" w:rsidR="00CA4294" w:rsidRDefault="00CA4294" w:rsidP="002F4E01">
            <w:pPr>
              <w:jc w:val="left"/>
            </w:pPr>
          </w:p>
          <w:p w14:paraId="3B73A05D" w14:textId="77777777" w:rsidR="00CA4294" w:rsidRDefault="00CA4294" w:rsidP="002F4E01">
            <w:pPr>
              <w:jc w:val="left"/>
            </w:pPr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5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</w:t>
            </w:r>
            <w:r w:rsidR="00CD1EEA">
              <w:t>deve aceitar requisições com o método HTTP POST, contendo os seguintes parâmetros e seus respectivos significados:</w:t>
            </w:r>
          </w:p>
          <w:p w14:paraId="6F70428B" w14:textId="77777777" w:rsidR="00CD1EEA" w:rsidRDefault="00CD1EEA" w:rsidP="00CD1EEA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 w:rsidRPr="00CD1EEA">
              <w:t>pNuTransacao</w:t>
            </w:r>
            <w:proofErr w:type="spellEnd"/>
            <w:proofErr w:type="gramEnd"/>
            <w:r>
              <w:t>”: número de transação</w:t>
            </w:r>
          </w:p>
          <w:p w14:paraId="6F8D35C0" w14:textId="467BC7CA" w:rsidR="00CD1EEA" w:rsidRDefault="00CD1EEA" w:rsidP="00CD1EEA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“</w:t>
            </w:r>
            <w:proofErr w:type="spellStart"/>
            <w:proofErr w:type="gramStart"/>
            <w:r>
              <w:t>pIdAnexo</w:t>
            </w:r>
            <w:proofErr w:type="spellEnd"/>
            <w:proofErr w:type="gram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CD1EEA">
            <w:pPr>
              <w:jc w:val="left"/>
            </w:pPr>
          </w:p>
          <w:p w14:paraId="5C7F5EFF" w14:textId="4AEEAE7B" w:rsidR="00CD1EEA" w:rsidRPr="0088285E" w:rsidRDefault="00CD1EEA" w:rsidP="00CD1EEA">
            <w:pPr>
              <w:jc w:val="left"/>
            </w:pPr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634832B1" w14:textId="77777777" w:rsidR="00D91755" w:rsidRPr="00D85C7F" w:rsidRDefault="00D91755" w:rsidP="00CE7657">
      <w:pPr>
        <w:jc w:val="center"/>
        <w:rPr>
          <w:sz w:val="22"/>
          <w:szCs w:val="22"/>
        </w:rPr>
      </w:pPr>
    </w:p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498449DC" w14:textId="40DDD592" w:rsidR="00D2230F" w:rsidRPr="00C14B0F" w:rsidRDefault="00240D58" w:rsidP="00D2230F">
      <w:pPr>
        <w:pStyle w:val="REFERNCIABIBLIOGRFICA"/>
        <w:jc w:val="left"/>
      </w:pPr>
      <w:bookmarkStart w:id="12" w:name="_Toc378694375"/>
      <w:r>
        <w:lastRenderedPageBreak/>
        <w:t>R</w:t>
      </w:r>
      <w:bookmarkStart w:id="13" w:name="_GoBack"/>
      <w:bookmarkEnd w:id="13"/>
      <w:r w:rsidR="00D2230F">
        <w:t>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4" w:name="REFERENCIASBIBLIOGRÁFICAS_4"/>
      <w:r>
        <w:rPr>
          <w:b/>
        </w:rPr>
        <w:t>Yahoo! Finanças</w:t>
      </w:r>
      <w:r>
        <w:t xml:space="preserve"> &lt;</w:t>
      </w:r>
      <w:hyperlink r:id="rId16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5" w:name="ANEXOS"/>
      <w:bookmarkEnd w:id="14"/>
      <w:bookmarkEnd w:id="15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17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18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19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01336EAF" w:rsidR="00D2230F" w:rsidRDefault="008C74B3" w:rsidP="00966E8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D29D5DD" w14:textId="5B484625" w:rsidR="00D3533A" w:rsidRDefault="00D3533A" w:rsidP="00D3533A"/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lastRenderedPageBreak/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EF04B85" w:rsidR="00D3533A" w:rsidRDefault="00304D6D" w:rsidP="00662E06">
      <w:pPr>
        <w:ind w:firstLine="426"/>
      </w:pPr>
      <w:r>
        <w:t xml:space="preserve">A primeira fonte de informação a ser consultada é a base de dados da Anvisa já que o órgão deve publicar as bulas de todos os medicamentos registrados em seu </w:t>
      </w:r>
      <w:proofErr w:type="spellStart"/>
      <w:r>
        <w:t>bulário</w:t>
      </w:r>
      <w:proofErr w:type="spellEnd"/>
      <w:r>
        <w:t>.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 xml:space="preserve">Ao acessar a página principal de consulta ao </w:t>
      </w:r>
      <w:proofErr w:type="spellStart"/>
      <w:r>
        <w:t>bulário</w:t>
      </w:r>
      <w:proofErr w:type="spellEnd"/>
      <w:r>
        <w:t xml:space="preserve"> (</w:t>
      </w:r>
      <w:hyperlink r:id="rId20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6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6"/>
      <w:r w:rsidR="0077543A" w:rsidRPr="00773023">
        <w:rPr>
          <w:rStyle w:val="Refdecomentrio"/>
          <w:sz w:val="28"/>
          <w:szCs w:val="28"/>
        </w:rPr>
        <w:commentReference w:id="16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24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6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D1487" w14:textId="77777777" w:rsidR="00E23782" w:rsidRDefault="00E23782">
      <w:r>
        <w:separator/>
      </w:r>
    </w:p>
  </w:endnote>
  <w:endnote w:type="continuationSeparator" w:id="0">
    <w:p w14:paraId="38F9A7FB" w14:textId="77777777" w:rsidR="00E23782" w:rsidRDefault="00E2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CBE16" w14:textId="77777777" w:rsidR="00E23782" w:rsidRDefault="00E23782">
      <w:r>
        <w:separator/>
      </w:r>
    </w:p>
  </w:footnote>
  <w:footnote w:type="continuationSeparator" w:id="0">
    <w:p w14:paraId="5F103599" w14:textId="77777777" w:rsidR="00E23782" w:rsidRDefault="00E2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9"/>
  </w:num>
  <w:num w:numId="8">
    <w:abstractNumId w:val="4"/>
  </w:num>
  <w:num w:numId="9">
    <w:abstractNumId w:val="21"/>
  </w:num>
  <w:num w:numId="10">
    <w:abstractNumId w:val="21"/>
  </w:num>
  <w:num w:numId="11">
    <w:abstractNumId w:val="21"/>
  </w:num>
  <w:num w:numId="12">
    <w:abstractNumId w:val="2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"/>
  </w:num>
  <w:num w:numId="23">
    <w:abstractNumId w:val="0"/>
  </w:num>
  <w:num w:numId="24">
    <w:abstractNumId w:val="21"/>
  </w:num>
  <w:num w:numId="25">
    <w:abstractNumId w:val="12"/>
  </w:num>
  <w:num w:numId="26">
    <w:abstractNumId w:val="14"/>
  </w:num>
  <w:num w:numId="27">
    <w:abstractNumId w:val="15"/>
  </w:num>
  <w:num w:numId="28">
    <w:abstractNumId w:val="13"/>
  </w:num>
  <w:num w:numId="29">
    <w:abstractNumId w:val="8"/>
  </w:num>
  <w:num w:numId="30">
    <w:abstractNumId w:val="21"/>
  </w:num>
  <w:num w:numId="31">
    <w:abstractNumId w:val="21"/>
  </w:num>
  <w:num w:numId="32">
    <w:abstractNumId w:val="17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0"/>
  </w:num>
  <w:num w:numId="36">
    <w:abstractNumId w:val="7"/>
  </w:num>
  <w:num w:numId="3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65E6"/>
    <w:rsid w:val="00006B28"/>
    <w:rsid w:val="000141E6"/>
    <w:rsid w:val="00017EC6"/>
    <w:rsid w:val="00022983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29E0"/>
    <w:rsid w:val="000C3BAC"/>
    <w:rsid w:val="000D5C84"/>
    <w:rsid w:val="000E03F4"/>
    <w:rsid w:val="000E05F0"/>
    <w:rsid w:val="0010358B"/>
    <w:rsid w:val="001109F0"/>
    <w:rsid w:val="001243BE"/>
    <w:rsid w:val="00126B43"/>
    <w:rsid w:val="00131205"/>
    <w:rsid w:val="001512B0"/>
    <w:rsid w:val="001669AD"/>
    <w:rsid w:val="00166AC3"/>
    <w:rsid w:val="001739E3"/>
    <w:rsid w:val="00174760"/>
    <w:rsid w:val="00176534"/>
    <w:rsid w:val="001A42BE"/>
    <w:rsid w:val="001A52D8"/>
    <w:rsid w:val="001B4903"/>
    <w:rsid w:val="001B5FA8"/>
    <w:rsid w:val="001C2BBD"/>
    <w:rsid w:val="001D3466"/>
    <w:rsid w:val="001D54F9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6968"/>
    <w:rsid w:val="002739BA"/>
    <w:rsid w:val="00277DC1"/>
    <w:rsid w:val="00282A99"/>
    <w:rsid w:val="0029146A"/>
    <w:rsid w:val="002A0821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F4E01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7EA4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213A"/>
    <w:rsid w:val="0062490B"/>
    <w:rsid w:val="00636705"/>
    <w:rsid w:val="00641469"/>
    <w:rsid w:val="006479A4"/>
    <w:rsid w:val="00657730"/>
    <w:rsid w:val="00662C92"/>
    <w:rsid w:val="00662E06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A0F"/>
    <w:rsid w:val="006C04E6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511A0"/>
    <w:rsid w:val="007539C3"/>
    <w:rsid w:val="00765682"/>
    <w:rsid w:val="00767C56"/>
    <w:rsid w:val="00773023"/>
    <w:rsid w:val="0077543A"/>
    <w:rsid w:val="007773F5"/>
    <w:rsid w:val="00785734"/>
    <w:rsid w:val="007A4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77D2"/>
    <w:rsid w:val="00817AB3"/>
    <w:rsid w:val="00822F93"/>
    <w:rsid w:val="00823889"/>
    <w:rsid w:val="008310D1"/>
    <w:rsid w:val="00836A17"/>
    <w:rsid w:val="00844490"/>
    <w:rsid w:val="00852E3F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B72F2"/>
    <w:rsid w:val="008C0CCA"/>
    <w:rsid w:val="008C2C6C"/>
    <w:rsid w:val="008C5ED5"/>
    <w:rsid w:val="008C74B3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31AFA"/>
    <w:rsid w:val="009335F2"/>
    <w:rsid w:val="00947E71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65E4"/>
    <w:rsid w:val="009B53C6"/>
    <w:rsid w:val="009C1B13"/>
    <w:rsid w:val="009D1AB5"/>
    <w:rsid w:val="009D6DF7"/>
    <w:rsid w:val="009E2D43"/>
    <w:rsid w:val="009F3B6A"/>
    <w:rsid w:val="009F5187"/>
    <w:rsid w:val="00A03BF4"/>
    <w:rsid w:val="00A04CC1"/>
    <w:rsid w:val="00A1081D"/>
    <w:rsid w:val="00A12561"/>
    <w:rsid w:val="00A23D68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64233"/>
    <w:rsid w:val="00A735A5"/>
    <w:rsid w:val="00A73DC2"/>
    <w:rsid w:val="00A74E1A"/>
    <w:rsid w:val="00A76023"/>
    <w:rsid w:val="00A835B0"/>
    <w:rsid w:val="00A84399"/>
    <w:rsid w:val="00A86D9A"/>
    <w:rsid w:val="00A94A9A"/>
    <w:rsid w:val="00AA03C7"/>
    <w:rsid w:val="00AA046B"/>
    <w:rsid w:val="00AA13C0"/>
    <w:rsid w:val="00AA3334"/>
    <w:rsid w:val="00AA6439"/>
    <w:rsid w:val="00AB6513"/>
    <w:rsid w:val="00AB74FB"/>
    <w:rsid w:val="00AC4405"/>
    <w:rsid w:val="00AD2701"/>
    <w:rsid w:val="00AE40C1"/>
    <w:rsid w:val="00AE4C19"/>
    <w:rsid w:val="00AF493D"/>
    <w:rsid w:val="00AF6C01"/>
    <w:rsid w:val="00B1100B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85C7F"/>
    <w:rsid w:val="00D91755"/>
    <w:rsid w:val="00DA182C"/>
    <w:rsid w:val="00DA387E"/>
    <w:rsid w:val="00DB18EA"/>
    <w:rsid w:val="00DB7599"/>
    <w:rsid w:val="00DD0E4A"/>
    <w:rsid w:val="00DD330F"/>
    <w:rsid w:val="00DD75FC"/>
    <w:rsid w:val="00DE0160"/>
    <w:rsid w:val="00DE12FB"/>
    <w:rsid w:val="00DE63C4"/>
    <w:rsid w:val="00DF622A"/>
    <w:rsid w:val="00E00DE7"/>
    <w:rsid w:val="00E120C4"/>
    <w:rsid w:val="00E16E07"/>
    <w:rsid w:val="00E23782"/>
    <w:rsid w:val="00E31861"/>
    <w:rsid w:val="00E4183F"/>
    <w:rsid w:val="00E4306F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F40A9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303A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FC303A"/>
    <w:pPr>
      <w:ind w:firstLine="426"/>
      <w:jc w:val="center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CSS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Learn/Common_questions/Pages_sites_servers_and_search_engi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.financas.yahoo.com/" TargetMode="External"/><Relationship Id="rId20" Type="http://schemas.openxmlformats.org/officeDocument/2006/relationships/hyperlink" Target="http://www.anvisa.gov.br/datavisa/fila_bula/index.asp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anvisa.gov.br/datavisa/fila_bula/frmVisualizarBula.asp" TargetMode="External"/><Relationship Id="rId23" Type="http://schemas.openxmlformats.org/officeDocument/2006/relationships/image" Target="media/image7.png"/><Relationship Id="rId28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en-US/docs/Web/JavaScrip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anvisa.gov.br/datavisa/fila_bula/frmResultado.asp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5FD1-B244-4F64-B827-7F59D1B4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403</TotalTime>
  <Pages>17</Pages>
  <Words>3205</Words>
  <Characters>17313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20478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73</cp:revision>
  <cp:lastPrinted>1999-07-09T11:15:00Z</cp:lastPrinted>
  <dcterms:created xsi:type="dcterms:W3CDTF">2020-05-28T04:20:00Z</dcterms:created>
  <dcterms:modified xsi:type="dcterms:W3CDTF">2020-06-07T20:21:00Z</dcterms:modified>
</cp:coreProperties>
</file>