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32"/>
          <w:szCs w:val="32"/>
        </w:rPr>
        <w:t xml:space="preserve">ALTOÈ CONSULTORIA</w:t>
      </w:r>
    </w:p>
    <w:p>
      <w:pPr>
        <w:spacing w:after="60" w:before="0"/>
        <w:jc w:val="center"/>
      </w:pPr>
      <w:r>
        <w:rPr>
          <w:rFonts w:ascii="Arial" w:cs="Arial" w:eastAsia="Arial" w:hAnsi="Arial"/>
          <w:b/>
          <w:bCs/>
          <w:color w:val="2E74B5"/>
          <w:sz w:val="24"/>
          <w:szCs w:val="24"/>
        </w:rPr>
        <w:t xml:space="preserve">DOSSIÊ — NEGATIVA DE CREDENCIAMENTO SICREDI</w:t>
      </w:r>
    </w:p>
    <w:p>
      <w:pPr>
        <w:spacing w:after="60" w:before="0"/>
        <w:jc w:val="center"/>
      </w:pPr>
      <w:r>
        <w:rPr>
          <w:rFonts w:ascii="Arial" w:cs="Arial" w:eastAsia="Arial" w:hAnsi="Arial"/>
          <w:i/>
          <w:iCs/>
          <w:color w:val="555555"/>
          <w:sz w:val="20"/>
          <w:szCs w:val="20"/>
        </w:rPr>
        <w:t xml:space="preserve">Agência Marilândia/ES  |  Gerente: Ramão Lorenzoni  |  Data: 09/04/2026</w:t>
      </w:r>
    </w:p>
    <w:p>
      <w:pPr>
        <w:spacing w:after="240" w:before="0"/>
        <w:jc w:val="center"/>
      </w:pPr>
      <w:r>
        <w:rPr>
          <w:rFonts w:ascii="Arial" w:cs="Arial" w:eastAsia="Arial" w:hAnsi="Arial"/>
          <w:b/>
          <w:bCs/>
          <w:color w:val="C00000"/>
          <w:sz w:val="20"/>
          <w:szCs w:val="20"/>
        </w:rPr>
        <w:t xml:space="preserve">CONFIDENCIAL — USO INTERNO E RECURSAL</w:t>
      </w:r>
    </w:p>
    <w:p>
      <w:pPr>
        <w:pBdr>
          <w:bottom w:val="single" w:color="2E74B5" w:sz="6" w:space="1"/>
        </w:pBdr>
        <w:spacing w:after="120" w:before="120"/>
      </w:pPr>
    </w:p>
    <w:p>
      <w:pPr>
        <w:pStyle w:val="Heading1"/>
        <w:spacing w:after="150" w:before="300"/>
      </w:pPr>
      <w:r>
        <w:rPr>
          <w:rFonts w:ascii="Arial" w:cs="Arial" w:eastAsia="Arial" w:hAnsi="Arial"/>
          <w:b/>
          <w:bCs/>
          <w:color w:val="1F4E79"/>
          <w:sz w:val="28"/>
          <w:szCs w:val="28"/>
        </w:rPr>
        <w:t xml:space="preserve">1. Resumo Executivo</w:t>
      </w:r>
    </w:p>
    <w:p>
      <w:pPr>
        <w:spacing w:after="80" w:before="80"/>
      </w:pPr>
      <w:r>
        <w:rPr>
          <w:rFonts w:ascii="Arial" w:cs="Arial" w:eastAsia="Arial" w:hAnsi="Arial"/>
          <w:sz w:val="20"/>
          <w:szCs w:val="20"/>
        </w:rPr>
        <w:t xml:space="preserve">A Altoè Consultoria, empresa de consultoria de crédito rural e P&amp;D fundada por Rodrigo Altoé (PhD em Química, UFRJ), teve seu pedido de credenciamento junto ao Sicredi Marilândia/ES negado pelo gerente da agência (Ramão Lorenzoni), com base em argumentos que, conforme análise detalhada neste dossiê, não encontram amparo pleno no Manual de Crédito Rural (MCR) e apresentam indícios de motivação extrarregulamentar.</w:t>
      </w:r>
    </w:p>
    <w:p>
      <w:pPr>
        <w:spacing w:after="80" w:before="80"/>
      </w:pPr>
      <w:r>
        <w:rPr>
          <w:rFonts w:ascii="Arial" w:cs="Arial" w:eastAsia="Arial" w:hAnsi="Arial"/>
          <w:sz w:val="20"/>
          <w:szCs w:val="20"/>
        </w:rPr>
        <w:t xml:space="preserve">Este documento registra os fatos, analisa os argumentos utilizados, demonstra sua inconsistência técnica e define a estratégia de recurso.</w:t>
      </w:r>
    </w:p>
    <w:p>
      <w:pPr>
        <w:pStyle w:val="Heading1"/>
        <w:spacing w:after="150" w:before="300"/>
      </w:pPr>
      <w:r>
        <w:rPr>
          <w:rFonts w:ascii="Arial" w:cs="Arial" w:eastAsia="Arial" w:hAnsi="Arial"/>
          <w:b/>
          <w:bCs/>
          <w:color w:val="1F4E79"/>
          <w:sz w:val="28"/>
          <w:szCs w:val="28"/>
        </w:rPr>
        <w:t xml:space="preserve">2. Linha do Tempo dos Fatos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auto" w:w="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sz w:val="20"/>
                <w:szCs w:val="20"/>
              </w:rPr>
              <w:t xml:space="preserve">Etapa</w:t>
            </w:r>
          </w:p>
        </w:tc>
        <w:tc>
          <w:tcPr>
            <w:tcW w:type="auto" w:w="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sz w:val="20"/>
                <w:szCs w:val="20"/>
              </w:rPr>
              <w:t xml:space="preserve">Descrição</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Início do processo</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Rodrigo Altoé inicia contato com o Sicredi Marilândia/ES para credenciamento da Altoè Consultoria. Atendimento inicial pelas funcionárias Ana e Raíssa, descrito pelo solicitante como satisfatório.</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Documentação entregue</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Rodrigo entrega documentos iniciais. A funcionária Raíssa informa que haverá consulta ao gerente por critério de "agrupamento social" — mencionando que familiares de Rodrigo possuem conta na agência de Colatina.</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Contato com o gerente (Lorenzoni)</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Rodrigo envia mensagem ao gerente via WhatsApp, informa sobre as alterações contratuais realizadas e solicita reunião para tratar do credenciamento.</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1ª negativa — Vínculo MCR</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Gerente responde que o processo foi indeferido por "desacordo com as regras do MCR", alegando que nenhum consultor pode operar com crédito rural quando tem "vínculo com venda ou comercialização de insumos agropecuários". Envia print de texto regulatório sobre o tema.</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Contra-argumento de Rodrigo</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Rodrigo explica que recebeu 5% de participação da Mundo Verde Fertilizantes (empresa B2B) em troca de projeto executado para a Amigos do Campo — e que, por ser B2B (não vende para produtores), acreditava que não haveria vínculo vedado.</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Áudio 1 do gerente (2:25)</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Gerente reconhece que a abertura de conta não tem impedimento. Para o credenciamento, alega "vínculo direto" por: (a) Rodrigo foi sócio de empresa do grupo econômico do irmão; (b) Rodrigo é irmão do principal acionista das empresas do grupo. Menciona que já passou por "situações bem complicadas" com integrantes do grupo do irmão de Rodrigo.</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Áudio 2 do gerente (2:00)</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Gerente CONTRADIZ argumento anterior: afirma que "tecnicamente falando você não está mais impedido" após a saída da Mundo Verde. Muda o argumento: nega o credenciamento alegando que não localizou qualificação de Rodrigo para "fazer projeto técnico voltado à atividade agrícola". Sugere duas saídas: incluir técnico agrícola/engenheiro como sócio (1%), ou credenciar a técnica parceira como pessoa física.</w:t>
            </w:r>
          </w:p>
        </w:tc>
      </w:tr>
    </w:tbl>
    <w:p>
      <w:pPr>
        <w:spacing w:before="300"/>
      </w:pPr>
    </w:p>
    <w:p>
      <w:pPr>
        <w:pStyle w:val="Heading1"/>
        <w:spacing w:after="150" w:before="300"/>
      </w:pPr>
      <w:r>
        <w:rPr>
          <w:rFonts w:ascii="Arial" w:cs="Arial" w:eastAsia="Arial" w:hAnsi="Arial"/>
          <w:b/>
          <w:bCs/>
          <w:color w:val="1F4E79"/>
          <w:sz w:val="28"/>
          <w:szCs w:val="28"/>
        </w:rPr>
        <w:t xml:space="preserve">3. Análise Técnica dos Argumentos Utilizados</w:t>
      </w:r>
    </w:p>
    <w:p>
      <w:pPr>
        <w:pStyle w:val="Heading2"/>
        <w:spacing w:after="120" w:before="240"/>
      </w:pPr>
      <w:r>
        <w:rPr>
          <w:rFonts w:ascii="Arial" w:cs="Arial" w:eastAsia="Arial" w:hAnsi="Arial"/>
          <w:b/>
          <w:bCs/>
          <w:color w:val="2E74B5"/>
          <w:sz w:val="24"/>
          <w:szCs w:val="24"/>
        </w:rPr>
        <w:t xml:space="preserve">3.1 Argumento 1 — Vínculo com comercialização de insumos</w:t>
      </w:r>
    </w:p>
    <w:p>
      <w:pPr>
        <w:spacing w:after="80" w:before="80"/>
      </w:pPr>
      <w:r>
        <w:rPr>
          <w:rFonts w:ascii="Arial" w:cs="Arial" w:eastAsia="Arial" w:hAnsi="Arial"/>
          <w:sz w:val="20"/>
          <w:szCs w:val="20"/>
        </w:rPr>
        <w:t xml:space="preserve">O gerente afirmou que o MCR veda o credenciamento de consultores com "vínculo com venda ou comercialização de insumos agropecuários".</w:t>
      </w:r>
    </w:p>
    <w:p>
      <w:pPr>
        <w:spacing w:after="80" w:before="80"/>
      </w:pPr>
      <w:r>
        <w:rPr>
          <w:rFonts w:ascii="Arial" w:cs="Arial" w:eastAsia="Arial" w:hAnsi="Arial"/>
          <w:sz w:val="20"/>
          <w:szCs w:val="20"/>
        </w:rPr>
        <w:t xml:space="preserve">Base regulatória real: O MCR (Seção de Assistência Técnica) veda que o próprio consultor ou sua empresa exerça atividade de produção ou venda de insumos. A norma protege a independência técnica do consultor que assina laudos de ATER.</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26"/>
      </w:tblGrid>
      <w:tr>
        <w:tc>
          <w:tcPr>
            <w:tcW w:type="auto" w:w="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sz w:val="20"/>
                <w:szCs w:val="20"/>
              </w:rPr>
              <w:t xml:space="preserve">Fato alegado</w:t>
            </w:r>
          </w:p>
        </w:tc>
        <w:tc>
          <w:tcPr>
            <w:tcW w:type="auto" w:w="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sz w:val="20"/>
                <w:szCs w:val="20"/>
              </w:rPr>
              <w:t xml:space="preserve">Situação real</w:t>
            </w:r>
          </w:p>
        </w:tc>
        <w:tc>
          <w:tcPr>
            <w:tcW w:type="auto" w:w="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sz w:val="20"/>
                <w:szCs w:val="20"/>
              </w:rPr>
              <w:t xml:space="preserve">Impacto regulatório</w:t>
            </w:r>
          </w:p>
        </w:tc>
      </w:tr>
      <w:tr>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Rodrigo tem 'vínculo' com o grupo do irmão</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Rodrigo NÃO é sócio da Amigos do Campo</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Sem impedimento — MCR não menciona parentesco de terceiros</w:t>
            </w:r>
          </w:p>
        </w:tc>
      </w:tr>
      <w:tr>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Rodrigo foi sócio da Mundo Verde Fertilizantes</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Participação de 5% — já encerrada formalmente antes do pedido</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Sem impedimento atual — vínculo inexistente</w:t>
            </w:r>
          </w:p>
        </w:tc>
      </w:tr>
      <w:tr>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Mundo Verde vende insumos a produtores</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Mundo Verde era empresa B2B — vendia para lojas, não para produtores rurais</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Mesmo quando ativo, o vínculo era indireto e discutível</w:t>
            </w:r>
          </w:p>
        </w:tc>
      </w:tr>
    </w:tbl>
    <w:p>
      <w:pPr>
        <w:spacing w:before="120"/>
      </w:pPr>
    </w:p>
    <w:p>
      <w:pPr>
        <w:spacing w:after="80" w:before="80"/>
      </w:pPr>
      <w:r>
        <w:rPr>
          <w:rFonts w:ascii="Arial" w:cs="Arial" w:eastAsia="Arial" w:hAnsi="Arial"/>
          <w:b w:val="false"/>
          <w:bCs w:val="false"/>
          <w:sz w:val="20"/>
          <w:szCs w:val="20"/>
        </w:rPr>
        <w:t xml:space="preserve">Agravante: o próprio gerente reconheceu, no Áudio 2, que "tecnicamente falando você não está mais impedido". Ao admitir isso, invalidou seu próprio argumento inicial, confirmando que a aplicação do artigo do MCR foi improcedente.</w:t>
      </w:r>
    </w:p>
    <w:p>
      <w:pPr>
        <w:pStyle w:val="Heading2"/>
        <w:spacing w:after="120" w:before="240"/>
      </w:pPr>
      <w:r>
        <w:rPr>
          <w:rFonts w:ascii="Arial" w:cs="Arial" w:eastAsia="Arial" w:hAnsi="Arial"/>
          <w:b/>
          <w:bCs/>
          <w:color w:val="2E74B5"/>
          <w:sz w:val="24"/>
          <w:szCs w:val="24"/>
        </w:rPr>
        <w:t xml:space="preserve">3.2 Argumento 2 — Falta de qualificação técnica</w:t>
      </w:r>
    </w:p>
    <w:p>
      <w:pPr>
        <w:spacing w:after="80" w:before="80"/>
      </w:pPr>
      <w:r>
        <w:rPr>
          <w:rFonts w:ascii="Arial" w:cs="Arial" w:eastAsia="Arial" w:hAnsi="Arial"/>
          <w:sz w:val="20"/>
          <w:szCs w:val="20"/>
        </w:rPr>
        <w:t xml:space="preserve">Após recuar do primeiro argumento, o gerente alegou não ter "localizado qualificação" de Rodrigo para elaborar projetos voltados à atividade agrícola — sugerindo que seria necessário um engenheiro agrônomo ou técnico agrícola como sócio.</w:t>
      </w:r>
    </w:p>
    <w:p>
      <w:pPr>
        <w:spacing w:after="80" w:before="80"/>
      </w:pPr>
      <w:r>
        <w:rPr>
          <w:rFonts w:ascii="Arial" w:cs="Arial" w:eastAsia="Arial" w:hAnsi="Arial"/>
          <w:sz w:val="20"/>
          <w:szCs w:val="20"/>
        </w:rPr>
        <w:t xml:space="preserve">Análise: Este argumento é tecnicamente equivocado por três razões:</w:t>
      </w:r>
    </w:p>
    <w:p>
      <w:pPr>
        <w:pStyle w:val="ListParagraph"/>
        <w:numPr>
          <w:ilvl w:val="0"/>
          <w:numId w:val="2"/>
        </w:numPr>
        <w:spacing w:after="60" w:before="60"/>
      </w:pPr>
      <w:r>
        <w:rPr>
          <w:rFonts w:ascii="Arial" w:cs="Arial" w:eastAsia="Arial" w:hAnsi="Arial"/>
          <w:sz w:val="20"/>
          <w:szCs w:val="20"/>
        </w:rPr>
        <w:t xml:space="preserve">O MCR não exige que o consultor de crédito rural seja engenheiro agrônomo. A exigência de CREA/CRMV aplica-se exclusivamente aos prestadores de ATER (assistência técnica de campo), não aos consultores que elaboram projetos de crédito.</w:t>
      </w:r>
    </w:p>
    <w:p>
      <w:pPr>
        <w:pStyle w:val="ListParagraph"/>
        <w:numPr>
          <w:ilvl w:val="0"/>
          <w:numId w:val="2"/>
        </w:numPr>
        <w:spacing w:after="60" w:before="60"/>
      </w:pPr>
      <w:r>
        <w:rPr>
          <w:rFonts w:ascii="Arial" w:cs="Arial" w:eastAsia="Arial" w:hAnsi="Arial"/>
          <w:sz w:val="20"/>
          <w:szCs w:val="20"/>
        </w:rPr>
        <w:t xml:space="preserve">Rodrigo Altoé possui PhD em Ciências e Tecnologia de Polímeros (UFRJ), pós-doutorado (UNICAMP), experiência em Petrobras/CENPES, CDTN/CNEN e Gerdau Graphene, além de patente registrada e projetos de P&amp;D aprovados pela FAPEMIG (R$ 1,87 milhão) e FAPESP. É um dos perfis técnicos mais qualificados da região.</w:t>
      </w:r>
    </w:p>
    <w:p>
      <w:pPr>
        <w:pStyle w:val="ListParagraph"/>
        <w:numPr>
          <w:ilvl w:val="0"/>
          <w:numId w:val="2"/>
        </w:numPr>
        <w:spacing w:after="60" w:before="60"/>
      </w:pPr>
      <w:r>
        <w:rPr>
          <w:rFonts w:ascii="Arial" w:cs="Arial" w:eastAsia="Arial" w:hAnsi="Arial"/>
          <w:sz w:val="20"/>
          <w:szCs w:val="20"/>
        </w:rPr>
        <w:t xml:space="preserve">O Decreto 85.877/1981 estabelece expressamente que as atribuições do químico se aplicam a "firmas e entidades que atuem nas áreas de química e de tecnologia agrícola ou agropecuária" — habilitando Rodrigo para projetos com componente técnico-químico no agronegócio.</w:t>
      </w:r>
    </w:p>
    <w:p>
      <w:pPr>
        <w:pStyle w:val="Heading2"/>
        <w:spacing w:after="120" w:before="240"/>
      </w:pPr>
      <w:r>
        <w:rPr>
          <w:rFonts w:ascii="Arial" w:cs="Arial" w:eastAsia="Arial" w:hAnsi="Arial"/>
          <w:b/>
          <w:bCs/>
          <w:color w:val="2E74B5"/>
          <w:sz w:val="24"/>
          <w:szCs w:val="24"/>
        </w:rPr>
        <w:t xml:space="preserve">3.3 Elemento extrarregulamentar — Conflito institucional anterior</w:t>
      </w:r>
    </w:p>
    <w:p>
      <w:pPr>
        <w:spacing w:after="80" w:before="80"/>
      </w:pPr>
      <w:r>
        <w:rPr>
          <w:rFonts w:ascii="Arial" w:cs="Arial" w:eastAsia="Arial" w:hAnsi="Arial"/>
          <w:sz w:val="20"/>
          <w:szCs w:val="20"/>
        </w:rPr>
        <w:t xml:space="preserve">O gerente revelou, no próprio áudio (Áudio 1, 2:25), que já passou por "situações bem complicadas" com integrantes do grupo familiar do irmão de Rodrigo. Essa declaração foi voluntária, não provocada, e constitui evidência de que o gerente possui histórico de tensão institucional com o grupo familiar antes do pedido de credenciamento.</w:t>
      </w:r>
    </w:p>
    <w:p>
      <w:pPr>
        <w:spacing w:after="80" w:before="80"/>
      </w:pPr>
      <w:r>
        <w:rPr>
          <w:rFonts w:ascii="Arial" w:cs="Arial" w:eastAsia="Arial" w:hAnsi="Arial"/>
          <w:sz w:val="20"/>
          <w:szCs w:val="20"/>
        </w:rPr>
        <w:t xml:space="preserve">A evolução dos argumentos ao longo da conversa — primeiro vínculo MCR, depois qualificação — sugere que o gerente buscava justificativas regulatórias para uma decisão já tomada. Isso configura potencial desvio de finalidade no exercício da autonomia discricionária concedida pelo MCR aos agentes financeiros.</w:t>
      </w:r>
    </w:p>
    <w:p>
      <w:pPr>
        <w:spacing w:after="80" w:before="80"/>
      </w:pPr>
      <w:r>
        <w:rPr>
          <w:rFonts w:ascii="Arial" w:cs="Arial" w:eastAsia="Arial" w:hAnsi="Arial"/>
          <w:sz w:val="20"/>
          <w:szCs w:val="20"/>
        </w:rPr>
        <w:t xml:space="preserve">Nota: este dossiê utiliza os registros de conversa via WhatsApp na forma em que se encontram nos prints fornecidos, sem adicionar elementos interpretativos sobre a natureza do relacionamento entre as partes além do que os próprios áudios e mensagens revelam.</w:t>
      </w:r>
    </w:p>
    <w:p>
      <w:pPr>
        <w:pStyle w:val="Heading1"/>
        <w:spacing w:after="150" w:before="300"/>
      </w:pPr>
      <w:r>
        <w:rPr>
          <w:rFonts w:ascii="Arial" w:cs="Arial" w:eastAsia="Arial" w:hAnsi="Arial"/>
          <w:b/>
          <w:bCs/>
          <w:color w:val="1F4E79"/>
          <w:sz w:val="28"/>
          <w:szCs w:val="28"/>
        </w:rPr>
        <w:t xml:space="preserve">4. Avaliação Geral da Negativa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c>
          <w:tcPr>
            <w:tcW w:type="auto" w:w="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sz w:val="20"/>
                <w:szCs w:val="20"/>
              </w:rPr>
              <w:t xml:space="preserve">Argumento do gerente</w:t>
            </w:r>
          </w:p>
        </w:tc>
        <w:tc>
          <w:tcPr>
            <w:tcW w:type="auto" w:w="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sz w:val="20"/>
                <w:szCs w:val="20"/>
              </w:rPr>
              <w:t xml:space="preserve">Validade técnica</w:t>
            </w:r>
          </w:p>
        </w:tc>
        <w:tc>
          <w:tcPr>
            <w:tcW w:type="auto" w:w="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sz w:val="20"/>
                <w:szCs w:val="20"/>
              </w:rPr>
              <w:t xml:space="preserve">Observação</w:t>
            </w:r>
          </w:p>
        </w:tc>
      </w:tr>
      <w:tr>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Vínculo com insumos (MCR)</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 Inválido</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Próprio gerente recuou: "tecnicamente não está mais impedido"</w:t>
            </w:r>
          </w:p>
        </w:tc>
      </w:tr>
      <w:tr>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Parentesco como impedimento</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 Sem base no MCR</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MCR não menciona parentesco de terceiros como vedação para consultores</w:t>
            </w:r>
          </w:p>
        </w:tc>
      </w:tr>
      <w:tr>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Falta de qualificação técnica</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 Equivocado</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MCR não exige CREA para consultor de crédito; PhD em Química é qualificação superior</w:t>
            </w:r>
          </w:p>
        </w:tc>
      </w:tr>
      <w:tr>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Histórico com integrantes do grupo</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 Extrarregulamentar</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Elemento declarado pelo próprio gerente; indício de desvio de finalidade</w:t>
            </w:r>
          </w:p>
        </w:tc>
      </w:tr>
      <w:tr>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Autonomia do gerente para não credenciar</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 Existe no MCR</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MCR permite ao agente negar credenciamento — mas exige motivação regulatória legítima</w:t>
            </w:r>
          </w:p>
        </w:tc>
      </w:tr>
    </w:tbl>
    <w:p>
      <w:pPr>
        <w:spacing w:before="300"/>
      </w:pPr>
    </w:p>
    <w:p>
      <w:pPr>
        <w:pStyle w:val="Heading1"/>
        <w:spacing w:after="150" w:before="300"/>
      </w:pPr>
      <w:r>
        <w:rPr>
          <w:rFonts w:ascii="Arial" w:cs="Arial" w:eastAsia="Arial" w:hAnsi="Arial"/>
          <w:b/>
          <w:bCs/>
          <w:color w:val="1F4E79"/>
          <w:sz w:val="28"/>
          <w:szCs w:val="28"/>
        </w:rPr>
        <w:t xml:space="preserve">5. Estratégia de Recurso</w:t>
      </w:r>
    </w:p>
    <w:p>
      <w:pPr>
        <w:pStyle w:val="Heading2"/>
        <w:spacing w:after="120" w:before="240"/>
      </w:pPr>
      <w:r>
        <w:rPr>
          <w:rFonts w:ascii="Arial" w:cs="Arial" w:eastAsia="Arial" w:hAnsi="Arial"/>
          <w:b/>
          <w:bCs/>
          <w:color w:val="2E74B5"/>
          <w:sz w:val="24"/>
          <w:szCs w:val="24"/>
        </w:rPr>
        <w:t xml:space="preserve">5.1 Fase 1 — Imediata: Foco nos outros bancos</w:t>
      </w:r>
    </w:p>
    <w:p>
      <w:pPr>
        <w:pStyle w:val="ListParagraph"/>
        <w:numPr>
          <w:ilvl w:val="0"/>
          <w:numId w:val="2"/>
        </w:numPr>
        <w:spacing w:after="60" w:before="60"/>
      </w:pPr>
      <w:r>
        <w:rPr>
          <w:rFonts w:ascii="Arial" w:cs="Arial" w:eastAsia="Arial" w:hAnsi="Arial"/>
          <w:sz w:val="20"/>
          <w:szCs w:val="20"/>
        </w:rPr>
        <w:t xml:space="preserve">Priorizar conclusão dos cadastros no Cresol (mais adiantado), BB e Sicoob</w:t>
      </w:r>
    </w:p>
    <w:p>
      <w:pPr>
        <w:pStyle w:val="ListParagraph"/>
        <w:numPr>
          <w:ilvl w:val="0"/>
          <w:numId w:val="2"/>
        </w:numPr>
        <w:spacing w:after="60" w:before="60"/>
      </w:pPr>
      <w:r>
        <w:rPr>
          <w:rFonts w:ascii="Arial" w:cs="Arial" w:eastAsia="Arial" w:hAnsi="Arial"/>
          <w:sz w:val="20"/>
          <w:szCs w:val="20"/>
        </w:rPr>
        <w:t xml:space="preserve">Cada cadastro aprovado por outro banco constitui precedente: outros agentes analisaram a mesma situação e não identificaram impedimento</w:t>
      </w:r>
    </w:p>
    <w:p>
      <w:pPr>
        <w:pStyle w:val="ListParagraph"/>
        <w:numPr>
          <w:ilvl w:val="0"/>
          <w:numId w:val="2"/>
        </w:numPr>
        <w:spacing w:after="60" w:before="60"/>
      </w:pPr>
      <w:r>
        <w:rPr>
          <w:rFonts w:ascii="Arial" w:cs="Arial" w:eastAsia="Arial" w:hAnsi="Arial"/>
          <w:sz w:val="20"/>
          <w:szCs w:val="20"/>
        </w:rPr>
        <w:t xml:space="preserve">Prospectar também o Banestes (banco estadual ES)</w:t>
      </w:r>
    </w:p>
    <w:p>
      <w:pPr>
        <w:pStyle w:val="ListParagraph"/>
        <w:numPr>
          <w:ilvl w:val="0"/>
          <w:numId w:val="2"/>
        </w:numPr>
        <w:spacing w:after="60" w:before="60"/>
      </w:pPr>
      <w:r>
        <w:rPr>
          <w:rFonts w:ascii="Arial" w:cs="Arial" w:eastAsia="Arial" w:hAnsi="Arial"/>
          <w:sz w:val="20"/>
          <w:szCs w:val="20"/>
        </w:rPr>
        <w:t xml:space="preserve">Não gastar energia com o Sicredi neste momento — aguardar aprovações paralelas para fortalecer o recurso</w:t>
      </w:r>
    </w:p>
    <w:p>
      <w:pPr>
        <w:pStyle w:val="Heading2"/>
        <w:spacing w:after="120" w:before="240"/>
      </w:pPr>
      <w:r>
        <w:rPr>
          <w:rFonts w:ascii="Arial" w:cs="Arial" w:eastAsia="Arial" w:hAnsi="Arial"/>
          <w:b/>
          <w:bCs/>
          <w:color w:val="2E74B5"/>
          <w:sz w:val="24"/>
          <w:szCs w:val="24"/>
        </w:rPr>
        <w:t xml:space="preserve">5.2 Fase 2 — Recurso formal ao Sicredi</w:t>
      </w:r>
    </w:p>
    <w:p>
      <w:pPr>
        <w:spacing w:after="80" w:before="80"/>
      </w:pPr>
      <w:r>
        <w:rPr>
          <w:rFonts w:ascii="Arial" w:cs="Arial" w:eastAsia="Arial" w:hAnsi="Arial"/>
          <w:sz w:val="20"/>
          <w:szCs w:val="20"/>
        </w:rPr>
        <w:t xml:space="preserve">Após obter ao menos 1 credenciamento aprovado, protocolar recurso formal por escrito à Diretoria Regional do Sicredi (não ao gerente da agência), contendo:</w:t>
      </w:r>
    </w:p>
    <w:p>
      <w:pPr>
        <w:pStyle w:val="ListParagraph"/>
        <w:numPr>
          <w:ilvl w:val="0"/>
          <w:numId w:val="2"/>
        </w:numPr>
        <w:spacing w:after="60" w:before="60"/>
      </w:pPr>
      <w:r>
        <w:rPr>
          <w:rFonts w:ascii="Arial" w:cs="Arial" w:eastAsia="Arial" w:hAnsi="Arial"/>
          <w:sz w:val="20"/>
          <w:szCs w:val="20"/>
        </w:rPr>
        <w:t xml:space="preserve">Documento demonstrando saída formal da Mundo Verde com data anterior ao pedido</w:t>
      </w:r>
    </w:p>
    <w:p>
      <w:pPr>
        <w:pStyle w:val="ListParagraph"/>
        <w:numPr>
          <w:ilvl w:val="0"/>
          <w:numId w:val="2"/>
        </w:numPr>
        <w:spacing w:after="60" w:before="60"/>
      </w:pPr>
      <w:r>
        <w:rPr>
          <w:rFonts w:ascii="Arial" w:cs="Arial" w:eastAsia="Arial" w:hAnsi="Arial"/>
          <w:sz w:val="20"/>
          <w:szCs w:val="20"/>
        </w:rPr>
        <w:t xml:space="preserve">Demonstração de que o MCR não veda parentesco de terceiros para consultores</w:t>
      </w:r>
    </w:p>
    <w:p>
      <w:pPr>
        <w:pStyle w:val="ListParagraph"/>
        <w:numPr>
          <w:ilvl w:val="0"/>
          <w:numId w:val="2"/>
        </w:numPr>
        <w:spacing w:after="60" w:before="60"/>
      </w:pPr>
      <w:r>
        <w:rPr>
          <w:rFonts w:ascii="Arial" w:cs="Arial" w:eastAsia="Arial" w:hAnsi="Arial"/>
          <w:sz w:val="20"/>
          <w:szCs w:val="20"/>
        </w:rPr>
        <w:t xml:space="preserve">Currículo técnico completo (PhD, experiência, patente, projetos aprovados)</w:t>
      </w:r>
    </w:p>
    <w:p>
      <w:pPr>
        <w:pStyle w:val="ListParagraph"/>
        <w:numPr>
          <w:ilvl w:val="0"/>
          <w:numId w:val="2"/>
        </w:numPr>
        <w:spacing w:after="60" w:before="60"/>
      </w:pPr>
      <w:r>
        <w:rPr>
          <w:rFonts w:ascii="Arial" w:cs="Arial" w:eastAsia="Arial" w:hAnsi="Arial"/>
          <w:sz w:val="20"/>
          <w:szCs w:val="20"/>
        </w:rPr>
        <w:t xml:space="preserve">Cópia dos credenciamentos aprovados em outros bancos como evidência de ausência de impedimento</w:t>
      </w:r>
    </w:p>
    <w:p>
      <w:pPr>
        <w:pStyle w:val="ListParagraph"/>
        <w:numPr>
          <w:ilvl w:val="0"/>
          <w:numId w:val="2"/>
        </w:numPr>
        <w:spacing w:after="60" w:before="60"/>
      </w:pPr>
      <w:r>
        <w:rPr>
          <w:rFonts w:ascii="Arial" w:cs="Arial" w:eastAsia="Arial" w:hAnsi="Arial"/>
          <w:sz w:val="20"/>
          <w:szCs w:val="20"/>
        </w:rPr>
        <w:t xml:space="preserve">Referência ao Decreto 85.877/1981 que habilita o químico para atuação em tecnologia agropecuária</w:t>
      </w:r>
    </w:p>
    <w:p>
      <w:pPr>
        <w:pStyle w:val="ListParagraph"/>
        <w:numPr>
          <w:ilvl w:val="0"/>
          <w:numId w:val="2"/>
        </w:numPr>
        <w:spacing w:after="60" w:before="60"/>
      </w:pPr>
      <w:r>
        <w:rPr>
          <w:rFonts w:ascii="Arial" w:cs="Arial" w:eastAsia="Arial" w:hAnsi="Arial"/>
          <w:sz w:val="20"/>
          <w:szCs w:val="20"/>
        </w:rPr>
        <w:t xml:space="preserve">Transcrição do áudio em que o próprio gerente admite que "tecnicamente não está mais impedido"</w:t>
      </w:r>
    </w:p>
    <w:p>
      <w:pPr>
        <w:pStyle w:val="Heading2"/>
        <w:spacing w:after="120" w:before="240"/>
      </w:pPr>
      <w:r>
        <w:rPr>
          <w:rFonts w:ascii="Arial" w:cs="Arial" w:eastAsia="Arial" w:hAnsi="Arial"/>
          <w:b/>
          <w:bCs/>
          <w:color w:val="2E74B5"/>
          <w:sz w:val="24"/>
          <w:szCs w:val="24"/>
        </w:rPr>
        <w:t xml:space="preserve">5.3 Fase 3 — Se recurso for negado</w:t>
      </w:r>
    </w:p>
    <w:p>
      <w:pPr>
        <w:pStyle w:val="ListParagraph"/>
        <w:numPr>
          <w:ilvl w:val="0"/>
          <w:numId w:val="2"/>
        </w:numPr>
        <w:spacing w:after="60" w:before="60"/>
      </w:pPr>
      <w:r>
        <w:rPr>
          <w:rFonts w:ascii="Arial" w:cs="Arial" w:eastAsia="Arial" w:hAnsi="Arial"/>
          <w:sz w:val="20"/>
          <w:szCs w:val="20"/>
        </w:rPr>
        <w:t xml:space="preserve">Registrar queixa formal no Banco Central (canal de atendimento ao cidadão do BCB)</w:t>
      </w:r>
    </w:p>
    <w:p>
      <w:pPr>
        <w:pStyle w:val="ListParagraph"/>
        <w:numPr>
          <w:ilvl w:val="0"/>
          <w:numId w:val="2"/>
        </w:numPr>
        <w:spacing w:after="60" w:before="60"/>
      </w:pPr>
      <w:r>
        <w:rPr>
          <w:rFonts w:ascii="Arial" w:cs="Arial" w:eastAsia="Arial" w:hAnsi="Arial"/>
          <w:sz w:val="20"/>
          <w:szCs w:val="20"/>
        </w:rPr>
        <w:t xml:space="preserve">Considerar consulta a advogado especializado em direito bancário / direito administrativo</w:t>
      </w:r>
    </w:p>
    <w:p>
      <w:pPr>
        <w:pStyle w:val="ListParagraph"/>
        <w:numPr>
          <w:ilvl w:val="0"/>
          <w:numId w:val="2"/>
        </w:numPr>
        <w:spacing w:after="60" w:before="60"/>
      </w:pPr>
      <w:r>
        <w:rPr>
          <w:rFonts w:ascii="Arial" w:cs="Arial" w:eastAsia="Arial" w:hAnsi="Arial"/>
          <w:sz w:val="20"/>
          <w:szCs w:val="20"/>
        </w:rPr>
        <w:t xml:space="preserve">Avaliar se há dano caracterizável para fins de responsabilização civil</w:t>
      </w:r>
    </w:p>
    <w:p>
      <w:pPr>
        <w:pStyle w:val="Heading1"/>
        <w:spacing w:after="150" w:before="300"/>
      </w:pPr>
      <w:r>
        <w:rPr>
          <w:rFonts w:ascii="Arial" w:cs="Arial" w:eastAsia="Arial" w:hAnsi="Arial"/>
          <w:b/>
          <w:bCs/>
          <w:color w:val="1F4E79"/>
          <w:sz w:val="28"/>
          <w:szCs w:val="28"/>
        </w:rPr>
        <w:t xml:space="preserve">6. Evidências Documentadas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auto" w:w="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sz w:val="20"/>
                <w:szCs w:val="20"/>
              </w:rPr>
              <w:t xml:space="preserve">Evidência</w:t>
            </w:r>
          </w:p>
        </w:tc>
        <w:tc>
          <w:tcPr>
            <w:tcW w:type="auto" w:w="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sz w:val="20"/>
                <w:szCs w:val="20"/>
              </w:rPr>
              <w:t xml:space="preserve">Descrição</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Conversa WhatsApp — texto</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Mensagens trocadas entre Rodrigo e o gerente Ramão Lorenzoni, incluindo a justificativa inicial de vínculo MCR e o print do texto regulatório enviado pelo gerente</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Áudio 1 (2:25) — transcrito</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Gerente alega vínculo por grupo econômico e declara ter passado por "situações complicadas" com integrantes do grupo do irmão de Rodrigo</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Áudio 2 (2:00) — transcrito</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Gerente admite que Rodrigo "tecnicamente não está mais impedido" mas muda o argumento para falta de qualificação técnica</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Documentação contratual</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Alterações no contrato social da Altoè Consultoria realizadas a pedido da agência antes da negativa final</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Currículo Rodrigo Altoé</w:t>
            </w:r>
          </w:p>
        </w:tc>
        <w:tc>
          <w:tcPr>
            <w:tcW w:type="auto" w:w="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b w:val="false"/>
                <w:bCs w:val="false"/>
                <w:sz w:val="20"/>
                <w:szCs w:val="20"/>
              </w:rPr>
              <w:t xml:space="preserve">PhD UFRJ, Pós-Doc UNICAMP, experiência em Petrobras/CENPES, CDTN, Gerdau Graphene, patente depositada, projeto FAPEMIG R$ 1,87M aprovado</w:t>
            </w:r>
          </w:p>
        </w:tc>
      </w:tr>
    </w:tbl>
    <w:p>
      <w:pPr>
        <w:spacing w:before="300"/>
      </w:pPr>
    </w:p>
    <w:p>
      <w:pPr>
        <w:pBdr>
          <w:bottom w:val="single" w:color="2E74B5" w:sz="6" w:space="1"/>
        </w:pBdr>
        <w:spacing w:after="120" w:before="120"/>
      </w:pPr>
    </w:p>
    <w:p>
      <w:pPr>
        <w:spacing w:after="60" w:before="120"/>
        <w:jc w:val="center"/>
      </w:pPr>
      <w:r>
        <w:rPr>
          <w:rFonts w:ascii="Arial" w:cs="Arial" w:eastAsia="Arial" w:hAnsi="Arial"/>
          <w:i/>
          <w:iCs/>
          <w:color w:val="555555"/>
          <w:sz w:val="18"/>
          <w:szCs w:val="18"/>
        </w:rPr>
        <w:t xml:space="preserve">Altoè Consultoria  |  Rodrigo Altoé  |  Marilândia/ES</w:t>
      </w:r>
    </w:p>
    <w:p>
      <w:pPr>
        <w:spacing w:after="0" w:before="0"/>
        <w:jc w:val="center"/>
      </w:pPr>
      <w:r>
        <w:rPr>
          <w:rFonts w:ascii="Arial" w:cs="Arial" w:eastAsia="Arial" w:hAnsi="Arial"/>
          <w:i/>
          <w:iCs/>
          <w:color w:val="555555"/>
          <w:sz w:val="18"/>
          <w:szCs w:val="18"/>
        </w:rPr>
        <w:t xml:space="preserve">Gerado em 27/04/2026  |  Documento confidencial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2026-04-27T21:42:14.542Z</dcterms:created>
  <dcterms:modified xsi:type="dcterms:W3CDTF">2026-04-27T21:42:14.543Z</dcterms:modified>
</cp:coreProperties>
</file>

<file path=docProps/custom.xml><?xml version="1.0" encoding="utf-8"?>
<Properties xmlns="http://schemas.openxmlformats.org/officeDocument/2006/custom-properties" xmlns:vt="http://schemas.openxmlformats.org/officeDocument/2006/docPropsVTypes"/>
</file>