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Manrope" w:hAnsi="Manrope" w:eastAsia="Manrope" w:cs="Manrope"/>
          <w:b/>
          <w:color w:val="E03C31"/>
          <w:sz w:val="14"/>
        </w:rPr>
        <w:t>CLIENT PROPOSAL / STATEMENT OF WORK</w:t>
      </w:r>
    </w:p>
    <w:p>
      <w:pPr>
        <w:pStyle w:val="Title"/>
      </w:pPr>
      <w:r>
        <w:t>[One decisive outcome.]</w:t>
      </w:r>
    </w:p>
    <w:p>
      <w:r>
        <w:rPr>
          <w:rFonts w:ascii="Manrope" w:hAnsi="Manrope" w:eastAsia="Manrope" w:cs="Manrope"/>
          <w:color w:val="716D68"/>
          <w:sz w:val="16"/>
        </w:rPr>
        <w:t>Prepared for [Client] · [Project] · [Date]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2D2926"/>
            <w:tcMar>
              <w:top w:w="100" w:type="dxa"/>
              <w:start w:w="120" w:type="dxa"/>
              <w:bottom w:w="100" w:type="dxa"/>
              <w:end w:w="120" w:type="dxa"/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spacing w:after="0"/>
            </w:pPr>
            <w:r/>
            <w:r>
              <w:rPr>
                <w:rFonts w:ascii="Cormorant Garamond" w:hAnsi="Cormorant Garamond" w:eastAsia="Cormorant Garamond" w:cs="Cormorant Garamond"/>
                <w:b w:val="0"/>
                <w:color w:val="F3F0E8"/>
                <w:sz w:val="28"/>
              </w:rPr>
              <w:t>AI can accelerate the work. Human judgement gives it direction.</w:t>
            </w:r>
          </w:p>
        </w:tc>
      </w:tr>
    </w:tbl>
    <w:p>
      <w:pPr>
        <w:pStyle w:val="Heading1"/>
      </w:pPr>
      <w:r>
        <w:t>1. The decision in front of us</w:t>
      </w:r>
    </w:p>
    <w:p>
      <w:r>
        <w:t>[Describe the business decision, not only the communication request. What must become clearer, faster or more valuable?]</w:t>
      </w:r>
    </w:p>
    <w:p>
      <w:pPr>
        <w:pStyle w:val="Heading1"/>
      </w:pPr>
      <w:r>
        <w:t>2. What success will look like</w:t>
      </w:r>
    </w:p>
    <w:p>
      <w:r>
        <w:t>[Define observable outcomes, decision criteria and measures of progress. Avoid vague language.]</w:t>
      </w:r>
    </w:p>
    <w:p>
      <w:pPr>
        <w:pStyle w:val="Heading1"/>
      </w:pPr>
      <w:r>
        <w:t>3. Recommended engagement</w:t>
      </w:r>
    </w:p>
    <w:p>
      <w:r>
        <w:t>Select the relevant Brand Here capability: Strategy Consulting · AI Transformation · Executive Branding · Commerce &amp; Market Expansion.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6D2C4"/>
          <w:left w:val="single" w:sz="6" w:color="D6D2C4"/>
          <w:bottom w:val="single" w:sz="6" w:color="D6D2C4"/>
          <w:right w:val="single" w:sz="6" w:color="D6D2C4"/>
          <w:insideH w:val="single" w:sz="6" w:color="D6D2C4"/>
          <w:insideV w:val="single" w:sz="6" w:color="D6D2C4"/>
        </w:tblBorders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D29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/>
                <w:color w:val="F3F0E8"/>
                <w:sz w:val="14"/>
              </w:rPr>
              <w:t>PHASE</w:t>
            </w:r>
          </w:p>
        </w:tc>
        <w:tc>
          <w:tcPr>
            <w:tcW w:type="dxa" w:w="2324"/>
            <w:shd w:fill="2D29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/>
                <w:color w:val="F3F0E8"/>
                <w:sz w:val="14"/>
              </w:rPr>
              <w:t>WHAT WE DO</w:t>
            </w:r>
          </w:p>
        </w:tc>
        <w:tc>
          <w:tcPr>
            <w:tcW w:type="dxa" w:w="2324"/>
            <w:shd w:fill="2D29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/>
                <w:color w:val="F3F0E8"/>
                <w:sz w:val="14"/>
              </w:rPr>
              <w:t>DELIVERABLE</w:t>
            </w:r>
          </w:p>
        </w:tc>
        <w:tc>
          <w:tcPr>
            <w:tcW w:type="dxa" w:w="2324"/>
            <w:shd w:fill="2D29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/>
                <w:color w:val="F3F0E8"/>
                <w:sz w:val="14"/>
              </w:rPr>
              <w:t>TIMING</w:t>
            </w:r>
          </w:p>
        </w:tc>
      </w:tr>
      <w:t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[01]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[Strategic diagnosis / discovery]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[Decision brief]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[X weeks]</w:t>
            </w:r>
          </w:p>
        </w:tc>
      </w:tr>
      <w:t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[02]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[Design / build / test]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[Working output]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[X weeks]</w:t>
            </w:r>
          </w:p>
        </w:tc>
      </w:tr>
      <w:t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[03]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[Implementation / enablement]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[Final system + handover]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[X weeks]</w:t>
            </w:r>
          </w:p>
        </w:tc>
      </w:tr>
    </w:tbl>
    <w:p>
      <w:pPr>
        <w:pStyle w:val="Heading1"/>
      </w:pPr>
      <w:r>
        <w:t>4. Working model</w:t>
      </w:r>
    </w:p>
    <w:p>
      <w:pPr>
        <w:pStyle w:val="Heading2"/>
      </w:pPr>
      <w:r>
        <w:t>Senior judgement</w:t>
      </w:r>
    </w:p>
    <w:p>
      <w:r>
        <w:t>Brand Here leads the problem definition, strategic direction and quality standard.</w:t>
      </w:r>
    </w:p>
    <w:p>
      <w:pPr>
        <w:pStyle w:val="Heading2"/>
      </w:pPr>
      <w:r>
        <w:t>Expert network</w:t>
      </w:r>
    </w:p>
    <w:p>
      <w:r>
        <w:t>Specialists join where deeper governance, finance, technology or commerce expertise materially improves the decision.</w:t>
      </w:r>
    </w:p>
    <w:p>
      <w:pPr>
        <w:pStyle w:val="Heading2"/>
      </w:pPr>
      <w:r>
        <w:t>Partner-enabled delivery</w:t>
      </w:r>
    </w:p>
    <w:p>
      <w:r>
        <w:t>Production and technology partners are scoped transparently around the assignment.</w:t>
      </w:r>
    </w:p>
    <w:p>
      <w:pPr>
        <w:pStyle w:val="Heading1"/>
      </w:pPr>
      <w:r>
        <w:t>5. Investment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2C4"/>
          <w:left w:val="single" w:sz="6" w:color="D6D2C4"/>
          <w:bottom w:val="single" w:sz="6" w:color="D6D2C4"/>
          <w:right w:val="single" w:sz="6" w:color="D6D2C4"/>
          <w:insideH w:val="single" w:sz="6" w:color="D6D2C4"/>
          <w:insideV w:val="single" w:sz="6" w:color="D6D2C4"/>
        </w:tblBorders>
      </w:tblPr>
      <w:tblGrid>
        <w:gridCol w:w="3099"/>
        <w:gridCol w:w="3099"/>
        <w:gridCol w:w="3099"/>
      </w:tblGrid>
      <w:tr>
        <w:tc>
          <w:tcPr>
            <w:tcW w:type="dxa" w:w="3099"/>
            <w:shd w:fill="2D29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/>
                <w:color w:val="F3F0E8"/>
                <w:sz w:val="14"/>
              </w:rPr>
              <w:t>FEE LAYER</w:t>
            </w:r>
          </w:p>
        </w:tc>
        <w:tc>
          <w:tcPr>
            <w:tcW w:type="dxa" w:w="3099"/>
            <w:shd w:fill="2D29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/>
                <w:color w:val="F3F0E8"/>
                <w:sz w:val="14"/>
              </w:rPr>
              <w:t>BASIS</w:t>
            </w:r>
          </w:p>
        </w:tc>
        <w:tc>
          <w:tcPr>
            <w:tcW w:type="dxa" w:w="3099"/>
            <w:shd w:fill="2D29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/>
                <w:color w:val="F3F0E8"/>
                <w:sz w:val="14"/>
              </w:rPr>
              <w:t>INVESTMENT</w:t>
            </w:r>
          </w:p>
        </w:tc>
      </w:tr>
      <w:tr>
        <w:tc>
          <w:tcPr>
            <w:tcW w:type="dxa" w:w="30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Brand Here consulting fee</w:t>
            </w:r>
          </w:p>
        </w:tc>
        <w:tc>
          <w:tcPr>
            <w:tcW w:type="dxa" w:w="30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Strategy, direction and accountable lead</w:t>
            </w:r>
          </w:p>
        </w:tc>
        <w:tc>
          <w:tcPr>
            <w:tcW w:type="dxa" w:w="30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[VND]</w:t>
            </w:r>
          </w:p>
        </w:tc>
      </w:tr>
      <w:tr>
        <w:tc>
          <w:tcPr>
            <w:tcW w:type="dxa" w:w="30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Expert fee</w:t>
            </w:r>
          </w:p>
        </w:tc>
        <w:tc>
          <w:tcPr>
            <w:tcW w:type="dxa" w:w="30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Specialist advisory where approved</w:t>
            </w:r>
          </w:p>
        </w:tc>
        <w:tc>
          <w:tcPr>
            <w:tcW w:type="dxa" w:w="30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[VND]</w:t>
            </w:r>
          </w:p>
        </w:tc>
      </w:tr>
      <w:tr>
        <w:tc>
          <w:tcPr>
            <w:tcW w:type="dxa" w:w="30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Third-party cost</w:t>
            </w:r>
          </w:p>
        </w:tc>
        <w:tc>
          <w:tcPr>
            <w:tcW w:type="dxa" w:w="30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Production, technology, media or other approved suppliers</w:t>
            </w:r>
          </w:p>
        </w:tc>
        <w:tc>
          <w:tcPr>
            <w:tcW w:type="dxa" w:w="30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6"/>
              </w:rPr>
              <w:t>[VND]</w:t>
            </w:r>
          </w:p>
        </w:tc>
      </w:tr>
    </w:tbl>
    <w:p>
      <w:r>
        <w:t>All third-party costs are approved before commitment. VAT and payment terms are stated in the accompanying quotation.</w:t>
      </w:r>
    </w:p>
    <w:p>
      <w:pPr>
        <w:pStyle w:val="Heading1"/>
      </w:pPr>
      <w:r>
        <w:t>6. Assumptions and boundaries</w:t>
      </w:r>
    </w:p>
    <w:p>
      <w:pPr>
        <w:pStyle w:val="ListBullet"/>
      </w:pPr>
      <w:r>
        <w:t>Two consolidated client feedback rounds per defined deliverable.</w:t>
      </w:r>
    </w:p>
    <w:p>
      <w:pPr>
        <w:pStyle w:val="ListBullet"/>
      </w:pPr>
      <w:r>
        <w:t>Client supplies timely access to stakeholders, data and existing materials.</w:t>
      </w:r>
    </w:p>
    <w:p>
      <w:pPr>
        <w:pStyle w:val="ListBullet"/>
      </w:pPr>
      <w:r>
        <w:t>Usage rights, personal data handling and use of generative AI are agreed before production.</w:t>
      </w:r>
    </w:p>
    <w:p>
      <w:pPr>
        <w:pStyle w:val="ListBullet"/>
      </w:pPr>
      <w:r>
        <w:t>Changes outside approved scope are quoted separately before work begins.</w:t>
      </w:r>
    </w:p>
    <w:p>
      <w:pPr>
        <w:pStyle w:val="Heading1"/>
      </w:pPr>
      <w:r>
        <w:t>7. Next step</w:t>
      </w:r>
    </w:p>
    <w:p>
      <w:r>
        <w:t>Approve the proposed direction, confirm the commercial quotation and schedule the kickoff decision session.</w:t>
      </w:r>
    </w:p>
    <w:p>
      <w:r>
        <w:br/>
        <w:t>ACCEPTED FOR [CLIENT]</w:t>
        <w:br/>
        <w:br/>
        <w:t>Name: ____________________    Title: ____________________</w:t>
        <w:br/>
        <w:br/>
        <w:t>Signature: _________________   Date: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1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Manrope" w:hAnsi="Manrope" w:eastAsia="Manrope" w:cs="Manrope"/>
        <w:color w:val="716D68"/>
        <w:sz w:val="14"/>
      </w:rPr>
      <w:t>brandhere.co  ·  Ho Chi Minh City, Vietnam  ·  tuan.nguyen@brandhere.vn  ·  +84 907 255 734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color="E03C31"/>
      </w:pBdr>
    </w:pPr>
    <w:r>
      <w:drawing>
        <wp:inline xmlns:a="http://schemas.openxmlformats.org/drawingml/2006/main" xmlns:pic="http://schemas.openxmlformats.org/drawingml/2006/picture">
          <wp:extent cx="1548000" cy="44228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8000" cy="44228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anrope" w:hAnsi="Manrope" w:eastAsia="Manrope" w:cs="Manrope"/>
        <w:color w:val="716D68"/>
        <w:sz w:val="14"/>
      </w:rPr>
      <w:t xml:space="preserve">   HUMAN JUDGEMENT / BUSINESS IMPACT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anrope" w:hAnsi="Manrope" w:eastAsia="Manrope" w:cs="Manrope"/>
      <w:color w:val="2D29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nrope" w:hAnsi="Manrope" w:eastAsia="Manrope" w:cs="Manrope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anrope" w:hAnsi="Manrope" w:eastAsia="Manrope" w:cs="Manrop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nrope" w:hAnsi="Manrope" w:eastAsia="Manrope" w:cs="Manrope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anrope" w:hAnsi="Manrope" w:eastAsia="Manrope" w:cs="Manro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90"/>
      <w:outlineLvl w:val="0"/>
    </w:pPr>
    <w:rPr>
      <w:rFonts w:ascii="Cormorant Garamond" w:hAnsi="Cormorant Garamond" w:eastAsia="Cormorant Garamond" w:cs="Cormorant Garamond"/>
      <w:b w:val="0"/>
      <w:bCs/>
      <w:color w:val="2D292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="Manrope" w:hAnsi="Manrope" w:eastAsia="Manrope" w:cs="Manrope"/>
      <w:b/>
      <w:bCs/>
      <w:color w:val="E03C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30"/>
      <w:outlineLvl w:val="2"/>
    </w:pPr>
    <w:rPr>
      <w:rFonts w:ascii="Manrope" w:hAnsi="Manrope" w:eastAsia="Manrope" w:cs="Manrope"/>
      <w:b/>
      <w:bCs/>
      <w:color w:val="2D292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anrope" w:hAnsi="Manrope" w:eastAsia="Manrope" w:cs="Manrope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anrope" w:hAnsi="Manrope" w:eastAsia="Manrope" w:cs="Manrope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anrope" w:hAnsi="Manrope" w:eastAsia="Manrope" w:cs="Manrope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anrope" w:hAnsi="Manrope" w:eastAsia="Manrope" w:cs="Manrope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anrope" w:hAnsi="Manrope" w:eastAsia="Manrope" w:cs="Manrope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anrope" w:hAnsi="Manrope" w:eastAsia="Manrope" w:cs="Manrope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anrope" w:hAnsi="Manrope" w:eastAsia="Manrope" w:cs="Manrope"/>
    </w:rPr>
  </w:style>
  <w:style w:type="table" w:default="1" w:styleId="TableNormal">
    <w:name w:val="Normal Table"/>
    <w:uiPriority w:val="99"/>
    <w:semiHidden/>
    <w:unhideWhenUsed/>
    <w:rPr>
      <w:rFonts w:ascii="Manrope" w:hAnsi="Manrope" w:eastAsia="Manrope" w:cs="Manrop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anrope" w:hAnsi="Manrope" w:eastAsia="Manrope" w:cs="Manrop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anrope" w:hAnsi="Manrope" w:eastAsia="Manrope" w:cs="Manrope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anrope" w:hAnsi="Manrope" w:eastAsia="Manrope" w:cs="Manrope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anrope" w:hAnsi="Manrope" w:eastAsia="Manrope" w:cs="Manrope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="Cormorant Garamond" w:hAnsi="Cormorant Garamond" w:eastAsia="Cormorant Garamond" w:cs="Cormorant Garamond"/>
      <w:b w:val="0"/>
      <w:color w:val="2D2926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anrope" w:hAnsi="Manrope" w:eastAsia="Manrope" w:cs="Manrope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anrope" w:hAnsi="Manrope" w:eastAsia="Manrope" w:cs="Manrope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anrope" w:hAnsi="Manrope" w:eastAsia="Manrope" w:cs="Manrope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anrope" w:hAnsi="Manrope" w:eastAsia="Manrope" w:cs="Manrop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nrope" w:hAnsi="Manrope" w:eastAsia="Manrope" w:cs="Manrop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anrope" w:hAnsi="Manrope" w:eastAsia="Manrope" w:cs="Manrop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anrope" w:hAnsi="Manrope" w:eastAsia="Manrope" w:cs="Manrop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anrope" w:hAnsi="Manrope" w:eastAsia="Manrope" w:cs="Manrop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anrope" w:hAnsi="Manrope" w:eastAsia="Manrope" w:cs="Manrope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anrope" w:hAnsi="Manrope" w:eastAsia="Manrope" w:cs="Manrope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anrope" w:hAnsi="Manrope" w:eastAsia="Manrope" w:cs="Manrop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anrope" w:hAnsi="Manrope" w:eastAsia="Manrope" w:cs="Manrop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anrope" w:hAnsi="Manrope" w:eastAsia="Manrope" w:cs="Manrop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nrope" w:hAnsi="Manrope" w:eastAsia="Manrope" w:cs="Manrop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nrope" w:hAnsi="Manrope" w:eastAsia="Manrope" w:cs="Manrop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anrope" w:hAnsi="Manrope" w:eastAsia="Manrope" w:cs="Manrop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nrope" w:hAnsi="Manrope" w:eastAsia="Manrope" w:cs="Manrop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anrope" w:hAnsi="Manrope" w:eastAsia="Manrope" w:cs="Manrop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anrope" w:hAnsi="Manrope" w:eastAsia="Manrope" w:cs="Manrop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anrope" w:hAnsi="Manrope" w:eastAsia="Manrope" w:cs="Manrop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anrope" w:hAnsi="Manrope" w:eastAsia="Manrope" w:cs="Manrop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anrope" w:hAnsi="Manrope" w:eastAsia="Manrope" w:cs="Manrop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anrope" w:hAnsi="Manrope" w:eastAsia="Manrope" w:cs="Manrope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anrope" w:hAnsi="Manrope" w:eastAsia="Manrope" w:cs="Manrope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anrope" w:hAnsi="Manrope" w:eastAsia="Manrope" w:cs="Manrope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anrope" w:hAnsi="Manrope" w:eastAsia="Manrope" w:cs="Manrope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anrope" w:hAnsi="Manrope" w:eastAsia="Manrope" w:cs="Manrope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anrope" w:hAnsi="Manrope" w:eastAsia="Manrope" w:cs="Manrope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anrope" w:hAnsi="Manrope" w:eastAsia="Manrope" w:cs="Manrope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anrope" w:hAnsi="Manrope" w:eastAsia="Manrope" w:cs="Manrope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anrope" w:hAnsi="Manrope" w:eastAsia="Manrope" w:cs="Manrope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anrope" w:hAnsi="Manrope" w:eastAsia="Manrope" w:cs="Manrope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nrope" w:hAnsi="Manrope" w:eastAsia="Manrope" w:cs="Manrope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anrope" w:hAnsi="Manrope" w:eastAsia="Manrope" w:cs="Manrope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anrope" w:hAnsi="Manrope" w:eastAsia="Manrope" w:cs="Manrope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anrope" w:hAnsi="Manrope" w:eastAsia="Manrope" w:cs="Manrope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anrope" w:hAnsi="Manrope" w:eastAsia="Manrope" w:cs="Manrope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anrope" w:hAnsi="Manrope" w:eastAsia="Manrope" w:cs="Manrope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anrope" w:hAnsi="Manrope" w:eastAsia="Manrope" w:cs="Manrope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anrope" w:hAnsi="Manrope" w:eastAsia="Manrope" w:cs="Manrope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anrope" w:hAnsi="Manrope" w:eastAsia="Manrope" w:cs="Manrope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anrope" w:hAnsi="Manrope" w:eastAsia="Manrope" w:cs="Manrope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anrope" w:hAnsi="Manrope" w:eastAsia="Manrope" w:cs="Manrop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anrope" w:hAnsi="Manrope" w:eastAsia="Manrope" w:cs="Manrop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anrope" w:hAnsi="Manrope" w:eastAsia="Manrope" w:cs="Manrope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anrope" w:hAnsi="Manrope" w:eastAsia="Manrope" w:cs="Manrope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anrope" w:hAnsi="Manrope" w:eastAsia="Manrope" w:cs="Manrope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anrope" w:hAnsi="Manrope" w:eastAsia="Manrope" w:cs="Manrope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anrope" w:hAnsi="Manrope" w:eastAsia="Manrope" w:cs="Manrope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anrope" w:hAnsi="Manrope" w:eastAsia="Manrope" w:cs="Manrope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anrope" w:hAnsi="Manrope" w:eastAsia="Manrope" w:cs="Manrope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anrope" w:hAnsi="Manrope" w:eastAsia="Manrope" w:cs="Manrop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anrope" w:hAnsi="Manrope" w:eastAsia="Manrope" w:cs="Manrop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anrope" w:hAnsi="Manrope" w:eastAsia="Manrope" w:cs="Manrop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anrope" w:hAnsi="Manrope" w:eastAsia="Manrope" w:cs="Manrop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anrope" w:hAnsi="Manrope" w:eastAsia="Manrope" w:cs="Manrop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anrope" w:hAnsi="Manrope" w:eastAsia="Manrope" w:cs="Manrop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anrope" w:hAnsi="Manrope" w:eastAsia="Manrope" w:cs="Manrop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